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1ED99016" w:rsidR="00683DAE" w:rsidRPr="0028524F" w:rsidRDefault="00683DAE">
      <w:pPr>
        <w:pStyle w:val="Title"/>
        <w:rPr>
          <w:rFonts w:ascii="Times New Roman" w:hAnsi="Times New Roman"/>
          <w:lang w:val="bg-BG"/>
        </w:rPr>
      </w:pPr>
    </w:p>
    <w:p w14:paraId="566C11F2" w14:textId="77777777" w:rsidR="0069784B" w:rsidRPr="0028524F" w:rsidRDefault="00FD000C">
      <w:pPr>
        <w:pStyle w:val="Title"/>
        <w:rPr>
          <w:rFonts w:ascii="Times New Roman" w:hAnsi="Times New Roman"/>
          <w:sz w:val="24"/>
          <w:szCs w:val="24"/>
          <w:lang w:val="bg-BG"/>
        </w:rPr>
      </w:pPr>
      <w:r w:rsidRPr="0028524F">
        <w:rPr>
          <w:rFonts w:ascii="Times New Roman" w:hAnsi="Times New Roman"/>
          <w:sz w:val="24"/>
          <w:szCs w:val="24"/>
          <w:lang w:val="bg-BG"/>
        </w:rPr>
        <w:t>Р</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Е</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П</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У</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Б</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Л</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И</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К</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А</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Б</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Ъ</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Л</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Г</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А</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Р</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И</w:t>
      </w:r>
      <w:r w:rsidR="0069784B" w:rsidRPr="0028524F">
        <w:rPr>
          <w:rFonts w:ascii="Times New Roman" w:hAnsi="Times New Roman"/>
          <w:sz w:val="24"/>
          <w:szCs w:val="24"/>
          <w:lang w:val="bg-BG"/>
        </w:rPr>
        <w:t xml:space="preserve"> </w:t>
      </w:r>
      <w:r w:rsidRPr="0028524F">
        <w:rPr>
          <w:rFonts w:ascii="Times New Roman" w:hAnsi="Times New Roman"/>
          <w:sz w:val="24"/>
          <w:szCs w:val="24"/>
          <w:lang w:val="bg-BG"/>
        </w:rPr>
        <w:t>Я</w:t>
      </w:r>
    </w:p>
    <w:p w14:paraId="0AF96761" w14:textId="77777777" w:rsidR="0069784B" w:rsidRPr="0028524F" w:rsidRDefault="00FD000C">
      <w:pPr>
        <w:pBdr>
          <w:bottom w:val="single" w:sz="12" w:space="1" w:color="auto"/>
        </w:pBdr>
        <w:jc w:val="center"/>
        <w:rPr>
          <w:rFonts w:ascii="Times New Roman" w:hAnsi="Times New Roman"/>
          <w:b/>
          <w:spacing w:val="100"/>
          <w:sz w:val="32"/>
          <w:lang w:val="bg-BG"/>
        </w:rPr>
      </w:pPr>
      <w:r w:rsidRPr="0028524F">
        <w:rPr>
          <w:rFonts w:ascii="Times New Roman" w:hAnsi="Times New Roman"/>
          <w:b/>
          <w:spacing w:val="60"/>
          <w:sz w:val="32"/>
          <w:lang w:val="bg-BG"/>
        </w:rPr>
        <w:t>М</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И</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Н</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И</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С</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Т</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Е</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Р</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С</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К</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И</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С</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Ъ</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В</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Е</w:t>
      </w:r>
      <w:r w:rsidR="0069784B" w:rsidRPr="0028524F">
        <w:rPr>
          <w:rFonts w:ascii="Times New Roman" w:hAnsi="Times New Roman"/>
          <w:b/>
          <w:spacing w:val="60"/>
          <w:sz w:val="32"/>
          <w:lang w:val="bg-BG"/>
        </w:rPr>
        <w:t xml:space="preserve"> </w:t>
      </w:r>
      <w:r w:rsidRPr="0028524F">
        <w:rPr>
          <w:rFonts w:ascii="Times New Roman" w:hAnsi="Times New Roman"/>
          <w:b/>
          <w:spacing w:val="60"/>
          <w:sz w:val="32"/>
          <w:lang w:val="bg-BG"/>
        </w:rPr>
        <w:t>Т</w:t>
      </w:r>
    </w:p>
    <w:p w14:paraId="1CFFAE63" w14:textId="157F245A" w:rsidR="0069784B" w:rsidRPr="0028524F" w:rsidRDefault="00E34C30" w:rsidP="00D36EA5">
      <w:pPr>
        <w:jc w:val="right"/>
        <w:rPr>
          <w:rFonts w:ascii="Arial" w:hAnsi="Arial"/>
          <w:szCs w:val="24"/>
          <w:lang w:val="bg-BG"/>
        </w:rPr>
      </w:pPr>
      <w:r w:rsidRPr="00E34C30">
        <w:rPr>
          <w:rFonts w:ascii="Arial" w:hAnsi="Arial"/>
          <w:b/>
          <w:szCs w:val="24"/>
          <w:lang w:val="bg-BG"/>
        </w:rPr>
        <w:t>Препис</w:t>
      </w:r>
    </w:p>
    <w:p w14:paraId="178F5C39" w14:textId="77777777" w:rsidR="00AA1C46" w:rsidRPr="0028524F" w:rsidRDefault="00AA1C46">
      <w:pPr>
        <w:jc w:val="center"/>
        <w:rPr>
          <w:rFonts w:ascii="Times New Roman" w:hAnsi="Times New Roman"/>
          <w:sz w:val="28"/>
          <w:szCs w:val="28"/>
          <w:lang w:val="bg-BG"/>
        </w:rPr>
      </w:pPr>
    </w:p>
    <w:p w14:paraId="71D1BBF0" w14:textId="77777777" w:rsidR="0069784B" w:rsidRPr="0028524F" w:rsidRDefault="0069784B">
      <w:pPr>
        <w:jc w:val="center"/>
        <w:rPr>
          <w:rFonts w:ascii="Times New Roman" w:hAnsi="Times New Roman"/>
          <w:sz w:val="28"/>
          <w:szCs w:val="28"/>
          <w:lang w:val="bg-BG"/>
        </w:rPr>
      </w:pPr>
    </w:p>
    <w:p w14:paraId="1623E019" w14:textId="76F7CCE5" w:rsidR="0069784B" w:rsidRPr="0028524F" w:rsidRDefault="000900B0">
      <w:pPr>
        <w:spacing w:line="360" w:lineRule="auto"/>
        <w:jc w:val="center"/>
        <w:rPr>
          <w:rFonts w:ascii="Times New Roman" w:hAnsi="Times New Roman"/>
          <w:b/>
          <w:spacing w:val="180"/>
          <w:sz w:val="40"/>
          <w:szCs w:val="40"/>
          <w:lang w:val="bg-BG"/>
        </w:rPr>
      </w:pPr>
      <w:r w:rsidRPr="0028524F">
        <w:rPr>
          <w:rFonts w:ascii="Times New Roman" w:hAnsi="Times New Roman"/>
          <w:b/>
          <w:spacing w:val="180"/>
          <w:sz w:val="40"/>
          <w:szCs w:val="40"/>
          <w:lang w:val="bg-BG"/>
        </w:rPr>
        <w:t>ПОСТАНОВЛЕНИЕ</w:t>
      </w:r>
      <w:r w:rsidR="0069784B" w:rsidRPr="0028524F">
        <w:rPr>
          <w:rFonts w:ascii="Times New Roman" w:hAnsi="Times New Roman"/>
          <w:b/>
          <w:spacing w:val="180"/>
          <w:sz w:val="40"/>
          <w:szCs w:val="40"/>
          <w:lang w:val="bg-BG"/>
        </w:rPr>
        <w:t xml:space="preserve">  </w:t>
      </w:r>
      <w:r w:rsidR="0069784B" w:rsidRPr="0028524F">
        <w:rPr>
          <w:rFonts w:ascii="Times New Roman" w:hAnsi="Times New Roman"/>
          <w:b/>
          <w:spacing w:val="180"/>
          <w:sz w:val="40"/>
          <w:szCs w:val="40"/>
          <w:lang w:val="bg-BG"/>
        </w:rPr>
        <w:sym w:font="Times New Roman" w:char="2116"/>
      </w:r>
      <w:r w:rsidR="00E34C30">
        <w:rPr>
          <w:rFonts w:ascii="Times New Roman" w:hAnsi="Times New Roman"/>
          <w:b/>
          <w:spacing w:val="180"/>
          <w:sz w:val="40"/>
          <w:szCs w:val="40"/>
          <w:lang w:val="bg-BG"/>
        </w:rPr>
        <w:t xml:space="preserve"> 218</w:t>
      </w:r>
    </w:p>
    <w:p w14:paraId="7958E6EF" w14:textId="77777777" w:rsidR="0069784B" w:rsidRPr="0028524F" w:rsidRDefault="0069784B">
      <w:pPr>
        <w:jc w:val="center"/>
        <w:rPr>
          <w:rFonts w:ascii="Times New Roman" w:hAnsi="Times New Roman"/>
          <w:b/>
          <w:szCs w:val="24"/>
          <w:lang w:val="bg-BG"/>
        </w:rPr>
      </w:pPr>
    </w:p>
    <w:p w14:paraId="62A06671" w14:textId="3D61C1B3" w:rsidR="0069784B" w:rsidRPr="0028524F" w:rsidRDefault="00FD000C">
      <w:pPr>
        <w:jc w:val="center"/>
        <w:rPr>
          <w:rFonts w:ascii="Times New Roman" w:hAnsi="Times New Roman"/>
          <w:b/>
          <w:sz w:val="30"/>
          <w:szCs w:val="30"/>
          <w:lang w:val="bg-BG"/>
        </w:rPr>
      </w:pPr>
      <w:r w:rsidRPr="0028524F">
        <w:rPr>
          <w:rFonts w:ascii="Times New Roman" w:hAnsi="Times New Roman"/>
          <w:b/>
          <w:sz w:val="30"/>
          <w:szCs w:val="30"/>
          <w:lang w:val="bg-BG"/>
        </w:rPr>
        <w:t>от</w:t>
      </w:r>
      <w:r w:rsidR="0069784B" w:rsidRPr="0028524F">
        <w:rPr>
          <w:rFonts w:ascii="Times New Roman" w:hAnsi="Times New Roman"/>
          <w:b/>
          <w:sz w:val="30"/>
          <w:szCs w:val="30"/>
          <w:lang w:val="bg-BG"/>
        </w:rPr>
        <w:t xml:space="preserve">      </w:t>
      </w:r>
      <w:r w:rsidR="00E34C30">
        <w:rPr>
          <w:rFonts w:ascii="Times New Roman" w:hAnsi="Times New Roman"/>
          <w:b/>
          <w:sz w:val="30"/>
          <w:szCs w:val="30"/>
          <w:lang w:val="bg-BG"/>
        </w:rPr>
        <w:t>22</w:t>
      </w:r>
      <w:r w:rsidR="0069784B" w:rsidRPr="0028524F">
        <w:rPr>
          <w:rFonts w:ascii="Times New Roman" w:hAnsi="Times New Roman"/>
          <w:b/>
          <w:sz w:val="30"/>
          <w:szCs w:val="30"/>
          <w:lang w:val="bg-BG"/>
        </w:rPr>
        <w:t xml:space="preserve"> </w:t>
      </w:r>
      <w:r w:rsidR="00216388" w:rsidRPr="0028524F">
        <w:rPr>
          <w:rFonts w:ascii="Times New Roman" w:hAnsi="Times New Roman"/>
          <w:b/>
          <w:sz w:val="30"/>
          <w:szCs w:val="30"/>
          <w:lang w:val="bg-BG"/>
        </w:rPr>
        <w:t xml:space="preserve">   </w:t>
      </w:r>
      <w:r w:rsidR="0069784B" w:rsidRPr="0028524F">
        <w:rPr>
          <w:rFonts w:ascii="Times New Roman" w:hAnsi="Times New Roman"/>
          <w:b/>
          <w:sz w:val="30"/>
          <w:szCs w:val="30"/>
          <w:lang w:val="bg-BG"/>
        </w:rPr>
        <w:t xml:space="preserve">  </w:t>
      </w:r>
      <w:r w:rsidR="00E34C30">
        <w:rPr>
          <w:rFonts w:ascii="Times New Roman" w:hAnsi="Times New Roman"/>
          <w:b/>
          <w:sz w:val="30"/>
          <w:szCs w:val="30"/>
          <w:lang w:val="bg-BG"/>
        </w:rPr>
        <w:t>октомври</w:t>
      </w:r>
      <w:r w:rsidR="0069784B" w:rsidRPr="0028524F">
        <w:rPr>
          <w:rFonts w:ascii="Times New Roman" w:hAnsi="Times New Roman"/>
          <w:b/>
          <w:sz w:val="30"/>
          <w:szCs w:val="30"/>
          <w:lang w:val="bg-BG"/>
        </w:rPr>
        <w:t xml:space="preserve">      20</w:t>
      </w:r>
      <w:r w:rsidR="005C05D8" w:rsidRPr="0028524F">
        <w:rPr>
          <w:rFonts w:ascii="Times New Roman" w:hAnsi="Times New Roman"/>
          <w:b/>
          <w:sz w:val="30"/>
          <w:szCs w:val="30"/>
          <w:lang w:val="bg-BG"/>
        </w:rPr>
        <w:t>2</w:t>
      </w:r>
      <w:r w:rsidR="00F67D0A" w:rsidRPr="0028524F">
        <w:rPr>
          <w:rFonts w:ascii="Times New Roman" w:hAnsi="Times New Roman"/>
          <w:b/>
          <w:sz w:val="30"/>
          <w:szCs w:val="30"/>
          <w:lang w:val="bg-BG"/>
        </w:rPr>
        <w:t>5</w:t>
      </w:r>
      <w:r w:rsidR="0069784B" w:rsidRPr="0028524F">
        <w:rPr>
          <w:rFonts w:ascii="Times New Roman" w:hAnsi="Times New Roman"/>
          <w:b/>
          <w:sz w:val="30"/>
          <w:szCs w:val="30"/>
          <w:lang w:val="bg-BG"/>
        </w:rPr>
        <w:t xml:space="preserve"> </w:t>
      </w:r>
      <w:r w:rsidRPr="0028524F">
        <w:rPr>
          <w:rFonts w:ascii="Times New Roman" w:hAnsi="Times New Roman"/>
          <w:b/>
          <w:sz w:val="30"/>
          <w:szCs w:val="30"/>
          <w:lang w:val="bg-BG"/>
        </w:rPr>
        <w:t>година</w:t>
      </w:r>
    </w:p>
    <w:p w14:paraId="3E86F490" w14:textId="77777777" w:rsidR="00D36324" w:rsidRPr="0028524F" w:rsidRDefault="00D36324">
      <w:pPr>
        <w:rPr>
          <w:rFonts w:ascii="Times New Roman" w:hAnsi="Times New Roman"/>
          <w:b/>
          <w:lang w:val="bg-BG"/>
        </w:rPr>
      </w:pPr>
    </w:p>
    <w:p w14:paraId="5A610749" w14:textId="77777777" w:rsidR="005866D4" w:rsidRPr="0028524F" w:rsidRDefault="005866D4">
      <w:pPr>
        <w:rPr>
          <w:rFonts w:ascii="Times New Roman" w:hAnsi="Times New Roman"/>
          <w:b/>
          <w:lang w:val="bg-BG"/>
        </w:rPr>
      </w:pPr>
    </w:p>
    <w:p w14:paraId="57616697" w14:textId="1746CAFE" w:rsidR="0069784B" w:rsidRPr="0028524F" w:rsidRDefault="0069784B" w:rsidP="00EC4717">
      <w:pPr>
        <w:spacing w:line="276" w:lineRule="auto"/>
        <w:ind w:left="1701" w:right="754" w:hanging="567"/>
        <w:jc w:val="both"/>
        <w:rPr>
          <w:rFonts w:ascii="Arial" w:hAnsi="Arial" w:cs="Arial"/>
          <w:b/>
          <w:smallCaps/>
          <w:sz w:val="26"/>
          <w:szCs w:val="26"/>
          <w:lang w:val="bg-BG"/>
        </w:rPr>
      </w:pPr>
      <w:r w:rsidRPr="0028524F">
        <w:rPr>
          <w:rFonts w:ascii="NewSaturionCyr" w:hAnsi="NewSaturionCyr" w:cs="Arial"/>
          <w:b/>
          <w:sz w:val="28"/>
          <w:szCs w:val="28"/>
          <w:lang w:val="bg-BG"/>
        </w:rPr>
        <w:t>ЗА</w:t>
      </w:r>
      <w:r w:rsidR="00951281" w:rsidRPr="0028524F">
        <w:rPr>
          <w:rFonts w:ascii="NewSaturionCyr" w:hAnsi="NewSaturionCyr" w:cs="Arial"/>
          <w:b/>
          <w:sz w:val="26"/>
          <w:szCs w:val="26"/>
          <w:lang w:val="bg-BG"/>
        </w:rPr>
        <w:t xml:space="preserve"> </w:t>
      </w:r>
      <w:r w:rsidR="0028524F" w:rsidRPr="0028524F">
        <w:rPr>
          <w:rFonts w:ascii="Arial" w:hAnsi="Arial" w:cs="Arial"/>
          <w:b/>
          <w:smallCaps/>
          <w:sz w:val="28"/>
          <w:szCs w:val="28"/>
          <w:lang w:val="bg-BG" w:eastAsia="bg-BG"/>
        </w:rPr>
        <w:t xml:space="preserve">одобряване на допълнителни трансфери по бюджетите на общините за 2025 г. </w:t>
      </w:r>
      <w:bookmarkStart w:id="0" w:name="_Hlk127802523"/>
      <w:r w:rsidR="0028524F" w:rsidRPr="0028524F">
        <w:rPr>
          <w:rFonts w:ascii="Arial" w:hAnsi="Arial" w:cs="Arial"/>
          <w:b/>
          <w:smallCaps/>
          <w:sz w:val="28"/>
          <w:szCs w:val="28"/>
          <w:lang w:val="bg-BG" w:eastAsia="bg-BG"/>
        </w:rPr>
        <w:t xml:space="preserve">за </w:t>
      </w:r>
      <w:bookmarkEnd w:id="0"/>
      <w:r w:rsidR="0028524F" w:rsidRPr="0028524F">
        <w:rPr>
          <w:rFonts w:ascii="Arial" w:hAnsi="Arial" w:cs="Arial"/>
          <w:b/>
          <w:smallCaps/>
          <w:sz w:val="28"/>
          <w:szCs w:val="28"/>
          <w:lang w:val="bg-BG" w:eastAsia="bg-BG"/>
        </w:rPr>
        <w:t>изпълнение на дейности по национални програми, одобрени с Решение № 294 на Министерския съвет от 2025 г.</w:t>
      </w:r>
    </w:p>
    <w:p w14:paraId="4EA99E59" w14:textId="77777777" w:rsidR="00E22D77" w:rsidRPr="0028524F" w:rsidRDefault="00E22D77" w:rsidP="00E22D77">
      <w:pPr>
        <w:jc w:val="center"/>
        <w:rPr>
          <w:rFonts w:ascii="Arial" w:hAnsi="Arial"/>
          <w:spacing w:val="40"/>
          <w:szCs w:val="24"/>
          <w:lang w:val="bg-BG"/>
        </w:rPr>
      </w:pPr>
    </w:p>
    <w:p w14:paraId="5C2CA0F6" w14:textId="77777777" w:rsidR="00E22D77" w:rsidRPr="0028524F" w:rsidRDefault="00E22D77" w:rsidP="00E22D77">
      <w:pPr>
        <w:jc w:val="center"/>
        <w:rPr>
          <w:rFonts w:ascii="Arial" w:hAnsi="Arial"/>
          <w:smallCaps/>
          <w:szCs w:val="24"/>
          <w:lang w:val="bg-BG"/>
        </w:rPr>
      </w:pPr>
    </w:p>
    <w:p w14:paraId="3727D509" w14:textId="77777777" w:rsidR="0069784B" w:rsidRPr="0028524F" w:rsidRDefault="00FD000C">
      <w:pPr>
        <w:pStyle w:val="Heading1"/>
        <w:widowControl/>
        <w:spacing w:line="360" w:lineRule="auto"/>
        <w:rPr>
          <w:rFonts w:ascii="Times New Roman" w:hAnsi="Times New Roman"/>
          <w:spacing w:val="40"/>
          <w:sz w:val="28"/>
          <w:szCs w:val="28"/>
          <w:lang w:val="bg-BG"/>
        </w:rPr>
      </w:pPr>
      <w:r w:rsidRPr="0028524F">
        <w:rPr>
          <w:rFonts w:ascii="Times New Roman" w:hAnsi="Times New Roman"/>
          <w:spacing w:val="40"/>
          <w:sz w:val="28"/>
          <w:szCs w:val="28"/>
          <w:lang w:val="bg-BG"/>
        </w:rPr>
        <w:t>М</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И</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Н</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И</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С</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Т</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Е</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Р</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С</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К</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И</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Я</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Т</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С</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Ъ</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В</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Е</w:t>
      </w:r>
      <w:r w:rsidR="0069784B" w:rsidRPr="0028524F">
        <w:rPr>
          <w:rFonts w:ascii="Times New Roman" w:hAnsi="Times New Roman"/>
          <w:spacing w:val="40"/>
          <w:sz w:val="28"/>
          <w:szCs w:val="28"/>
          <w:lang w:val="bg-BG"/>
        </w:rPr>
        <w:t xml:space="preserve"> </w:t>
      </w:r>
      <w:r w:rsidRPr="0028524F">
        <w:rPr>
          <w:rFonts w:ascii="Times New Roman" w:hAnsi="Times New Roman"/>
          <w:spacing w:val="40"/>
          <w:sz w:val="28"/>
          <w:szCs w:val="28"/>
          <w:lang w:val="bg-BG"/>
        </w:rPr>
        <w:t>Т</w:t>
      </w:r>
    </w:p>
    <w:p w14:paraId="0E2481AE" w14:textId="77777777" w:rsidR="0069784B" w:rsidRPr="0028524F" w:rsidRDefault="00FD000C">
      <w:pPr>
        <w:jc w:val="center"/>
        <w:rPr>
          <w:rFonts w:ascii="Times New Roman" w:hAnsi="Times New Roman"/>
          <w:b/>
          <w:spacing w:val="40"/>
          <w:sz w:val="28"/>
          <w:szCs w:val="28"/>
          <w:lang w:val="bg-BG"/>
        </w:rPr>
      </w:pPr>
      <w:r w:rsidRPr="0028524F">
        <w:rPr>
          <w:rFonts w:ascii="Times New Roman" w:hAnsi="Times New Roman"/>
          <w:b/>
          <w:spacing w:val="40"/>
          <w:sz w:val="28"/>
          <w:szCs w:val="28"/>
          <w:lang w:val="bg-BG"/>
        </w:rPr>
        <w:t>П</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О</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С</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Т</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А</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Н</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О</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В</w:t>
      </w:r>
      <w:r w:rsidR="0069784B" w:rsidRPr="0028524F">
        <w:rPr>
          <w:rFonts w:ascii="Times New Roman" w:hAnsi="Times New Roman"/>
          <w:b/>
          <w:spacing w:val="40"/>
          <w:sz w:val="28"/>
          <w:szCs w:val="28"/>
          <w:lang w:val="bg-BG"/>
        </w:rPr>
        <w:t xml:space="preserve"> </w:t>
      </w:r>
      <w:r w:rsidRPr="0028524F">
        <w:rPr>
          <w:rFonts w:ascii="Times New Roman" w:hAnsi="Times New Roman"/>
          <w:b/>
          <w:spacing w:val="40"/>
          <w:sz w:val="28"/>
          <w:szCs w:val="28"/>
          <w:lang w:val="bg-BG"/>
        </w:rPr>
        <w:t>И</w:t>
      </w:r>
      <w:r w:rsidR="0069784B" w:rsidRPr="0028524F">
        <w:rPr>
          <w:rFonts w:ascii="Times New Roman" w:hAnsi="Times New Roman"/>
          <w:b/>
          <w:spacing w:val="40"/>
          <w:sz w:val="28"/>
          <w:szCs w:val="28"/>
          <w:lang w:val="bg-BG"/>
        </w:rPr>
        <w:t>:</w:t>
      </w:r>
    </w:p>
    <w:p w14:paraId="298FA7A9" w14:textId="77777777" w:rsidR="0069784B" w:rsidRPr="0028524F" w:rsidRDefault="0069784B">
      <w:pPr>
        <w:jc w:val="center"/>
        <w:rPr>
          <w:rFonts w:ascii="Arial" w:hAnsi="Arial"/>
          <w:spacing w:val="40"/>
          <w:szCs w:val="24"/>
          <w:lang w:val="bg-BG"/>
        </w:rPr>
      </w:pPr>
    </w:p>
    <w:p w14:paraId="071FC1C2" w14:textId="77777777" w:rsidR="00D706BF" w:rsidRPr="0028524F" w:rsidRDefault="00D706BF" w:rsidP="00CB6660">
      <w:pPr>
        <w:jc w:val="center"/>
        <w:rPr>
          <w:rFonts w:ascii="Arial" w:hAnsi="Arial"/>
          <w:smallCaps/>
          <w:szCs w:val="24"/>
          <w:lang w:val="bg-BG"/>
        </w:rPr>
      </w:pPr>
    </w:p>
    <w:p w14:paraId="550472E0" w14:textId="123EAB50" w:rsidR="0028524F" w:rsidRPr="0028524F" w:rsidRDefault="0028524F" w:rsidP="0028524F">
      <w:pPr>
        <w:tabs>
          <w:tab w:val="left" w:pos="993"/>
          <w:tab w:val="left" w:pos="1134"/>
        </w:tabs>
        <w:spacing w:line="360" w:lineRule="auto"/>
        <w:ind w:firstLine="1134"/>
        <w:jc w:val="both"/>
        <w:rPr>
          <w:rFonts w:ascii="Arial" w:hAnsi="Arial" w:cs="Arial"/>
          <w:sz w:val="28"/>
          <w:szCs w:val="28"/>
          <w:lang w:val="bg-BG"/>
        </w:rPr>
      </w:pPr>
      <w:r w:rsidRPr="0028524F">
        <w:rPr>
          <w:rFonts w:ascii="Arial" w:hAnsi="Arial" w:cs="Arial"/>
          <w:b/>
          <w:bCs/>
          <w:sz w:val="28"/>
          <w:szCs w:val="28"/>
          <w:lang w:val="bg-BG" w:eastAsia="bg-BG"/>
        </w:rPr>
        <w:t>Чл. 1.</w:t>
      </w:r>
      <w:r w:rsidRPr="0028524F">
        <w:rPr>
          <w:rFonts w:ascii="Arial" w:hAnsi="Arial" w:cs="Arial"/>
          <w:sz w:val="28"/>
          <w:szCs w:val="28"/>
          <w:lang w:val="bg-BG" w:eastAsia="bg-BG"/>
        </w:rPr>
        <w:t xml:space="preserve"> </w:t>
      </w:r>
      <w:r w:rsidRPr="0028524F">
        <w:rPr>
          <w:rFonts w:ascii="Arial" w:hAnsi="Arial" w:cs="Arial"/>
          <w:b/>
          <w:bCs/>
          <w:iCs/>
          <w:sz w:val="28"/>
          <w:szCs w:val="28"/>
          <w:lang w:val="bg-BG" w:eastAsia="bg-BG"/>
        </w:rPr>
        <w:t>(1)</w:t>
      </w:r>
      <w:r w:rsidRPr="0028524F">
        <w:rPr>
          <w:rFonts w:ascii="Arial" w:hAnsi="Arial" w:cs="Arial"/>
          <w:sz w:val="28"/>
          <w:szCs w:val="28"/>
          <w:lang w:val="bg-BG" w:eastAsia="bg-BG"/>
        </w:rPr>
        <w:t xml:space="preserve"> Одобрява допълнителни трансфери по бюджетите на общините за 2025 г. в размер 6</w:t>
      </w:r>
      <w:r w:rsidR="0059689E">
        <w:rPr>
          <w:rFonts w:ascii="Arial" w:hAnsi="Arial" w:cs="Arial"/>
          <w:sz w:val="28"/>
          <w:szCs w:val="28"/>
          <w:lang w:val="bg-BG" w:eastAsia="bg-BG"/>
        </w:rPr>
        <w:t xml:space="preserve"> </w:t>
      </w:r>
      <w:r w:rsidRPr="0028524F">
        <w:rPr>
          <w:rFonts w:ascii="Arial" w:hAnsi="Arial" w:cs="Arial"/>
          <w:sz w:val="28"/>
          <w:szCs w:val="28"/>
          <w:lang w:val="bg-BG" w:eastAsia="bg-BG"/>
        </w:rPr>
        <w:t>391 488 лв., разпределени съгласно приложението</w:t>
      </w:r>
      <w:r w:rsidR="0059689E">
        <w:rPr>
          <w:rFonts w:ascii="Arial" w:hAnsi="Arial" w:cs="Arial"/>
          <w:sz w:val="28"/>
          <w:szCs w:val="28"/>
          <w:lang w:val="bg-BG" w:eastAsia="bg-BG"/>
        </w:rPr>
        <w:t>,</w:t>
      </w:r>
      <w:r w:rsidRPr="0028524F">
        <w:rPr>
          <w:rFonts w:ascii="Arial" w:hAnsi="Arial" w:cs="Arial"/>
          <w:sz w:val="28"/>
          <w:szCs w:val="28"/>
          <w:lang w:val="bg-BG" w:eastAsia="bg-BG"/>
        </w:rPr>
        <w:t xml:space="preserve"> за финансово осигуряване на дейности:</w:t>
      </w:r>
      <w:r w:rsidRPr="0028524F">
        <w:rPr>
          <w:rFonts w:ascii="Arial" w:hAnsi="Arial" w:cs="Arial"/>
          <w:sz w:val="28"/>
          <w:szCs w:val="28"/>
          <w:lang w:val="bg-BG"/>
        </w:rPr>
        <w:t xml:space="preserve"> </w:t>
      </w:r>
    </w:p>
    <w:p w14:paraId="26B7DF55" w14:textId="3E83F239"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iCs/>
          <w:sz w:val="28"/>
          <w:szCs w:val="28"/>
          <w:lang w:val="bg-BG"/>
        </w:rPr>
      </w:pPr>
      <w:r>
        <w:rPr>
          <w:rFonts w:ascii="Arial" w:hAnsi="Arial" w:cs="Arial"/>
          <w:sz w:val="28"/>
          <w:szCs w:val="28"/>
          <w:lang w:val="bg-BG"/>
        </w:rPr>
        <w:t xml:space="preserve">по </w:t>
      </w:r>
      <w:r w:rsidR="0028524F" w:rsidRPr="0028524F">
        <w:rPr>
          <w:rFonts w:ascii="Arial" w:hAnsi="Arial" w:cs="Arial"/>
          <w:sz w:val="28"/>
          <w:szCs w:val="28"/>
          <w:lang w:val="bg-BG"/>
        </w:rPr>
        <w:t xml:space="preserve">Национална програма </w:t>
      </w:r>
      <w:r w:rsidR="0028524F" w:rsidRPr="0028524F">
        <w:rPr>
          <w:rFonts w:ascii="Arial" w:hAnsi="Arial" w:cs="Arial"/>
          <w:bCs/>
          <w:sz w:val="28"/>
          <w:szCs w:val="28"/>
          <w:lang w:val="bg-BG"/>
        </w:rPr>
        <w:t xml:space="preserve">„Безопасност на движението по пътищата“, </w:t>
      </w:r>
      <w:r w:rsidR="0028524F" w:rsidRPr="0028524F">
        <w:rPr>
          <w:rFonts w:ascii="Arial" w:hAnsi="Arial" w:cs="Arial"/>
          <w:iCs/>
          <w:sz w:val="28"/>
          <w:szCs w:val="28"/>
          <w:lang w:val="bg-BG"/>
        </w:rPr>
        <w:t>модул 2 „Площадки за обучение по безопасност на движението по пътищата“ – 714</w:t>
      </w:r>
      <w:r>
        <w:rPr>
          <w:rFonts w:ascii="Arial" w:hAnsi="Arial" w:cs="Arial"/>
          <w:iCs/>
          <w:sz w:val="28"/>
          <w:szCs w:val="28"/>
          <w:lang w:val="bg-BG"/>
        </w:rPr>
        <w:t xml:space="preserve"> </w:t>
      </w:r>
      <w:r w:rsidR="0028524F" w:rsidRPr="0028524F">
        <w:rPr>
          <w:rFonts w:ascii="Arial" w:hAnsi="Arial" w:cs="Arial"/>
          <w:iCs/>
          <w:sz w:val="28"/>
          <w:szCs w:val="28"/>
          <w:lang w:val="bg-BG"/>
        </w:rPr>
        <w:t>633 лв.;</w:t>
      </w:r>
    </w:p>
    <w:p w14:paraId="76FF7F31" w14:textId="0DD0CAE8"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Национална програма „</w:t>
      </w:r>
      <w:r w:rsidR="0028524F" w:rsidRPr="0028524F">
        <w:rPr>
          <w:rFonts w:ascii="Arial" w:hAnsi="Arial" w:cs="Arial"/>
          <w:bCs/>
          <w:sz w:val="28"/>
          <w:szCs w:val="28"/>
          <w:lang w:val="bg-BG"/>
        </w:rPr>
        <w:t>Осигуряване на съвременна, сигурна и достъпна образователна среда</w:t>
      </w:r>
      <w:r w:rsidR="0028524F" w:rsidRPr="0028524F">
        <w:rPr>
          <w:rFonts w:ascii="Arial" w:hAnsi="Arial" w:cs="Arial"/>
          <w:i/>
          <w:iCs/>
          <w:sz w:val="28"/>
          <w:szCs w:val="28"/>
          <w:lang w:val="bg-BG"/>
        </w:rPr>
        <w:t xml:space="preserve">“, </w:t>
      </w:r>
      <w:r w:rsidR="0028524F" w:rsidRPr="0028524F">
        <w:rPr>
          <w:rFonts w:ascii="Arial" w:hAnsi="Arial" w:cs="Arial"/>
          <w:sz w:val="28"/>
          <w:szCs w:val="28"/>
          <w:lang w:val="bg-BG"/>
        </w:rPr>
        <w:t>модул 3 „Създаване на достъпна архитектурна среда“ – 464</w:t>
      </w:r>
      <w:r>
        <w:rPr>
          <w:rFonts w:ascii="Arial" w:hAnsi="Arial" w:cs="Arial"/>
          <w:sz w:val="28"/>
          <w:szCs w:val="28"/>
          <w:lang w:val="bg-BG"/>
        </w:rPr>
        <w:t xml:space="preserve"> </w:t>
      </w:r>
      <w:r w:rsidR="0028524F" w:rsidRPr="0028524F">
        <w:rPr>
          <w:rFonts w:ascii="Arial" w:hAnsi="Arial" w:cs="Arial"/>
          <w:sz w:val="28"/>
          <w:szCs w:val="28"/>
          <w:lang w:val="bg-BG"/>
        </w:rPr>
        <w:t>010 лв.;</w:t>
      </w:r>
    </w:p>
    <w:p w14:paraId="42BF674C" w14:textId="2E71BFEB"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Национална програма „Без агресия за сигурна образователна среда“, модул 2 „Училище без агресия за сигурна образователна среда“ – 18</w:t>
      </w:r>
      <w:r>
        <w:rPr>
          <w:rFonts w:ascii="Arial" w:hAnsi="Arial" w:cs="Arial"/>
          <w:sz w:val="28"/>
          <w:szCs w:val="28"/>
          <w:lang w:val="bg-BG"/>
        </w:rPr>
        <w:t xml:space="preserve"> </w:t>
      </w:r>
      <w:r w:rsidR="0028524F" w:rsidRPr="0028524F">
        <w:rPr>
          <w:rFonts w:ascii="Arial" w:hAnsi="Arial" w:cs="Arial"/>
          <w:sz w:val="28"/>
          <w:szCs w:val="28"/>
          <w:lang w:val="bg-BG"/>
        </w:rPr>
        <w:t>500 лв.;</w:t>
      </w:r>
    </w:p>
    <w:p w14:paraId="43EAA90C" w14:textId="66F04148"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 xml:space="preserve">Национална програма „Без свободен час“ – </w:t>
      </w:r>
      <w:r>
        <w:rPr>
          <w:rFonts w:ascii="Arial" w:hAnsi="Arial" w:cs="Arial"/>
          <w:sz w:val="28"/>
          <w:szCs w:val="28"/>
          <w:lang w:val="bg-BG"/>
        </w:rPr>
        <w:br/>
      </w:r>
      <w:r w:rsidR="0028524F" w:rsidRPr="0028524F">
        <w:rPr>
          <w:rFonts w:ascii="Arial" w:hAnsi="Arial" w:cs="Arial"/>
          <w:sz w:val="28"/>
          <w:szCs w:val="28"/>
          <w:lang w:val="bg-BG"/>
        </w:rPr>
        <w:t>3</w:t>
      </w:r>
      <w:r>
        <w:rPr>
          <w:rFonts w:ascii="Arial" w:hAnsi="Arial" w:cs="Arial"/>
          <w:sz w:val="28"/>
          <w:szCs w:val="28"/>
          <w:lang w:val="bg-BG"/>
        </w:rPr>
        <w:t xml:space="preserve"> </w:t>
      </w:r>
      <w:r w:rsidR="0028524F" w:rsidRPr="0028524F">
        <w:rPr>
          <w:rFonts w:ascii="Arial" w:hAnsi="Arial" w:cs="Arial"/>
          <w:sz w:val="28"/>
          <w:szCs w:val="28"/>
          <w:lang w:val="bg-BG"/>
        </w:rPr>
        <w:t>138 734 лв.;</w:t>
      </w:r>
    </w:p>
    <w:p w14:paraId="1C64146B" w14:textId="7A109934"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eastAsiaTheme="minorHAnsi"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 xml:space="preserve">Национална програма „Информационни и комуникационни технологии (ИКТ) в системата на предучилищното и </w:t>
      </w:r>
      <w:r w:rsidR="0028524F" w:rsidRPr="0028524F">
        <w:rPr>
          <w:rFonts w:ascii="Arial" w:hAnsi="Arial" w:cs="Arial"/>
          <w:sz w:val="28"/>
          <w:szCs w:val="28"/>
          <w:lang w:val="bg-BG"/>
        </w:rPr>
        <w:lastRenderedPageBreak/>
        <w:t>училищното образование“, м</w:t>
      </w:r>
      <w:r w:rsidR="00456069">
        <w:rPr>
          <w:rFonts w:ascii="Arial" w:hAnsi="Arial" w:cs="Arial"/>
          <w:sz w:val="28"/>
          <w:szCs w:val="28"/>
          <w:lang w:val="bg-BG"/>
        </w:rPr>
        <w:t>я</w:t>
      </w:r>
      <w:r w:rsidR="0028524F" w:rsidRPr="0028524F">
        <w:rPr>
          <w:rFonts w:ascii="Arial" w:hAnsi="Arial" w:cs="Arial"/>
          <w:sz w:val="28"/>
          <w:szCs w:val="28"/>
          <w:lang w:val="bg-BG"/>
        </w:rPr>
        <w:t xml:space="preserve">рка 5.1 </w:t>
      </w:r>
      <w:r w:rsidR="0028524F" w:rsidRPr="0028524F">
        <w:rPr>
          <w:rFonts w:ascii="Arial" w:eastAsiaTheme="minorHAnsi" w:hAnsi="Arial" w:cs="Arial"/>
          <w:sz w:val="28"/>
          <w:szCs w:val="28"/>
          <w:lang w:val="bg-BG"/>
        </w:rPr>
        <w:t>„Внедряване на иновативни софтуерни решения за управление на учебния процес и осигуряване на възможности за съвместна работа от разстояние и в хибридна среда, вкл</w:t>
      </w:r>
      <w:r>
        <w:rPr>
          <w:rFonts w:ascii="Arial" w:eastAsiaTheme="minorHAnsi" w:hAnsi="Arial" w:cs="Arial"/>
          <w:sz w:val="28"/>
          <w:szCs w:val="28"/>
          <w:lang w:val="bg-BG"/>
        </w:rPr>
        <w:t>ючително</w:t>
      </w:r>
      <w:r w:rsidR="0028524F" w:rsidRPr="0028524F">
        <w:rPr>
          <w:rFonts w:ascii="Arial" w:eastAsiaTheme="minorHAnsi" w:hAnsi="Arial" w:cs="Arial"/>
          <w:sz w:val="28"/>
          <w:szCs w:val="28"/>
          <w:lang w:val="bg-BG"/>
        </w:rPr>
        <w:t xml:space="preserve"> чрез използване на изкуствен интелект“ – </w:t>
      </w:r>
      <w:r>
        <w:rPr>
          <w:rFonts w:ascii="Arial" w:hAnsi="Arial" w:cs="Arial"/>
          <w:sz w:val="28"/>
          <w:szCs w:val="28"/>
          <w:lang w:val="bg-BG"/>
        </w:rPr>
        <w:br/>
      </w:r>
      <w:r w:rsidR="0028524F" w:rsidRPr="0028524F">
        <w:rPr>
          <w:rFonts w:ascii="Arial" w:eastAsiaTheme="minorHAnsi" w:hAnsi="Arial" w:cs="Arial"/>
          <w:sz w:val="28"/>
          <w:szCs w:val="28"/>
          <w:lang w:val="bg-BG"/>
        </w:rPr>
        <w:t>671</w:t>
      </w:r>
      <w:r>
        <w:rPr>
          <w:rFonts w:ascii="Arial" w:eastAsiaTheme="minorHAnsi" w:hAnsi="Arial" w:cs="Arial"/>
          <w:sz w:val="28"/>
          <w:szCs w:val="28"/>
          <w:lang w:val="bg-BG"/>
        </w:rPr>
        <w:t xml:space="preserve"> </w:t>
      </w:r>
      <w:r w:rsidR="0028524F" w:rsidRPr="0028524F">
        <w:rPr>
          <w:rFonts w:ascii="Arial" w:eastAsiaTheme="minorHAnsi" w:hAnsi="Arial" w:cs="Arial"/>
          <w:sz w:val="28"/>
          <w:szCs w:val="28"/>
          <w:lang w:val="bg-BG"/>
        </w:rPr>
        <w:t>784 лв.;</w:t>
      </w:r>
    </w:p>
    <w:p w14:paraId="4670054B" w14:textId="29AE9B56" w:rsidR="0028524F" w:rsidRPr="0028524F" w:rsidRDefault="0059689E"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Национална програма „Професионално образование и обучение“, модул 1 „Модернизиране на материално-техническата база“ – 450</w:t>
      </w:r>
      <w:r>
        <w:rPr>
          <w:rFonts w:ascii="Arial" w:hAnsi="Arial" w:cs="Arial"/>
          <w:sz w:val="28"/>
          <w:szCs w:val="28"/>
          <w:lang w:val="bg-BG"/>
        </w:rPr>
        <w:t xml:space="preserve"> </w:t>
      </w:r>
      <w:r w:rsidR="0028524F" w:rsidRPr="0028524F">
        <w:rPr>
          <w:rFonts w:ascii="Arial" w:hAnsi="Arial" w:cs="Arial"/>
          <w:sz w:val="28"/>
          <w:szCs w:val="28"/>
          <w:lang w:val="bg-BG"/>
        </w:rPr>
        <w:t>240 лв.;</w:t>
      </w:r>
    </w:p>
    <w:p w14:paraId="5287DF78" w14:textId="00B2BAFA" w:rsidR="0028524F" w:rsidRPr="0028524F" w:rsidRDefault="00171545"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Национална програма „Хубаво е в детската градина“ – 726 373 лв.;</w:t>
      </w:r>
    </w:p>
    <w:p w14:paraId="4194D489" w14:textId="6975CE7A" w:rsidR="0028524F" w:rsidRPr="0028524F" w:rsidRDefault="00171545" w:rsidP="0028524F">
      <w:pPr>
        <w:pStyle w:val="ListParagraph"/>
        <w:widowControl/>
        <w:numPr>
          <w:ilvl w:val="0"/>
          <w:numId w:val="1"/>
        </w:numPr>
        <w:tabs>
          <w:tab w:val="left" w:pos="0"/>
          <w:tab w:val="left" w:pos="567"/>
          <w:tab w:val="left" w:pos="993"/>
          <w:tab w:val="left" w:pos="1560"/>
        </w:tabs>
        <w:autoSpaceDE/>
        <w:autoSpaceDN/>
        <w:adjustRightInd/>
        <w:spacing w:line="360" w:lineRule="auto"/>
        <w:ind w:left="0" w:firstLine="1134"/>
        <w:jc w:val="both"/>
        <w:rPr>
          <w:rFonts w:ascii="Arial" w:hAnsi="Arial" w:cs="Arial"/>
          <w:sz w:val="28"/>
          <w:szCs w:val="28"/>
          <w:lang w:val="bg-BG"/>
        </w:rPr>
      </w:pPr>
      <w:r>
        <w:rPr>
          <w:rFonts w:ascii="Arial" w:hAnsi="Arial" w:cs="Arial"/>
          <w:sz w:val="28"/>
          <w:szCs w:val="28"/>
          <w:lang w:val="bg-BG"/>
        </w:rPr>
        <w:t>по</w:t>
      </w:r>
      <w:r w:rsidRPr="0028524F">
        <w:rPr>
          <w:rFonts w:ascii="Arial" w:hAnsi="Arial" w:cs="Arial"/>
          <w:sz w:val="28"/>
          <w:szCs w:val="28"/>
          <w:lang w:val="bg-BG"/>
        </w:rPr>
        <w:t xml:space="preserve"> </w:t>
      </w:r>
      <w:r w:rsidR="0028524F" w:rsidRPr="0028524F">
        <w:rPr>
          <w:rFonts w:ascii="Arial" w:hAnsi="Arial" w:cs="Arial"/>
          <w:sz w:val="28"/>
          <w:szCs w:val="28"/>
          <w:lang w:val="bg-BG"/>
        </w:rPr>
        <w:t>Национална програма „Умения на фокус“,</w:t>
      </w:r>
      <w:r w:rsidR="0028524F" w:rsidRPr="0028524F">
        <w:rPr>
          <w:rFonts w:ascii="Arial" w:hAnsi="Arial" w:cs="Arial"/>
          <w:b/>
          <w:bCs/>
          <w:sz w:val="28"/>
          <w:szCs w:val="28"/>
          <w:lang w:val="bg-BG"/>
        </w:rPr>
        <w:t xml:space="preserve"> </w:t>
      </w:r>
      <w:r w:rsidR="0028524F" w:rsidRPr="0028524F">
        <w:rPr>
          <w:rFonts w:ascii="Arial" w:hAnsi="Arial" w:cs="Arial"/>
          <w:sz w:val="28"/>
          <w:szCs w:val="28"/>
          <w:lang w:val="bg-BG"/>
        </w:rPr>
        <w:t>модул 2 „Финансова грамотност“ – 98</w:t>
      </w:r>
      <w:r>
        <w:rPr>
          <w:rFonts w:ascii="Arial" w:hAnsi="Arial" w:cs="Arial"/>
          <w:sz w:val="28"/>
          <w:szCs w:val="28"/>
          <w:lang w:val="bg-BG"/>
        </w:rPr>
        <w:t xml:space="preserve"> </w:t>
      </w:r>
      <w:r w:rsidR="0028524F" w:rsidRPr="0028524F">
        <w:rPr>
          <w:rFonts w:ascii="Arial" w:hAnsi="Arial" w:cs="Arial"/>
          <w:sz w:val="28"/>
          <w:szCs w:val="28"/>
          <w:lang w:val="bg-BG"/>
        </w:rPr>
        <w:t>220 лв.</w:t>
      </w:r>
      <w:r>
        <w:rPr>
          <w:rFonts w:ascii="Arial" w:hAnsi="Arial" w:cs="Arial"/>
          <w:sz w:val="28"/>
          <w:szCs w:val="28"/>
          <w:lang w:val="bg-BG"/>
        </w:rPr>
        <w:t>,</w:t>
      </w:r>
      <w:r w:rsidR="0028524F" w:rsidRPr="0028524F">
        <w:rPr>
          <w:rFonts w:ascii="Arial" w:hAnsi="Arial" w:cs="Arial"/>
          <w:sz w:val="28"/>
          <w:szCs w:val="28"/>
          <w:lang w:val="bg-BG"/>
        </w:rPr>
        <w:t xml:space="preserve"> и модул 4 „Позитивни нагласи“ – 108</w:t>
      </w:r>
      <w:r>
        <w:rPr>
          <w:rFonts w:ascii="Arial" w:hAnsi="Arial" w:cs="Arial"/>
          <w:sz w:val="28"/>
          <w:szCs w:val="28"/>
          <w:lang w:val="bg-BG"/>
        </w:rPr>
        <w:t xml:space="preserve"> </w:t>
      </w:r>
      <w:r w:rsidR="0028524F" w:rsidRPr="0028524F">
        <w:rPr>
          <w:rFonts w:ascii="Arial" w:hAnsi="Arial" w:cs="Arial"/>
          <w:sz w:val="28"/>
          <w:szCs w:val="28"/>
          <w:lang w:val="bg-BG"/>
        </w:rPr>
        <w:t>994 лв.</w:t>
      </w:r>
    </w:p>
    <w:p w14:paraId="05AA72BA" w14:textId="677F0366" w:rsidR="0028524F" w:rsidRPr="0028524F" w:rsidRDefault="0028524F" w:rsidP="0028524F">
      <w:pPr>
        <w:tabs>
          <w:tab w:val="left" w:pos="993"/>
          <w:tab w:val="left" w:pos="1134"/>
        </w:tabs>
        <w:spacing w:line="360" w:lineRule="auto"/>
        <w:ind w:firstLine="1134"/>
        <w:jc w:val="both"/>
        <w:rPr>
          <w:rFonts w:ascii="Arial" w:hAnsi="Arial" w:cs="Arial"/>
          <w:sz w:val="28"/>
          <w:szCs w:val="28"/>
          <w:lang w:val="bg-BG" w:eastAsia="bg-BG"/>
        </w:rPr>
      </w:pPr>
      <w:r w:rsidRPr="0028524F">
        <w:rPr>
          <w:rFonts w:ascii="Arial" w:hAnsi="Arial" w:cs="Arial"/>
          <w:b/>
          <w:bCs/>
          <w:sz w:val="28"/>
          <w:szCs w:val="28"/>
          <w:lang w:val="bg-BG" w:eastAsia="bg-BG"/>
        </w:rPr>
        <w:t>(2)</w:t>
      </w:r>
      <w:r w:rsidRPr="0028524F">
        <w:rPr>
          <w:rFonts w:ascii="Arial" w:hAnsi="Arial" w:cs="Arial"/>
          <w:sz w:val="28"/>
          <w:szCs w:val="28"/>
          <w:lang w:val="bg-BG" w:eastAsia="bg-BG"/>
        </w:rPr>
        <w:t xml:space="preserve"> Допълнителните трансфери по ал. 1 да се осигурят за сметка на намаляване на утвърдените разходи по „Политика в областта на всеобхватното, достъпно и качествено предучилищно и училищно образование. Учене през целия живот“, бюджетна програма „Осигуряване на качеството в системата на предучилищното и училищното образование“</w:t>
      </w:r>
      <w:r w:rsidR="00171545">
        <w:rPr>
          <w:rFonts w:ascii="Arial" w:hAnsi="Arial" w:cs="Arial"/>
          <w:sz w:val="28"/>
          <w:szCs w:val="28"/>
          <w:lang w:val="bg-BG" w:eastAsia="bg-BG"/>
        </w:rPr>
        <w:t>,</w:t>
      </w:r>
      <w:r w:rsidRPr="0028524F">
        <w:rPr>
          <w:rFonts w:ascii="Arial" w:hAnsi="Arial" w:cs="Arial"/>
          <w:sz w:val="28"/>
          <w:szCs w:val="28"/>
          <w:lang w:val="bg-BG" w:eastAsia="bg-BG"/>
        </w:rPr>
        <w:t xml:space="preserve"> по бюджета на Министерството на образованието и науката за 2025 г.</w:t>
      </w:r>
    </w:p>
    <w:p w14:paraId="76FFECB5" w14:textId="77777777" w:rsidR="0028524F" w:rsidRPr="0028524F" w:rsidRDefault="0028524F" w:rsidP="0028524F">
      <w:pPr>
        <w:tabs>
          <w:tab w:val="left" w:pos="851"/>
        </w:tabs>
        <w:spacing w:line="360" w:lineRule="auto"/>
        <w:ind w:firstLine="1134"/>
        <w:jc w:val="both"/>
        <w:rPr>
          <w:rFonts w:ascii="Arial" w:hAnsi="Arial" w:cs="Arial"/>
          <w:sz w:val="28"/>
          <w:szCs w:val="28"/>
          <w:lang w:val="bg-BG" w:eastAsia="bg-BG"/>
        </w:rPr>
      </w:pPr>
      <w:r w:rsidRPr="0028524F">
        <w:rPr>
          <w:rFonts w:ascii="Arial" w:hAnsi="Arial" w:cs="Arial"/>
          <w:b/>
          <w:bCs/>
          <w:sz w:val="28"/>
          <w:szCs w:val="28"/>
          <w:lang w:val="bg-BG" w:eastAsia="bg-BG"/>
        </w:rPr>
        <w:t>(3)</w:t>
      </w:r>
      <w:r w:rsidRPr="0028524F">
        <w:rPr>
          <w:rFonts w:ascii="Arial" w:hAnsi="Arial" w:cs="Arial"/>
          <w:sz w:val="28"/>
          <w:szCs w:val="28"/>
          <w:lang w:val="bg-BG" w:eastAsia="bg-BG"/>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намаляване на бюджетното взаимоотношение на централния бюджет с бюджета на Министерството на образованието и науката за 2025 г.</w:t>
      </w:r>
    </w:p>
    <w:p w14:paraId="5328E339" w14:textId="65C5C816" w:rsidR="0028524F" w:rsidRPr="0028524F" w:rsidRDefault="0028524F" w:rsidP="0028524F">
      <w:pPr>
        <w:tabs>
          <w:tab w:val="left" w:pos="993"/>
          <w:tab w:val="left" w:pos="1134"/>
        </w:tabs>
        <w:spacing w:line="360" w:lineRule="auto"/>
        <w:ind w:firstLine="1134"/>
        <w:jc w:val="both"/>
        <w:rPr>
          <w:rFonts w:ascii="Arial" w:hAnsi="Arial" w:cs="Arial"/>
          <w:sz w:val="28"/>
          <w:szCs w:val="28"/>
          <w:lang w:val="bg-BG" w:eastAsia="bg-BG"/>
        </w:rPr>
      </w:pPr>
      <w:r w:rsidRPr="0028524F">
        <w:rPr>
          <w:rFonts w:ascii="Arial" w:hAnsi="Arial" w:cs="Arial"/>
          <w:b/>
          <w:bCs/>
          <w:sz w:val="28"/>
          <w:szCs w:val="28"/>
          <w:lang w:val="bg-BG" w:eastAsia="bg-BG"/>
        </w:rPr>
        <w:t>Чл. 2.</w:t>
      </w:r>
      <w:r w:rsidRPr="0028524F">
        <w:rPr>
          <w:rFonts w:ascii="Arial" w:hAnsi="Arial" w:cs="Arial"/>
          <w:sz w:val="28"/>
          <w:szCs w:val="28"/>
          <w:lang w:val="bg-BG" w:eastAsia="bg-BG"/>
        </w:rPr>
        <w:t xml:space="preserve"> Със сумата по чл.</w:t>
      </w:r>
      <w:r w:rsidR="00456069">
        <w:rPr>
          <w:rFonts w:ascii="Arial" w:hAnsi="Arial" w:cs="Arial"/>
          <w:sz w:val="28"/>
          <w:szCs w:val="28"/>
          <w:lang w:val="bg-BG" w:eastAsia="bg-BG"/>
        </w:rPr>
        <w:t xml:space="preserve"> </w:t>
      </w:r>
      <w:r w:rsidRPr="0028524F">
        <w:rPr>
          <w:rFonts w:ascii="Arial" w:hAnsi="Arial" w:cs="Arial"/>
          <w:sz w:val="28"/>
          <w:szCs w:val="28"/>
          <w:lang w:val="bg-BG" w:eastAsia="bg-BG"/>
        </w:rPr>
        <w:t>1, ал. 1 да се намалят показателите по чл. 16, ал. 3 от Закона за държавния бюджет на Република България за 2025 г.</w:t>
      </w:r>
    </w:p>
    <w:p w14:paraId="62A1EB21" w14:textId="77777777" w:rsidR="0028524F" w:rsidRPr="0028524F" w:rsidRDefault="0028524F" w:rsidP="0028524F">
      <w:pPr>
        <w:tabs>
          <w:tab w:val="left" w:pos="993"/>
          <w:tab w:val="left" w:pos="1134"/>
        </w:tabs>
        <w:spacing w:line="360" w:lineRule="auto"/>
        <w:ind w:firstLine="1134"/>
        <w:jc w:val="both"/>
        <w:rPr>
          <w:rFonts w:ascii="Arial" w:hAnsi="Arial" w:cs="Arial"/>
          <w:sz w:val="28"/>
          <w:szCs w:val="28"/>
          <w:lang w:val="bg-BG" w:eastAsia="bg-BG"/>
        </w:rPr>
      </w:pPr>
      <w:r w:rsidRPr="0028524F">
        <w:rPr>
          <w:rFonts w:ascii="Arial" w:hAnsi="Arial" w:cs="Arial"/>
          <w:b/>
          <w:bCs/>
          <w:sz w:val="28"/>
          <w:szCs w:val="28"/>
          <w:lang w:val="bg-BG" w:eastAsia="bg-BG"/>
        </w:rPr>
        <w:lastRenderedPageBreak/>
        <w:t>Чл. 3.</w:t>
      </w:r>
      <w:r w:rsidRPr="0028524F">
        <w:rPr>
          <w:rFonts w:ascii="Arial" w:hAnsi="Arial" w:cs="Arial"/>
          <w:sz w:val="28"/>
          <w:szCs w:val="28"/>
          <w:lang w:val="bg-BG" w:eastAsia="bg-BG"/>
        </w:rPr>
        <w:t xml:space="preserve"> 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78C640A1" w14:textId="77777777" w:rsidR="0028524F" w:rsidRPr="0028524F" w:rsidRDefault="0028524F" w:rsidP="0028524F">
      <w:pPr>
        <w:tabs>
          <w:tab w:val="left" w:pos="993"/>
          <w:tab w:val="left" w:pos="1134"/>
        </w:tabs>
        <w:spacing w:line="360" w:lineRule="auto"/>
        <w:ind w:firstLine="1134"/>
        <w:jc w:val="both"/>
        <w:rPr>
          <w:rFonts w:ascii="Arial" w:hAnsi="Arial" w:cs="Arial"/>
          <w:sz w:val="28"/>
          <w:szCs w:val="28"/>
          <w:lang w:val="bg-BG" w:eastAsia="bg-BG"/>
        </w:rPr>
      </w:pPr>
      <w:r w:rsidRPr="0028524F">
        <w:rPr>
          <w:rFonts w:ascii="Arial" w:hAnsi="Arial" w:cs="Arial"/>
          <w:b/>
          <w:bCs/>
          <w:sz w:val="28"/>
          <w:szCs w:val="28"/>
          <w:lang w:val="bg-BG" w:eastAsia="bg-BG"/>
        </w:rPr>
        <w:t>Чл. 4.</w:t>
      </w:r>
      <w:r w:rsidRPr="0028524F">
        <w:rPr>
          <w:rFonts w:ascii="Arial" w:hAnsi="Arial" w:cs="Arial"/>
          <w:sz w:val="28"/>
          <w:szCs w:val="28"/>
          <w:lang w:val="bg-BG" w:eastAsia="bg-BG"/>
        </w:rPr>
        <w:t xml:space="preserve"> 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2025 г.</w:t>
      </w:r>
    </w:p>
    <w:p w14:paraId="69410F95" w14:textId="77777777" w:rsidR="0028524F" w:rsidRPr="0028524F" w:rsidRDefault="0028524F" w:rsidP="00171545">
      <w:pPr>
        <w:spacing w:before="240" w:after="320"/>
        <w:jc w:val="center"/>
        <w:rPr>
          <w:rFonts w:ascii="Times New Roman" w:hAnsi="Times New Roman"/>
          <w:b/>
          <w:smallCaps/>
          <w:sz w:val="28"/>
          <w:szCs w:val="28"/>
          <w:lang w:val="bg-BG" w:eastAsia="bg-BG"/>
        </w:rPr>
      </w:pPr>
      <w:r w:rsidRPr="0028524F">
        <w:rPr>
          <w:rFonts w:ascii="Times New Roman" w:hAnsi="Times New Roman"/>
          <w:b/>
          <w:smallCaps/>
          <w:sz w:val="28"/>
          <w:szCs w:val="28"/>
          <w:lang w:val="bg-BG" w:eastAsia="bg-BG"/>
        </w:rPr>
        <w:t>ЗАКЛЮЧИТЕЛНИ РАЗПОРЕДБИ</w:t>
      </w:r>
    </w:p>
    <w:p w14:paraId="73E7A952" w14:textId="59CD2310" w:rsidR="0028524F" w:rsidRPr="00171545" w:rsidRDefault="0028524F" w:rsidP="0028524F">
      <w:pPr>
        <w:pStyle w:val="title1"/>
        <w:tabs>
          <w:tab w:val="left" w:pos="851"/>
          <w:tab w:val="left" w:pos="1134"/>
        </w:tabs>
        <w:spacing w:before="0" w:beforeAutospacing="0" w:after="0" w:afterAutospacing="0" w:line="360" w:lineRule="auto"/>
        <w:ind w:firstLine="1134"/>
        <w:jc w:val="both"/>
        <w:rPr>
          <w:rFonts w:ascii="Arial" w:hAnsi="Arial" w:cs="Arial"/>
          <w:b w:val="0"/>
          <w:bCs w:val="0"/>
          <w:sz w:val="28"/>
          <w:szCs w:val="28"/>
          <w:lang w:val="bg-BG"/>
        </w:rPr>
      </w:pPr>
      <w:r w:rsidRPr="00171545">
        <w:rPr>
          <w:rFonts w:ascii="Arial" w:hAnsi="Arial" w:cs="Arial"/>
          <w:bCs w:val="0"/>
          <w:sz w:val="28"/>
          <w:szCs w:val="28"/>
          <w:lang w:val="bg-BG" w:eastAsia="bg-BG"/>
        </w:rPr>
        <w:t>§ 1.</w:t>
      </w:r>
      <w:r w:rsidRPr="0028524F">
        <w:rPr>
          <w:rFonts w:ascii="Arial" w:hAnsi="Arial" w:cs="Arial"/>
          <w:sz w:val="28"/>
          <w:szCs w:val="28"/>
          <w:lang w:val="bg-BG" w:eastAsia="bg-BG"/>
        </w:rPr>
        <w:t xml:space="preserve"> </w:t>
      </w:r>
      <w:r w:rsidRPr="0028524F">
        <w:rPr>
          <w:rFonts w:ascii="Arial" w:hAnsi="Arial" w:cs="Arial"/>
          <w:b w:val="0"/>
          <w:bCs w:val="0"/>
          <w:sz w:val="28"/>
          <w:szCs w:val="28"/>
          <w:lang w:val="bg-BG" w:eastAsia="bg-BG"/>
        </w:rPr>
        <w:t xml:space="preserve">Постановлението се приема на основание чл. 55a и </w:t>
      </w:r>
      <w:r w:rsidR="00171545">
        <w:rPr>
          <w:rFonts w:ascii="Arial" w:hAnsi="Arial" w:cs="Arial"/>
          <w:b w:val="0"/>
          <w:bCs w:val="0"/>
          <w:sz w:val="28"/>
          <w:szCs w:val="28"/>
          <w:lang w:val="bg-BG" w:eastAsia="bg-BG"/>
        </w:rPr>
        <w:br/>
      </w:r>
      <w:r w:rsidRPr="0028524F">
        <w:rPr>
          <w:rFonts w:ascii="Arial" w:hAnsi="Arial" w:cs="Arial"/>
          <w:b w:val="0"/>
          <w:bCs w:val="0"/>
          <w:sz w:val="28"/>
          <w:szCs w:val="28"/>
          <w:lang w:val="bg-BG" w:eastAsia="bg-BG"/>
        </w:rPr>
        <w:t>чл. 109, ал. 3 от Закона за публичните финанси във връзка с</w:t>
      </w:r>
      <w:r w:rsidRPr="0028524F">
        <w:rPr>
          <w:rFonts w:ascii="Arial" w:hAnsi="Arial" w:cs="Arial"/>
          <w:sz w:val="28"/>
          <w:szCs w:val="28"/>
          <w:lang w:val="bg-BG" w:eastAsia="bg-BG"/>
        </w:rPr>
        <w:t xml:space="preserve"> </w:t>
      </w:r>
      <w:r w:rsidRPr="0028524F">
        <w:rPr>
          <w:rFonts w:ascii="Arial" w:hAnsi="Arial" w:cs="Arial"/>
          <w:b w:val="0"/>
          <w:bCs w:val="0"/>
          <w:sz w:val="28"/>
          <w:szCs w:val="28"/>
          <w:lang w:val="bg-BG"/>
        </w:rPr>
        <w:t>чл. 280, ал. 3, т. 4 от Закона за предучилищното и училищното образование и Решение № 294 на Министерския съвет от 2025 г. за одобряване на национални програми за развитие на образованието.</w:t>
      </w:r>
    </w:p>
    <w:p w14:paraId="19579B23" w14:textId="629199DB" w:rsidR="0028524F" w:rsidRPr="0028524F" w:rsidRDefault="0028524F" w:rsidP="0028524F">
      <w:pPr>
        <w:spacing w:line="360" w:lineRule="auto"/>
        <w:ind w:firstLine="1134"/>
        <w:jc w:val="both"/>
        <w:rPr>
          <w:rFonts w:ascii="Arial" w:hAnsi="Arial" w:cs="Arial"/>
          <w:sz w:val="28"/>
          <w:szCs w:val="28"/>
          <w:lang w:val="bg-BG" w:eastAsia="bg-BG"/>
        </w:rPr>
      </w:pPr>
      <w:r w:rsidRPr="0028524F">
        <w:rPr>
          <w:rFonts w:ascii="Arial" w:hAnsi="Arial" w:cs="Arial"/>
          <w:b/>
          <w:sz w:val="28"/>
          <w:szCs w:val="28"/>
          <w:lang w:val="bg-BG" w:eastAsia="bg-BG"/>
        </w:rPr>
        <w:t>§ 2.</w:t>
      </w:r>
      <w:r w:rsidRPr="0028524F">
        <w:rPr>
          <w:rFonts w:ascii="Arial" w:hAnsi="Arial" w:cs="Arial"/>
          <w:sz w:val="28"/>
          <w:szCs w:val="28"/>
          <w:lang w:val="bg-BG" w:eastAsia="bg-BG"/>
        </w:rPr>
        <w:t xml:space="preserve"> Изпълнението на </w:t>
      </w:r>
      <w:r w:rsidR="00171545" w:rsidRPr="0028524F">
        <w:rPr>
          <w:rFonts w:ascii="Arial" w:hAnsi="Arial" w:cs="Arial"/>
          <w:sz w:val="28"/>
          <w:szCs w:val="28"/>
          <w:lang w:val="bg-BG" w:eastAsia="bg-BG"/>
        </w:rPr>
        <w:t>п</w:t>
      </w:r>
      <w:r w:rsidRPr="0028524F">
        <w:rPr>
          <w:rFonts w:ascii="Arial" w:hAnsi="Arial" w:cs="Arial"/>
          <w:sz w:val="28"/>
          <w:szCs w:val="28"/>
          <w:lang w:val="bg-BG" w:eastAsia="bg-BG"/>
        </w:rPr>
        <w:t>остановлението се възлага на министъра на образованието и науката и на кметовете на съответните общини.</w:t>
      </w:r>
    </w:p>
    <w:p w14:paraId="50E75A5E" w14:textId="77777777" w:rsidR="0028524F" w:rsidRPr="0028524F" w:rsidRDefault="0028524F" w:rsidP="0028524F">
      <w:pPr>
        <w:spacing w:line="360" w:lineRule="auto"/>
        <w:ind w:firstLine="1134"/>
        <w:jc w:val="both"/>
        <w:rPr>
          <w:rFonts w:ascii="Arial" w:hAnsi="Arial" w:cs="Arial"/>
          <w:sz w:val="28"/>
          <w:szCs w:val="28"/>
          <w:lang w:val="bg-BG" w:eastAsia="bg-BG"/>
        </w:rPr>
      </w:pPr>
      <w:r w:rsidRPr="0028524F">
        <w:rPr>
          <w:rFonts w:ascii="Arial" w:hAnsi="Arial" w:cs="Arial"/>
          <w:b/>
          <w:sz w:val="28"/>
          <w:szCs w:val="28"/>
          <w:lang w:val="bg-BG" w:eastAsia="bg-BG"/>
        </w:rPr>
        <w:t>§ 3.</w:t>
      </w:r>
      <w:r w:rsidRPr="0028524F">
        <w:rPr>
          <w:rFonts w:ascii="Arial" w:hAnsi="Arial" w:cs="Arial"/>
          <w:sz w:val="28"/>
          <w:szCs w:val="28"/>
          <w:lang w:val="bg-BG" w:eastAsia="bg-BG"/>
        </w:rPr>
        <w:t xml:space="preserve"> Постановлението влиза в сила от деня на обнародването му в „Държавен вестник“.</w:t>
      </w:r>
    </w:p>
    <w:p w14:paraId="36B988C9" w14:textId="77777777" w:rsidR="003E5FC1" w:rsidRPr="0028524F" w:rsidRDefault="003E5FC1">
      <w:pPr>
        <w:ind w:firstLine="1134"/>
        <w:rPr>
          <w:rFonts w:ascii="Times New Roman" w:hAnsi="Times New Roman"/>
          <w:b/>
          <w:sz w:val="26"/>
          <w:szCs w:val="26"/>
          <w:lang w:val="bg-BG"/>
        </w:rPr>
      </w:pPr>
    </w:p>
    <w:p w14:paraId="06C157F2" w14:textId="77777777" w:rsidR="00021FCE" w:rsidRPr="0028524F" w:rsidRDefault="00021FCE">
      <w:pPr>
        <w:ind w:firstLine="1134"/>
        <w:rPr>
          <w:rFonts w:ascii="Times New Roman" w:hAnsi="Times New Roman"/>
          <w:b/>
          <w:sz w:val="26"/>
          <w:szCs w:val="26"/>
          <w:lang w:val="bg-BG"/>
        </w:rPr>
      </w:pPr>
    </w:p>
    <w:p w14:paraId="1E79AEF4" w14:textId="77777777" w:rsidR="00E34C30" w:rsidRPr="00895B59" w:rsidRDefault="00E34C30">
      <w:pPr>
        <w:ind w:firstLine="1134"/>
        <w:rPr>
          <w:rFonts w:ascii="Arial" w:hAnsi="Arial"/>
          <w:b/>
          <w:szCs w:val="24"/>
        </w:rPr>
      </w:pPr>
      <w:r w:rsidRPr="00895B59">
        <w:rPr>
          <w:rFonts w:ascii="Arial" w:hAnsi="Arial"/>
          <w:b/>
          <w:szCs w:val="24"/>
        </w:rPr>
        <w:t xml:space="preserve">ЗА МИНИСТЪР-ПРЕДСЕДАТЕЛ: /п/ </w:t>
      </w:r>
      <w:proofErr w:type="spellStart"/>
      <w:r w:rsidRPr="00895B59">
        <w:rPr>
          <w:rFonts w:ascii="Arial" w:hAnsi="Arial"/>
          <w:b/>
          <w:szCs w:val="24"/>
        </w:rPr>
        <w:t>Томислав</w:t>
      </w:r>
      <w:proofErr w:type="spellEnd"/>
      <w:r w:rsidRPr="00895B59">
        <w:rPr>
          <w:rFonts w:ascii="Arial" w:hAnsi="Arial"/>
          <w:b/>
          <w:szCs w:val="24"/>
        </w:rPr>
        <w:t xml:space="preserve"> </w:t>
      </w:r>
      <w:proofErr w:type="spellStart"/>
      <w:r w:rsidRPr="00895B59">
        <w:rPr>
          <w:rFonts w:ascii="Arial" w:hAnsi="Arial"/>
          <w:b/>
          <w:szCs w:val="24"/>
        </w:rPr>
        <w:t>Дончев</w:t>
      </w:r>
      <w:proofErr w:type="spellEnd"/>
    </w:p>
    <w:p w14:paraId="3D398941" w14:textId="77777777" w:rsidR="00E34C30" w:rsidRPr="00895B59" w:rsidRDefault="00E34C30">
      <w:pPr>
        <w:ind w:firstLine="1134"/>
        <w:rPr>
          <w:rFonts w:ascii="Arial" w:hAnsi="Arial"/>
          <w:b/>
          <w:szCs w:val="24"/>
        </w:rPr>
      </w:pPr>
    </w:p>
    <w:p w14:paraId="63534872" w14:textId="77777777" w:rsidR="00E34C30" w:rsidRPr="00895B59" w:rsidRDefault="00E34C30">
      <w:pPr>
        <w:ind w:firstLine="1134"/>
        <w:rPr>
          <w:rFonts w:ascii="Arial" w:hAnsi="Arial"/>
          <w:b/>
          <w:szCs w:val="24"/>
        </w:rPr>
      </w:pPr>
      <w:r w:rsidRPr="00895B59">
        <w:rPr>
          <w:rFonts w:ascii="Arial" w:hAnsi="Arial"/>
          <w:b/>
          <w:szCs w:val="24"/>
        </w:rPr>
        <w:t>ГЛАВЕН СЕКРЕТАР НА</w:t>
      </w:r>
    </w:p>
    <w:p w14:paraId="0D0F2259" w14:textId="77777777" w:rsidR="00E34C30" w:rsidRPr="00895B59" w:rsidRDefault="00E34C30">
      <w:pPr>
        <w:ind w:firstLine="1134"/>
        <w:rPr>
          <w:rFonts w:ascii="Arial" w:hAnsi="Arial"/>
          <w:b/>
          <w:szCs w:val="24"/>
        </w:rPr>
      </w:pPr>
      <w:r w:rsidRPr="00895B59">
        <w:rPr>
          <w:rFonts w:ascii="Arial" w:hAnsi="Arial"/>
          <w:b/>
          <w:szCs w:val="24"/>
        </w:rPr>
        <w:t xml:space="preserve">МИНИСТЕРСКИЯ СЪВЕТ: /п/ </w:t>
      </w:r>
      <w:proofErr w:type="spellStart"/>
      <w:r w:rsidRPr="00895B59">
        <w:rPr>
          <w:rFonts w:ascii="Arial" w:hAnsi="Arial" w:cs="Arial"/>
          <w:b/>
          <w:szCs w:val="24"/>
        </w:rPr>
        <w:t>Габриела</w:t>
      </w:r>
      <w:proofErr w:type="spellEnd"/>
      <w:r w:rsidRPr="00895B59">
        <w:rPr>
          <w:rFonts w:ascii="Arial" w:hAnsi="Arial" w:cs="Arial"/>
          <w:b/>
          <w:szCs w:val="24"/>
        </w:rPr>
        <w:t xml:space="preserve"> </w:t>
      </w:r>
      <w:proofErr w:type="spellStart"/>
      <w:r w:rsidRPr="00895B59">
        <w:rPr>
          <w:rFonts w:ascii="Arial" w:hAnsi="Arial" w:cs="Arial"/>
          <w:b/>
          <w:szCs w:val="24"/>
        </w:rPr>
        <w:t>Козарева</w:t>
      </w:r>
      <w:proofErr w:type="spellEnd"/>
    </w:p>
    <w:p w14:paraId="18A55726" w14:textId="77777777" w:rsidR="00E34C30" w:rsidRPr="00895B59" w:rsidRDefault="00E34C30">
      <w:pPr>
        <w:ind w:left="1134"/>
        <w:rPr>
          <w:rFonts w:ascii="Arial" w:hAnsi="Arial"/>
          <w:b/>
          <w:szCs w:val="24"/>
        </w:rPr>
      </w:pPr>
    </w:p>
    <w:sectPr w:rsidR="00E34C30" w:rsidRPr="00895B59" w:rsidSect="0059689E">
      <w:headerReference w:type="even" r:id="rId8"/>
      <w:headerReference w:type="default" r:id="rId9"/>
      <w:pgSz w:w="11906" w:h="16838" w:code="9"/>
      <w:pgMar w:top="1135" w:right="1417" w:bottom="851"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C5C1" w14:textId="77777777" w:rsidR="00C068A8" w:rsidRDefault="00C068A8">
      <w:r>
        <w:separator/>
      </w:r>
    </w:p>
  </w:endnote>
  <w:endnote w:type="continuationSeparator" w:id="0">
    <w:p w14:paraId="0090E1B9" w14:textId="77777777" w:rsidR="00C068A8" w:rsidRDefault="00C0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Cambria"/>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alibri"/>
    <w:charset w:val="00"/>
    <w:family w:val="auto"/>
    <w:pitch w:val="variable"/>
    <w:sig w:usb0="00000287" w:usb1="00000000" w:usb2="00000000" w:usb3="00000000" w:csb0="0000009F" w:csb1="00000000"/>
  </w:font>
  <w:font w:name="NewSaturionCyr">
    <w:altName w:val="Cambria"/>
    <w:charset w:val="00"/>
    <w:family w:val="roman"/>
    <w:pitch w:val="variable"/>
    <w:sig w:usb0="00000287" w:usb1="00000000" w:usb2="00000000" w:usb3="00000000" w:csb0="0000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09F3" w14:textId="77777777" w:rsidR="00C068A8" w:rsidRDefault="00C068A8">
      <w:r>
        <w:separator/>
      </w:r>
    </w:p>
  </w:footnote>
  <w:footnote w:type="continuationSeparator" w:id="0">
    <w:p w14:paraId="33414D8E" w14:textId="77777777" w:rsidR="00C068A8" w:rsidRDefault="00C0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0478062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24F">
      <w:rPr>
        <w:rStyle w:val="PageNumber"/>
        <w:noProof/>
      </w:rPr>
      <w:t>3</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84E90"/>
    <w:multiLevelType w:val="hybridMultilevel"/>
    <w:tmpl w:val="6A5EFC52"/>
    <w:lvl w:ilvl="0" w:tplc="347E3E1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16cid:durableId="105076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47C85"/>
    <w:rsid w:val="0006327C"/>
    <w:rsid w:val="00067840"/>
    <w:rsid w:val="000900B0"/>
    <w:rsid w:val="00092519"/>
    <w:rsid w:val="000A5A5D"/>
    <w:rsid w:val="000B0BBC"/>
    <w:rsid w:val="000E4F8B"/>
    <w:rsid w:val="0012240E"/>
    <w:rsid w:val="0012445B"/>
    <w:rsid w:val="00125CCA"/>
    <w:rsid w:val="00152094"/>
    <w:rsid w:val="00154A8D"/>
    <w:rsid w:val="00171545"/>
    <w:rsid w:val="0017323F"/>
    <w:rsid w:val="00196159"/>
    <w:rsid w:val="00197ECB"/>
    <w:rsid w:val="001C50AA"/>
    <w:rsid w:val="00216388"/>
    <w:rsid w:val="00227A73"/>
    <w:rsid w:val="002415EA"/>
    <w:rsid w:val="00252E84"/>
    <w:rsid w:val="00264BAE"/>
    <w:rsid w:val="0027415E"/>
    <w:rsid w:val="00276539"/>
    <w:rsid w:val="0028524F"/>
    <w:rsid w:val="00285C83"/>
    <w:rsid w:val="00294229"/>
    <w:rsid w:val="002B17FF"/>
    <w:rsid w:val="002C48A1"/>
    <w:rsid w:val="002D1FC8"/>
    <w:rsid w:val="002D3EAB"/>
    <w:rsid w:val="002D4F09"/>
    <w:rsid w:val="002D6CB7"/>
    <w:rsid w:val="002F5267"/>
    <w:rsid w:val="00317204"/>
    <w:rsid w:val="003178F6"/>
    <w:rsid w:val="003209F0"/>
    <w:rsid w:val="00324215"/>
    <w:rsid w:val="00330479"/>
    <w:rsid w:val="00342898"/>
    <w:rsid w:val="003439F5"/>
    <w:rsid w:val="00351B50"/>
    <w:rsid w:val="003679EE"/>
    <w:rsid w:val="00381D3A"/>
    <w:rsid w:val="00381ED3"/>
    <w:rsid w:val="00382499"/>
    <w:rsid w:val="003A400D"/>
    <w:rsid w:val="003B35E1"/>
    <w:rsid w:val="003B3E9B"/>
    <w:rsid w:val="003B7E56"/>
    <w:rsid w:val="003C09E4"/>
    <w:rsid w:val="003C605A"/>
    <w:rsid w:val="003E0565"/>
    <w:rsid w:val="003E070A"/>
    <w:rsid w:val="003E5FC1"/>
    <w:rsid w:val="0041576B"/>
    <w:rsid w:val="00426AA9"/>
    <w:rsid w:val="00436416"/>
    <w:rsid w:val="00444354"/>
    <w:rsid w:val="00456069"/>
    <w:rsid w:val="00457DCE"/>
    <w:rsid w:val="00464369"/>
    <w:rsid w:val="00477457"/>
    <w:rsid w:val="0048190C"/>
    <w:rsid w:val="00486748"/>
    <w:rsid w:val="00490BFD"/>
    <w:rsid w:val="00492697"/>
    <w:rsid w:val="00493252"/>
    <w:rsid w:val="00495CAA"/>
    <w:rsid w:val="004A748A"/>
    <w:rsid w:val="004A75DA"/>
    <w:rsid w:val="004B0AA8"/>
    <w:rsid w:val="004B2600"/>
    <w:rsid w:val="004B2CDC"/>
    <w:rsid w:val="004F05D9"/>
    <w:rsid w:val="004F61AF"/>
    <w:rsid w:val="005156CD"/>
    <w:rsid w:val="00531C93"/>
    <w:rsid w:val="005326F7"/>
    <w:rsid w:val="00534A47"/>
    <w:rsid w:val="00543779"/>
    <w:rsid w:val="005453AF"/>
    <w:rsid w:val="00556C1F"/>
    <w:rsid w:val="00567A9A"/>
    <w:rsid w:val="005763F1"/>
    <w:rsid w:val="005850DD"/>
    <w:rsid w:val="005866D4"/>
    <w:rsid w:val="00587E9E"/>
    <w:rsid w:val="0059689E"/>
    <w:rsid w:val="005A2374"/>
    <w:rsid w:val="005B0879"/>
    <w:rsid w:val="005B65BD"/>
    <w:rsid w:val="005C05D8"/>
    <w:rsid w:val="005C5DC0"/>
    <w:rsid w:val="005C7A30"/>
    <w:rsid w:val="005D496C"/>
    <w:rsid w:val="005F0028"/>
    <w:rsid w:val="005F25DA"/>
    <w:rsid w:val="00602070"/>
    <w:rsid w:val="006052C0"/>
    <w:rsid w:val="0061556D"/>
    <w:rsid w:val="006201D7"/>
    <w:rsid w:val="00620D25"/>
    <w:rsid w:val="0062272A"/>
    <w:rsid w:val="006232FA"/>
    <w:rsid w:val="00623A61"/>
    <w:rsid w:val="0063297D"/>
    <w:rsid w:val="006379BD"/>
    <w:rsid w:val="0064254B"/>
    <w:rsid w:val="00644E50"/>
    <w:rsid w:val="00647707"/>
    <w:rsid w:val="006510AF"/>
    <w:rsid w:val="00656943"/>
    <w:rsid w:val="00683DAE"/>
    <w:rsid w:val="00691DD2"/>
    <w:rsid w:val="00695182"/>
    <w:rsid w:val="0069784B"/>
    <w:rsid w:val="006B5080"/>
    <w:rsid w:val="006C0575"/>
    <w:rsid w:val="006C094E"/>
    <w:rsid w:val="006C221C"/>
    <w:rsid w:val="006C395B"/>
    <w:rsid w:val="006E02FB"/>
    <w:rsid w:val="006E0ADF"/>
    <w:rsid w:val="006E2499"/>
    <w:rsid w:val="006E7153"/>
    <w:rsid w:val="006F1FE2"/>
    <w:rsid w:val="007001C1"/>
    <w:rsid w:val="0074689D"/>
    <w:rsid w:val="00763AF6"/>
    <w:rsid w:val="007754A7"/>
    <w:rsid w:val="00776F6B"/>
    <w:rsid w:val="007813DB"/>
    <w:rsid w:val="007A4EC2"/>
    <w:rsid w:val="007A5B6B"/>
    <w:rsid w:val="007B19A2"/>
    <w:rsid w:val="007B2F68"/>
    <w:rsid w:val="007B5C00"/>
    <w:rsid w:val="007B6C33"/>
    <w:rsid w:val="007C673D"/>
    <w:rsid w:val="007D0760"/>
    <w:rsid w:val="007F277B"/>
    <w:rsid w:val="007F2E0F"/>
    <w:rsid w:val="00802EFD"/>
    <w:rsid w:val="00814380"/>
    <w:rsid w:val="00821491"/>
    <w:rsid w:val="0082238E"/>
    <w:rsid w:val="00833158"/>
    <w:rsid w:val="0084141C"/>
    <w:rsid w:val="00847576"/>
    <w:rsid w:val="00857862"/>
    <w:rsid w:val="00861142"/>
    <w:rsid w:val="008650EE"/>
    <w:rsid w:val="00867D3D"/>
    <w:rsid w:val="0087019F"/>
    <w:rsid w:val="00882DB3"/>
    <w:rsid w:val="008C3CA9"/>
    <w:rsid w:val="008D2269"/>
    <w:rsid w:val="008D2A67"/>
    <w:rsid w:val="008D7D91"/>
    <w:rsid w:val="008F603A"/>
    <w:rsid w:val="00906F9F"/>
    <w:rsid w:val="00931FC1"/>
    <w:rsid w:val="0094723C"/>
    <w:rsid w:val="00951281"/>
    <w:rsid w:val="00960F80"/>
    <w:rsid w:val="00972151"/>
    <w:rsid w:val="00990EE3"/>
    <w:rsid w:val="009B0DC9"/>
    <w:rsid w:val="009C5FA0"/>
    <w:rsid w:val="009C648A"/>
    <w:rsid w:val="009F3E15"/>
    <w:rsid w:val="009F3FF0"/>
    <w:rsid w:val="009F49ED"/>
    <w:rsid w:val="00A04226"/>
    <w:rsid w:val="00A04D4B"/>
    <w:rsid w:val="00A063E5"/>
    <w:rsid w:val="00A1006E"/>
    <w:rsid w:val="00A35770"/>
    <w:rsid w:val="00A55176"/>
    <w:rsid w:val="00A74CE1"/>
    <w:rsid w:val="00A80729"/>
    <w:rsid w:val="00A85B22"/>
    <w:rsid w:val="00A94062"/>
    <w:rsid w:val="00AA1C46"/>
    <w:rsid w:val="00AB3FB8"/>
    <w:rsid w:val="00AC0784"/>
    <w:rsid w:val="00AD095F"/>
    <w:rsid w:val="00AD318C"/>
    <w:rsid w:val="00AE2DE6"/>
    <w:rsid w:val="00AE3D48"/>
    <w:rsid w:val="00B11989"/>
    <w:rsid w:val="00B11B93"/>
    <w:rsid w:val="00B1764A"/>
    <w:rsid w:val="00B2692D"/>
    <w:rsid w:val="00B42829"/>
    <w:rsid w:val="00B6268D"/>
    <w:rsid w:val="00B87109"/>
    <w:rsid w:val="00B907F8"/>
    <w:rsid w:val="00BB5CC5"/>
    <w:rsid w:val="00BC41D2"/>
    <w:rsid w:val="00BE219E"/>
    <w:rsid w:val="00BE443F"/>
    <w:rsid w:val="00BE78D2"/>
    <w:rsid w:val="00BF6DD0"/>
    <w:rsid w:val="00C013F7"/>
    <w:rsid w:val="00C068A8"/>
    <w:rsid w:val="00C26636"/>
    <w:rsid w:val="00C31898"/>
    <w:rsid w:val="00C32007"/>
    <w:rsid w:val="00C32792"/>
    <w:rsid w:val="00C340AF"/>
    <w:rsid w:val="00C36C74"/>
    <w:rsid w:val="00C37E17"/>
    <w:rsid w:val="00CA635E"/>
    <w:rsid w:val="00CB498E"/>
    <w:rsid w:val="00CB6660"/>
    <w:rsid w:val="00CB7ECE"/>
    <w:rsid w:val="00CD3E96"/>
    <w:rsid w:val="00CD7E3B"/>
    <w:rsid w:val="00CE6258"/>
    <w:rsid w:val="00CF3DED"/>
    <w:rsid w:val="00D0293D"/>
    <w:rsid w:val="00D07D52"/>
    <w:rsid w:val="00D24537"/>
    <w:rsid w:val="00D36324"/>
    <w:rsid w:val="00D36EA5"/>
    <w:rsid w:val="00D541F7"/>
    <w:rsid w:val="00D577F6"/>
    <w:rsid w:val="00D64005"/>
    <w:rsid w:val="00D706BF"/>
    <w:rsid w:val="00D72FA1"/>
    <w:rsid w:val="00D77612"/>
    <w:rsid w:val="00DA3660"/>
    <w:rsid w:val="00DB6DFC"/>
    <w:rsid w:val="00DC6623"/>
    <w:rsid w:val="00DD3B8A"/>
    <w:rsid w:val="00DD5D3C"/>
    <w:rsid w:val="00DD65D6"/>
    <w:rsid w:val="00DF44E4"/>
    <w:rsid w:val="00E06857"/>
    <w:rsid w:val="00E12BDF"/>
    <w:rsid w:val="00E1617C"/>
    <w:rsid w:val="00E22D77"/>
    <w:rsid w:val="00E27170"/>
    <w:rsid w:val="00E27CD2"/>
    <w:rsid w:val="00E34C30"/>
    <w:rsid w:val="00E4091B"/>
    <w:rsid w:val="00E4148B"/>
    <w:rsid w:val="00E559D6"/>
    <w:rsid w:val="00E81695"/>
    <w:rsid w:val="00E8632C"/>
    <w:rsid w:val="00E92561"/>
    <w:rsid w:val="00E93D38"/>
    <w:rsid w:val="00EB3DE8"/>
    <w:rsid w:val="00EC1D81"/>
    <w:rsid w:val="00EC4717"/>
    <w:rsid w:val="00ED2ED2"/>
    <w:rsid w:val="00ED33EA"/>
    <w:rsid w:val="00EE1225"/>
    <w:rsid w:val="00EE2BA6"/>
    <w:rsid w:val="00F02FD2"/>
    <w:rsid w:val="00F22A8B"/>
    <w:rsid w:val="00F33064"/>
    <w:rsid w:val="00F43D91"/>
    <w:rsid w:val="00F5141D"/>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uiPriority w:val="34"/>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 w:type="paragraph" w:customStyle="1" w:styleId="title1">
    <w:name w:val="title1"/>
    <w:basedOn w:val="Normal"/>
    <w:rsid w:val="0028524F"/>
    <w:pPr>
      <w:spacing w:before="100" w:beforeAutospacing="1" w:after="100" w:afterAutospacing="1"/>
      <w:jc w:val="center"/>
    </w:pPr>
    <w:rPr>
      <w:rFonts w:ascii="Times New Roman" w:hAnsi="Times New Roman"/>
      <w:b/>
      <w:bCs/>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612D-CC7F-4F1E-9F00-2CB0DABB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3027</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Галина Смелова</cp:lastModifiedBy>
  <cp:revision>2</cp:revision>
  <cp:lastPrinted>2014-09-08T10:42:00Z</cp:lastPrinted>
  <dcterms:created xsi:type="dcterms:W3CDTF">2025-10-22T14:17:00Z</dcterms:created>
  <dcterms:modified xsi:type="dcterms:W3CDTF">2025-10-22T14:17:00Z</dcterms:modified>
</cp:coreProperties>
</file>