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2205" w14:textId="77777777" w:rsidR="00AD087A" w:rsidRPr="00845AB7" w:rsidRDefault="00AD087A">
      <w:pPr>
        <w:jc w:val="center"/>
        <w:rPr>
          <w:rFonts w:ascii="Times New Roman" w:hAnsi="Times New Roman"/>
          <w:b/>
          <w:sz w:val="36"/>
          <w:szCs w:val="36"/>
          <w:lang w:val="bg-BG"/>
        </w:rPr>
      </w:pPr>
      <w:r w:rsidRPr="00845AB7">
        <w:rPr>
          <w:rFonts w:ascii="Times New Roman" w:hAnsi="Times New Roman"/>
          <w:b/>
          <w:sz w:val="36"/>
          <w:szCs w:val="36"/>
          <w:lang w:val="bg-BG"/>
        </w:rPr>
        <w:t>М  О  Т  И  В  И</w:t>
      </w:r>
    </w:p>
    <w:p w14:paraId="5B3907F6" w14:textId="77777777" w:rsidR="00AD087A" w:rsidRPr="00FA0D73" w:rsidRDefault="00AD087A">
      <w:pPr>
        <w:jc w:val="center"/>
        <w:rPr>
          <w:rFonts w:ascii="Times New Roman" w:hAnsi="Times New Roman"/>
          <w:b/>
          <w:sz w:val="26"/>
          <w:szCs w:val="26"/>
          <w:lang w:val="bg-BG"/>
        </w:rPr>
      </w:pPr>
    </w:p>
    <w:p w14:paraId="35F342CE" w14:textId="42F00EFA" w:rsidR="00AD087A" w:rsidRPr="00845AB7" w:rsidRDefault="00AD087A" w:rsidP="00E522E9">
      <w:pPr>
        <w:spacing w:line="288" w:lineRule="auto"/>
        <w:jc w:val="center"/>
        <w:rPr>
          <w:rFonts w:ascii="Times New Roman" w:hAnsi="Times New Roman"/>
          <w:b/>
          <w:smallCaps/>
          <w:sz w:val="28"/>
          <w:szCs w:val="28"/>
          <w:lang w:val="bg-BG"/>
        </w:rPr>
      </w:pPr>
      <w:r w:rsidRPr="00845AB7">
        <w:rPr>
          <w:rFonts w:ascii="Times New Roman" w:hAnsi="Times New Roman"/>
          <w:b/>
          <w:smallCaps/>
          <w:sz w:val="28"/>
          <w:szCs w:val="28"/>
          <w:lang w:val="bg-BG"/>
        </w:rPr>
        <w:t xml:space="preserve">към проекта на Закон за </w:t>
      </w:r>
      <w:r w:rsidR="00FA0D73" w:rsidRPr="00845AB7">
        <w:rPr>
          <w:rFonts w:ascii="Times New Roman" w:hAnsi="Times New Roman"/>
          <w:b/>
          <w:smallCaps/>
          <w:sz w:val="28"/>
          <w:szCs w:val="28"/>
          <w:lang w:val="bg-BG"/>
        </w:rPr>
        <w:t>ратифициране на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w:t>
      </w:r>
    </w:p>
    <w:p w14:paraId="2A72F89D" w14:textId="77777777" w:rsidR="00AD087A" w:rsidRPr="00FA0D73"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00381EE" w14:textId="1BAD2E1B" w:rsidR="00FA0D73" w:rsidRPr="00FA0D73" w:rsidRDefault="00FA0D73" w:rsidP="00C66E26">
      <w:pPr>
        <w:tabs>
          <w:tab w:val="left" w:pos="708"/>
          <w:tab w:val="center" w:pos="4153"/>
          <w:tab w:val="right" w:pos="8306"/>
        </w:tabs>
        <w:spacing w:before="120" w:after="120" w:line="288" w:lineRule="auto"/>
        <w:ind w:right="-6" w:firstLine="1134"/>
        <w:jc w:val="both"/>
        <w:rPr>
          <w:rFonts w:ascii="Arial" w:hAnsi="Arial" w:cs="Arial"/>
          <w:sz w:val="28"/>
          <w:szCs w:val="28"/>
          <w:lang w:val="bg-BG" w:eastAsia="bg-BG"/>
        </w:rPr>
      </w:pPr>
      <w:r w:rsidRPr="00FA0D73">
        <w:rPr>
          <w:rFonts w:ascii="Arial" w:hAnsi="Arial" w:cs="Arial"/>
          <w:bCs/>
          <w:sz w:val="28"/>
          <w:szCs w:val="28"/>
          <w:lang w:val="bg-BG"/>
        </w:rPr>
        <w:t xml:space="preserve">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 </w:t>
      </w:r>
      <w:r w:rsidRPr="00FA0D73">
        <w:rPr>
          <w:rFonts w:ascii="Arial" w:hAnsi="Arial" w:cs="Arial"/>
          <w:sz w:val="28"/>
          <w:szCs w:val="28"/>
          <w:lang w:val="bg-BG" w:eastAsia="bg-BG"/>
        </w:rPr>
        <w:t>(Спогодбата)</w:t>
      </w:r>
      <w:r w:rsidRPr="00FA0D73">
        <w:rPr>
          <w:rFonts w:ascii="Arial" w:hAnsi="Arial" w:cs="Arial"/>
          <w:bCs/>
          <w:sz w:val="28"/>
          <w:szCs w:val="28"/>
          <w:lang w:val="bg-BG"/>
        </w:rPr>
        <w:t xml:space="preserve"> е подписана на 10 декември 2024 г. в Брюксел. </w:t>
      </w:r>
    </w:p>
    <w:p w14:paraId="519C8377" w14:textId="77777777" w:rsidR="00FA0D73" w:rsidRPr="00FA0D73" w:rsidRDefault="00FA0D73" w:rsidP="00C66E26">
      <w:pPr>
        <w:tabs>
          <w:tab w:val="left" w:pos="708"/>
          <w:tab w:val="center" w:pos="4153"/>
          <w:tab w:val="right" w:pos="8306"/>
        </w:tabs>
        <w:spacing w:before="120" w:after="120" w:line="288" w:lineRule="auto"/>
        <w:ind w:right="-6" w:firstLine="1134"/>
        <w:jc w:val="both"/>
        <w:rPr>
          <w:rFonts w:ascii="Arial" w:hAnsi="Arial" w:cs="Arial"/>
          <w:bCs/>
          <w:sz w:val="28"/>
          <w:szCs w:val="28"/>
          <w:lang w:val="bg-BG"/>
        </w:rPr>
      </w:pPr>
      <w:r w:rsidRPr="00FA0D73">
        <w:rPr>
          <w:rFonts w:ascii="Arial" w:hAnsi="Arial" w:cs="Arial"/>
          <w:sz w:val="28"/>
          <w:szCs w:val="28"/>
          <w:lang w:val="bg-BG"/>
        </w:rPr>
        <w:t>Спогодбите за избягване на двойното данъчно облагане (СИДДО) имат ключова роля за икономическия растеж и развитие на страната и се договарят и сключват както в подкрепа на местните лица, така и за стимулиране на международната търговия и двустранните инвестиции. Основната цел на СИДДО е да създадат правна рамка, която благоприятства икономическите връзки между държавите чрез създаване на подходяща среда за търговия, стопански инициативи и инвестиции, като едновременно с това предвиждат надеждни механизми за противодействие на заобикалянето или избягването на данъчното облагане.</w:t>
      </w:r>
    </w:p>
    <w:p w14:paraId="7C6C5DBE" w14:textId="207BDDE1"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 xml:space="preserve">Малта е държава - членка на Европейския съюз от 2004 г. Страната е на десето място в Европейския съюз по БВП на глава от населението </w:t>
      </w:r>
      <w:r w:rsidR="00C038E0">
        <w:rPr>
          <w:rFonts w:ascii="Arial" w:hAnsi="Arial" w:cs="Arial"/>
          <w:sz w:val="28"/>
          <w:szCs w:val="28"/>
          <w:lang w:val="bg-BG" w:eastAsia="bg-BG"/>
        </w:rPr>
        <w:t>-</w:t>
      </w:r>
      <w:r w:rsidRPr="00FA0D73">
        <w:rPr>
          <w:rFonts w:ascii="Arial" w:hAnsi="Arial" w:cs="Arial"/>
          <w:sz w:val="28"/>
          <w:szCs w:val="28"/>
          <w:lang w:val="bg-BG" w:eastAsia="bg-BG"/>
        </w:rPr>
        <w:t xml:space="preserve"> чийто размер е 39 500 евро, което е над средното ниво за ЕС (37 600 евро). Делът на страната в общия БВП на ЕС е 0,1 %. Малта е член на Еврозоната от 1 януари 2008 г.</w:t>
      </w:r>
    </w:p>
    <w:p w14:paraId="64554958" w14:textId="4AFBC286"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bCs/>
          <w:sz w:val="28"/>
          <w:szCs w:val="28"/>
          <w:lang w:val="bg-BG"/>
        </w:rPr>
      </w:pPr>
      <w:r w:rsidRPr="00FA0D73">
        <w:rPr>
          <w:rFonts w:ascii="Arial" w:hAnsi="Arial" w:cs="Arial"/>
          <w:sz w:val="28"/>
          <w:szCs w:val="28"/>
          <w:lang w:val="bg-BG" w:eastAsia="bg-BG"/>
        </w:rPr>
        <w:t>До края на второ</w:t>
      </w:r>
      <w:r w:rsidR="00C038E0">
        <w:rPr>
          <w:rFonts w:ascii="Arial" w:hAnsi="Arial" w:cs="Arial"/>
          <w:sz w:val="28"/>
          <w:szCs w:val="28"/>
          <w:lang w:val="bg-BG" w:eastAsia="bg-BG"/>
        </w:rPr>
        <w:t>то</w:t>
      </w:r>
      <w:r w:rsidRPr="00FA0D73">
        <w:rPr>
          <w:rFonts w:ascii="Arial" w:hAnsi="Arial" w:cs="Arial"/>
          <w:sz w:val="28"/>
          <w:szCs w:val="28"/>
          <w:lang w:val="bg-BG" w:eastAsia="bg-BG"/>
        </w:rPr>
        <w:t xml:space="preserve"> тримесечие на 2024 г. малтийските инвестиции в България възлизат сумарно на 894</w:t>
      </w:r>
      <w:r w:rsidR="00C038E0">
        <w:rPr>
          <w:rFonts w:ascii="Arial" w:hAnsi="Arial" w:cs="Arial"/>
          <w:sz w:val="28"/>
          <w:szCs w:val="28"/>
          <w:lang w:val="bg-BG" w:eastAsia="bg-BG"/>
        </w:rPr>
        <w:t>,</w:t>
      </w:r>
      <w:r w:rsidRPr="00FA0D73">
        <w:rPr>
          <w:rFonts w:ascii="Arial" w:hAnsi="Arial" w:cs="Arial"/>
          <w:sz w:val="28"/>
          <w:szCs w:val="28"/>
          <w:lang w:val="bg-BG" w:eastAsia="bg-BG"/>
        </w:rPr>
        <w:t>6 млн. евро по данни на БНБ. През последното десетилетие стокообменът между България и Малта се характеризира с пикове и спадове, като обемът на стокообмена се движи в диапазона между 108</w:t>
      </w:r>
      <w:r w:rsidR="00C038E0">
        <w:rPr>
          <w:rFonts w:ascii="Arial" w:hAnsi="Arial" w:cs="Arial"/>
          <w:sz w:val="28"/>
          <w:szCs w:val="28"/>
          <w:lang w:val="bg-BG" w:eastAsia="bg-BG"/>
        </w:rPr>
        <w:t>,</w:t>
      </w:r>
      <w:r w:rsidRPr="00FA0D73">
        <w:rPr>
          <w:rFonts w:ascii="Arial" w:hAnsi="Arial" w:cs="Arial"/>
          <w:sz w:val="28"/>
          <w:szCs w:val="28"/>
          <w:lang w:val="bg-BG" w:eastAsia="bg-BG"/>
        </w:rPr>
        <w:t xml:space="preserve">9 млн. евро за </w:t>
      </w:r>
      <w:r w:rsidR="00C038E0">
        <w:rPr>
          <w:rFonts w:ascii="Arial" w:hAnsi="Arial" w:cs="Arial"/>
          <w:sz w:val="28"/>
          <w:szCs w:val="28"/>
          <w:lang w:val="bg-BG" w:eastAsia="bg-BG"/>
        </w:rPr>
        <w:br/>
      </w:r>
      <w:r w:rsidRPr="00FA0D73">
        <w:rPr>
          <w:rFonts w:ascii="Arial" w:hAnsi="Arial" w:cs="Arial"/>
          <w:sz w:val="28"/>
          <w:szCs w:val="28"/>
          <w:lang w:val="bg-BG" w:eastAsia="bg-BG"/>
        </w:rPr>
        <w:t xml:space="preserve">2014 г. и 33,5 млн. евро за 2023 г. Независимо че Малта е един от </w:t>
      </w:r>
      <w:r w:rsidRPr="00FA0D73">
        <w:rPr>
          <w:rFonts w:ascii="Arial" w:hAnsi="Arial" w:cs="Arial"/>
          <w:sz w:val="28"/>
          <w:szCs w:val="28"/>
          <w:lang w:val="bg-BG" w:eastAsia="bg-BG"/>
        </w:rPr>
        <w:lastRenderedPageBreak/>
        <w:t>традиционните партньори на България и двустранните отношения до момента се основават на стабилна договорна база, съществува потенциал за разширяване на икономическите връзки и увеличаване на обема на чуждестранни инвестиции.</w:t>
      </w:r>
    </w:p>
    <w:p w14:paraId="36EB909B" w14:textId="5F016EE3"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Към настоящия момент между Република България и Република Малта има действаща спогодба, подписана на 23 юли 1986 г. в гр. София, ратифицирана с Указ № 3119 на Държавния съвет от 17 септември 1986 г.</w:t>
      </w:r>
      <w:r w:rsidR="009714D1">
        <w:rPr>
          <w:rFonts w:ascii="Arial" w:hAnsi="Arial" w:cs="Arial"/>
          <w:sz w:val="28"/>
          <w:szCs w:val="28"/>
          <w:lang w:val="bg-BG" w:eastAsia="bg-BG"/>
        </w:rPr>
        <w:t>,</w:t>
      </w:r>
      <w:r w:rsidRPr="00FA0D73">
        <w:rPr>
          <w:rFonts w:ascii="Arial" w:hAnsi="Arial" w:cs="Arial"/>
          <w:sz w:val="28"/>
          <w:szCs w:val="28"/>
          <w:lang w:val="bg-BG" w:eastAsia="bg-BG"/>
        </w:rPr>
        <w:t xml:space="preserve"> в сила от 1 януари 1988</w:t>
      </w:r>
      <w:r w:rsidR="0063674C">
        <w:rPr>
          <w:rFonts w:ascii="Arial" w:hAnsi="Arial" w:cs="Arial"/>
          <w:sz w:val="28"/>
          <w:szCs w:val="28"/>
          <w:lang w:val="bg-BG" w:eastAsia="bg-BG"/>
        </w:rPr>
        <w:t xml:space="preserve"> </w:t>
      </w:r>
      <w:r w:rsidRPr="00FA0D73">
        <w:rPr>
          <w:rFonts w:ascii="Arial" w:hAnsi="Arial" w:cs="Arial"/>
          <w:sz w:val="28"/>
          <w:szCs w:val="28"/>
          <w:lang w:val="bg-BG" w:eastAsia="bg-BG"/>
        </w:rPr>
        <w:t>г. Основните причини, които наложиха подписването на новата СИДДО, се дължат на съществените промени в икономическите условия и в българското законодателство, настъпили след 1990 г. Нещо повече, част от разпоредбите на действащата в момента СИДДО не съответстват на измененията в Модела на данъчна спогодба на Организацията за икономическо сътрудничество и развитие (ОИСР), който България следва в своята договорна практика. Следва да се отбележи, че от 1990 г. насам Моделът на СИДДО на ОИСР е претърпял над 6 редакции, като последната е от 2017 г. във връзка с глобалния проект на ОИСР за противодействие на свиване на данъчната основа и прехвърлянето на печалби (</w:t>
      </w:r>
      <w:proofErr w:type="spellStart"/>
      <w:r w:rsidRPr="00FA0D73">
        <w:rPr>
          <w:rFonts w:ascii="Arial" w:hAnsi="Arial" w:cs="Arial"/>
          <w:sz w:val="28"/>
          <w:szCs w:val="28"/>
          <w:lang w:val="bg-BG" w:eastAsia="bg-BG"/>
        </w:rPr>
        <w:t>Base</w:t>
      </w:r>
      <w:proofErr w:type="spellEnd"/>
      <w:r w:rsidRPr="00FA0D73">
        <w:rPr>
          <w:rFonts w:ascii="Arial" w:hAnsi="Arial" w:cs="Arial"/>
          <w:sz w:val="28"/>
          <w:szCs w:val="28"/>
          <w:lang w:val="bg-BG" w:eastAsia="bg-BG"/>
        </w:rPr>
        <w:t xml:space="preserve"> </w:t>
      </w:r>
      <w:proofErr w:type="spellStart"/>
      <w:r w:rsidRPr="00FA0D73">
        <w:rPr>
          <w:rFonts w:ascii="Arial" w:hAnsi="Arial" w:cs="Arial"/>
          <w:sz w:val="28"/>
          <w:szCs w:val="28"/>
          <w:lang w:val="bg-BG" w:eastAsia="bg-BG"/>
        </w:rPr>
        <w:t>Erosion</w:t>
      </w:r>
      <w:proofErr w:type="spellEnd"/>
      <w:r w:rsidRPr="00FA0D73">
        <w:rPr>
          <w:rFonts w:ascii="Arial" w:hAnsi="Arial" w:cs="Arial"/>
          <w:sz w:val="28"/>
          <w:szCs w:val="28"/>
          <w:lang w:val="bg-BG" w:eastAsia="bg-BG"/>
        </w:rPr>
        <w:t xml:space="preserve"> </w:t>
      </w:r>
      <w:proofErr w:type="spellStart"/>
      <w:r w:rsidRPr="00FA0D73">
        <w:rPr>
          <w:rFonts w:ascii="Arial" w:hAnsi="Arial" w:cs="Arial"/>
          <w:sz w:val="28"/>
          <w:szCs w:val="28"/>
          <w:lang w:val="bg-BG" w:eastAsia="bg-BG"/>
        </w:rPr>
        <w:t>and</w:t>
      </w:r>
      <w:proofErr w:type="spellEnd"/>
      <w:r w:rsidRPr="00FA0D73">
        <w:rPr>
          <w:rFonts w:ascii="Arial" w:hAnsi="Arial" w:cs="Arial"/>
          <w:sz w:val="28"/>
          <w:szCs w:val="28"/>
          <w:lang w:val="bg-BG" w:eastAsia="bg-BG"/>
        </w:rPr>
        <w:t xml:space="preserve"> </w:t>
      </w:r>
      <w:proofErr w:type="spellStart"/>
      <w:r w:rsidRPr="00FA0D73">
        <w:rPr>
          <w:rFonts w:ascii="Arial" w:hAnsi="Arial" w:cs="Arial"/>
          <w:sz w:val="28"/>
          <w:szCs w:val="28"/>
          <w:lang w:val="bg-BG" w:eastAsia="bg-BG"/>
        </w:rPr>
        <w:t>Profit</w:t>
      </w:r>
      <w:proofErr w:type="spellEnd"/>
      <w:r w:rsidRPr="00FA0D73">
        <w:rPr>
          <w:rFonts w:ascii="Arial" w:hAnsi="Arial" w:cs="Arial"/>
          <w:sz w:val="28"/>
          <w:szCs w:val="28"/>
          <w:lang w:val="bg-BG" w:eastAsia="bg-BG"/>
        </w:rPr>
        <w:t xml:space="preserve"> </w:t>
      </w:r>
      <w:proofErr w:type="spellStart"/>
      <w:r w:rsidRPr="00FA0D73">
        <w:rPr>
          <w:rFonts w:ascii="Arial" w:hAnsi="Arial" w:cs="Arial"/>
          <w:sz w:val="28"/>
          <w:szCs w:val="28"/>
          <w:lang w:val="bg-BG" w:eastAsia="bg-BG"/>
        </w:rPr>
        <w:t>Shifting</w:t>
      </w:r>
      <w:proofErr w:type="spellEnd"/>
      <w:r w:rsidRPr="00FA0D73">
        <w:rPr>
          <w:rFonts w:ascii="Arial" w:hAnsi="Arial" w:cs="Arial"/>
          <w:sz w:val="28"/>
          <w:szCs w:val="28"/>
          <w:lang w:val="bg-BG" w:eastAsia="bg-BG"/>
        </w:rPr>
        <w:t xml:space="preserve"> Project, BEPS). Прилагането на правила и концепции, неадекватни в някои случаи на новата правна база и развития в международен мащаб, прави действащата СИДДО в определени аспекти неефективна и създава условия за заобикаляне и отклонение от облагане.</w:t>
      </w:r>
    </w:p>
    <w:p w14:paraId="061769C5" w14:textId="71FA98EF"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 xml:space="preserve">В допълнение към горното, държавите - членки на Приобщаващата рамка на ОИСР (OECD </w:t>
      </w:r>
      <w:proofErr w:type="spellStart"/>
      <w:r w:rsidRPr="00FA0D73">
        <w:rPr>
          <w:rFonts w:ascii="Arial" w:hAnsi="Arial" w:cs="Arial"/>
          <w:sz w:val="28"/>
          <w:szCs w:val="28"/>
          <w:lang w:val="bg-BG" w:eastAsia="bg-BG"/>
        </w:rPr>
        <w:t>Inclusive</w:t>
      </w:r>
      <w:proofErr w:type="spellEnd"/>
      <w:r w:rsidRPr="00FA0D73">
        <w:rPr>
          <w:rFonts w:ascii="Arial" w:hAnsi="Arial" w:cs="Arial"/>
          <w:sz w:val="28"/>
          <w:szCs w:val="28"/>
          <w:lang w:val="bg-BG" w:eastAsia="bg-BG"/>
        </w:rPr>
        <w:t xml:space="preserve"> Framework </w:t>
      </w:r>
      <w:proofErr w:type="spellStart"/>
      <w:r w:rsidRPr="00FA0D73">
        <w:rPr>
          <w:rFonts w:ascii="Arial" w:hAnsi="Arial" w:cs="Arial"/>
          <w:sz w:val="28"/>
          <w:szCs w:val="28"/>
          <w:lang w:val="bg-BG" w:eastAsia="bg-BG"/>
        </w:rPr>
        <w:t>on</w:t>
      </w:r>
      <w:proofErr w:type="spellEnd"/>
      <w:r w:rsidRPr="00FA0D73">
        <w:rPr>
          <w:rFonts w:ascii="Arial" w:hAnsi="Arial" w:cs="Arial"/>
          <w:sz w:val="28"/>
          <w:szCs w:val="28"/>
          <w:lang w:val="bg-BG" w:eastAsia="bg-BG"/>
        </w:rPr>
        <w:t xml:space="preserve"> BEPS), сред които са Република България и Република Малта, са поели ангажимент своевременно да приведат своите СИДДО в съответствие с минималните стандарти по Плана </w:t>
      </w:r>
      <w:r w:rsidRPr="00FA0D73">
        <w:rPr>
          <w:rFonts w:ascii="Arial" w:hAnsi="Arial" w:cs="Arial"/>
          <w:spacing w:val="-3"/>
          <w:sz w:val="28"/>
          <w:szCs w:val="28"/>
          <w:lang w:val="bg-BG"/>
        </w:rPr>
        <w:t>BEPS на ОИСР</w:t>
      </w:r>
      <w:r w:rsidRPr="00FA0D73">
        <w:rPr>
          <w:rFonts w:ascii="Arial" w:hAnsi="Arial" w:cs="Arial"/>
          <w:sz w:val="28"/>
          <w:szCs w:val="28"/>
          <w:lang w:val="bg-BG" w:eastAsia="bg-BG"/>
        </w:rPr>
        <w:t xml:space="preserve">, като този процес е обект на партньорски проверки от страна на ОИСР. По взаимно съгласие действащата СИДДО не беше включена в списъците с обхванати данъчни спогодби, които двете държави депозираха пред ОИСР при подписването на 7 юни 2017 г. на Многостранната конвенция за прилагане на мерки, свързани с </w:t>
      </w:r>
      <w:r w:rsidRPr="00FA0D73">
        <w:rPr>
          <w:rFonts w:ascii="Arial" w:hAnsi="Arial" w:cs="Arial"/>
          <w:sz w:val="28"/>
          <w:szCs w:val="28"/>
          <w:lang w:val="bg-BG" w:eastAsia="bg-BG"/>
        </w:rPr>
        <w:lastRenderedPageBreak/>
        <w:t>данъчните спогодби, за предотвратяване свиването на данъчната основа и прехвърлянето на печалби. Това постигнато съгласие бе мотивирано от факта, че Спогодбата е подписана преди повече от 30 г. и е необходима нейната цялостна актуализация в съответствие с измененията в данъчните законодателства на двете държави, международното данъчно право и Модела на данъчна спогодба на ОИСР.</w:t>
      </w:r>
    </w:p>
    <w:p w14:paraId="4B416DC7"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Ратифицирането и влизането в сила на Спогодбата ще създаде реални предпоставки и по-добри стимули за насърчаване и задълбочаване на двустранното икономическо сътрудничество между двете държави.</w:t>
      </w:r>
    </w:p>
    <w:p w14:paraId="281D4283" w14:textId="2C3E6F88"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 xml:space="preserve">При договаряне на разпоредбите на Спогодбата са взети предвид актуалните концепции в областта на международното данъчно облагане, възприети от държавите от Г-20 и ОИСР с оглед </w:t>
      </w:r>
      <w:r w:rsidR="0063674C">
        <w:rPr>
          <w:rFonts w:ascii="Arial" w:hAnsi="Arial" w:cs="Arial"/>
          <w:sz w:val="28"/>
          <w:szCs w:val="28"/>
          <w:lang w:val="bg-BG" w:eastAsia="bg-BG"/>
        </w:rPr>
        <w:t xml:space="preserve">на </w:t>
      </w:r>
      <w:r w:rsidRPr="00FA0D73">
        <w:rPr>
          <w:rFonts w:ascii="Arial" w:hAnsi="Arial" w:cs="Arial"/>
          <w:sz w:val="28"/>
          <w:szCs w:val="28"/>
          <w:lang w:val="bg-BG" w:eastAsia="bg-BG"/>
        </w:rPr>
        <w:t>противодействие на свиването на корпоративната данъчна основа и прехвърлянето на печалби, материализирани в Плана BEPS. Част от правилата за ограничаване заобикалянето на данъчното облагане, наложени от Плана BEPS, са свързани с промени в Модела на СИДДО на ОИСР, който и двете държави следват при договаряне на своите данъчни спогодби.</w:t>
      </w:r>
    </w:p>
    <w:p w14:paraId="058D5F8E" w14:textId="3A045F08"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При провеждане на преговорите между България и Малта са договорени разпоредби, които създават специални правила срещу заобикалянето на плащането на данъци в определени ситуации. В</w:t>
      </w:r>
      <w:r w:rsidR="0063674C">
        <w:rPr>
          <w:rFonts w:ascii="Arial" w:hAnsi="Arial" w:cs="Arial"/>
          <w:sz w:val="28"/>
          <w:szCs w:val="28"/>
          <w:lang w:val="bg-BG" w:eastAsia="bg-BG"/>
        </w:rPr>
        <w:t>ъв</w:t>
      </w:r>
      <w:r w:rsidRPr="00FA0D73">
        <w:rPr>
          <w:rFonts w:ascii="Arial" w:hAnsi="Arial" w:cs="Arial"/>
          <w:sz w:val="28"/>
          <w:szCs w:val="28"/>
          <w:lang w:val="bg-BG" w:eastAsia="bg-BG"/>
        </w:rPr>
        <w:t xml:space="preserve"> връзка </w:t>
      </w:r>
      <w:r w:rsidR="0063674C">
        <w:rPr>
          <w:rFonts w:ascii="Arial" w:hAnsi="Arial" w:cs="Arial"/>
          <w:sz w:val="28"/>
          <w:szCs w:val="28"/>
          <w:lang w:val="bg-BG" w:eastAsia="bg-BG"/>
        </w:rPr>
        <w:t xml:space="preserve">с това </w:t>
      </w:r>
      <w:r w:rsidRPr="00FA0D73">
        <w:rPr>
          <w:rFonts w:ascii="Arial" w:hAnsi="Arial" w:cs="Arial"/>
          <w:sz w:val="28"/>
          <w:szCs w:val="28"/>
          <w:lang w:val="bg-BG" w:eastAsia="bg-BG"/>
        </w:rPr>
        <w:t xml:space="preserve">се въвежда актуалният преамбюл от Модела на СИДДО на ОИСР, издание 2017 г. В преамбюла е представена общата цел на Спогодбата - прилагане на мерки срещу заобикалянето, разработени като част от Плана BEPS. </w:t>
      </w:r>
      <w:r w:rsidR="0063674C" w:rsidRPr="0063674C">
        <w:rPr>
          <w:rFonts w:ascii="Arial" w:hAnsi="Arial" w:cs="Arial"/>
          <w:iCs/>
          <w:sz w:val="28"/>
          <w:szCs w:val="24"/>
          <w:lang w:val="bg-BG"/>
        </w:rPr>
        <w:t>Организацията за икономическо сътрудничество и развитие</w:t>
      </w:r>
      <w:r w:rsidRPr="00FA0D73">
        <w:rPr>
          <w:rFonts w:ascii="Arial" w:hAnsi="Arial" w:cs="Arial"/>
          <w:sz w:val="28"/>
          <w:szCs w:val="28"/>
          <w:lang w:val="bg-BG" w:eastAsia="bg-BG"/>
        </w:rPr>
        <w:t xml:space="preserve"> придава огромно значение на въвеждането на този текст, който е част от минималния стандарт по Мярка 6 „Предотвратяване на предоставяне на облекчения по спогодбите в неподходящи случаи“. Този текст има за цел ясно да демонстрира намеренията на двете държави да прилагат Спогодбата добросъвестно, както и очертава духа, в които следва да се тълкуват и прилагат разпоредбите й, а </w:t>
      </w:r>
      <w:r w:rsidRPr="00FA0D73">
        <w:rPr>
          <w:rFonts w:ascii="Arial" w:hAnsi="Arial" w:cs="Arial"/>
          <w:sz w:val="28"/>
          <w:szCs w:val="28"/>
          <w:lang w:val="bg-BG" w:eastAsia="bg-BG"/>
        </w:rPr>
        <w:lastRenderedPageBreak/>
        <w:t xml:space="preserve">именно с оглед </w:t>
      </w:r>
      <w:r w:rsidR="00311B6B">
        <w:rPr>
          <w:rFonts w:ascii="Arial" w:hAnsi="Arial" w:cs="Arial"/>
          <w:sz w:val="28"/>
          <w:szCs w:val="28"/>
          <w:lang w:val="bg-BG" w:eastAsia="bg-BG"/>
        </w:rPr>
        <w:t xml:space="preserve">на </w:t>
      </w:r>
      <w:r w:rsidRPr="00FA0D73">
        <w:rPr>
          <w:rFonts w:ascii="Arial" w:hAnsi="Arial" w:cs="Arial"/>
          <w:sz w:val="28"/>
          <w:szCs w:val="28"/>
          <w:lang w:val="bg-BG" w:eastAsia="bg-BG"/>
        </w:rPr>
        <w:t xml:space="preserve">противодействие на отклонението и заобикалянето на данъчното облагане. В допълнение е договорена обща клауза, имаща за цел предотвратяване </w:t>
      </w:r>
      <w:r w:rsidR="00311B6B">
        <w:rPr>
          <w:rFonts w:ascii="Arial" w:hAnsi="Arial" w:cs="Arial"/>
          <w:sz w:val="28"/>
          <w:szCs w:val="28"/>
          <w:lang w:val="bg-BG" w:eastAsia="bg-BG"/>
        </w:rPr>
        <w:t xml:space="preserve">на </w:t>
      </w:r>
      <w:r w:rsidRPr="00FA0D73">
        <w:rPr>
          <w:rFonts w:ascii="Arial" w:hAnsi="Arial" w:cs="Arial"/>
          <w:sz w:val="28"/>
          <w:szCs w:val="28"/>
          <w:lang w:val="bg-BG" w:eastAsia="bg-BG"/>
        </w:rPr>
        <w:t>неправомерното използване на данъчните облекчения съгласно СИДДО. Тази клауза следва новия Модел на СИДДО на ОИСР и ограничава ползването на данъчни облекчения, когато едната държава прецени, че получаването на това облекчение е една от основните цели на която и да е договореност или сделка. С включването на тази клауза, както и на актуалния текст на преамбюл от Модела на данъчна спогодба на ОИСР новата СИДДО ще изпълнява т. нар. „минимален стандарт“ по Мярка 6 „Предотвратяване на предоставяне на облекчения по спогодбите в неподходящи случаи“ от Плана BEPS. Включването на разпоредбите от минималния стандарт по Мярка 6 в СИДДО е обект на партньорска проверка от страна на ОИСР. Привеждането на СИДДО с Малта към минималните стандарти на ОИСР, залегнали в Плана BEPS, бе и един от основните мотиви за сключване на нова спогодба.</w:t>
      </w:r>
    </w:p>
    <w:p w14:paraId="1B977466"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 xml:space="preserve">Отделно от борбата с данъчните злоупотреби, специално внимание по време на преговорите е отделено на концепцията за местно лице, като от една страна са възприети общите критерии от Модела на СИДДО на ОИСР </w:t>
      </w:r>
      <w:r w:rsidRPr="00FA0D73">
        <w:rPr>
          <w:rFonts w:ascii="Arial" w:hAnsi="Arial" w:cs="Arial"/>
          <w:sz w:val="28"/>
          <w:szCs w:val="28"/>
          <w:lang w:val="bg-BG"/>
        </w:rPr>
        <w:t>(местопребиваване, местожителство, място на учредяване или всеки друг критерий от подобно естество)</w:t>
      </w:r>
      <w:r w:rsidRPr="00FA0D73">
        <w:rPr>
          <w:rFonts w:ascii="Arial" w:hAnsi="Arial" w:cs="Arial"/>
          <w:sz w:val="28"/>
          <w:szCs w:val="28"/>
          <w:lang w:val="bg-BG" w:eastAsia="bg-BG"/>
        </w:rPr>
        <w:t>, а от друга, по настояване на България, е въведен разграничителен критерий за юридически лица („място на учредяване или създаване“), който е елемент на българската договорна практика и благоприятства България при потенциални спорове в сравнение със сега действащия текст на разпоредба.</w:t>
      </w:r>
    </w:p>
    <w:p w14:paraId="1C592E2B"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 xml:space="preserve">Други съществени договорености отразяват правилата за формиране на места на стопанска дейност, данъчното третиране на международния транспорт, сделките между свързани лица, облагане на някои пасивни доходи при източника (като лихви, авторски и лицензионни възнаграждения и печалби от прехвърляне на акции или съпоставими права, когато в който и да е момент от периода от 365 дни, предшестващ разпореждането, над 50% от </w:t>
      </w:r>
      <w:r w:rsidRPr="00FA0D73">
        <w:rPr>
          <w:rFonts w:ascii="Arial" w:hAnsi="Arial" w:cs="Arial"/>
          <w:sz w:val="28"/>
          <w:szCs w:val="28"/>
          <w:lang w:val="bg-BG" w:eastAsia="bg-BG"/>
        </w:rPr>
        <w:lastRenderedPageBreak/>
        <w:t>тяхната стойност се дължи на недвижимо имущество, разположено в тази държава).</w:t>
      </w:r>
    </w:p>
    <w:p w14:paraId="244CFB8B"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В съответствие с политиката на Малта се запазва ефективното освобождаване на дивидентите, реализирани от местни лица на България, поради спецификата на малтийската система за пълно условно причисляване на данък (</w:t>
      </w:r>
      <w:proofErr w:type="spellStart"/>
      <w:r w:rsidRPr="00FA0D73">
        <w:rPr>
          <w:rFonts w:ascii="Arial" w:hAnsi="Arial" w:cs="Arial"/>
          <w:i/>
          <w:sz w:val="28"/>
          <w:szCs w:val="28"/>
          <w:lang w:val="bg-BG" w:eastAsia="bg-BG"/>
        </w:rPr>
        <w:t>full</w:t>
      </w:r>
      <w:proofErr w:type="spellEnd"/>
      <w:r w:rsidRPr="00FA0D73">
        <w:rPr>
          <w:rFonts w:ascii="Arial" w:hAnsi="Arial" w:cs="Arial"/>
          <w:i/>
          <w:sz w:val="28"/>
          <w:szCs w:val="28"/>
          <w:lang w:val="bg-BG" w:eastAsia="bg-BG"/>
        </w:rPr>
        <w:t xml:space="preserve"> </w:t>
      </w:r>
      <w:proofErr w:type="spellStart"/>
      <w:r w:rsidRPr="00FA0D73">
        <w:rPr>
          <w:rFonts w:ascii="Arial" w:hAnsi="Arial" w:cs="Arial"/>
          <w:i/>
          <w:sz w:val="28"/>
          <w:szCs w:val="28"/>
          <w:lang w:val="bg-BG" w:eastAsia="bg-BG"/>
        </w:rPr>
        <w:t>imputation</w:t>
      </w:r>
      <w:proofErr w:type="spellEnd"/>
      <w:r w:rsidRPr="00FA0D73">
        <w:rPr>
          <w:rFonts w:ascii="Arial" w:hAnsi="Arial" w:cs="Arial"/>
          <w:i/>
          <w:sz w:val="28"/>
          <w:szCs w:val="28"/>
          <w:lang w:val="bg-BG" w:eastAsia="bg-BG"/>
        </w:rPr>
        <w:t xml:space="preserve"> </w:t>
      </w:r>
      <w:proofErr w:type="spellStart"/>
      <w:r w:rsidRPr="00FA0D73">
        <w:rPr>
          <w:rFonts w:ascii="Arial" w:hAnsi="Arial" w:cs="Arial"/>
          <w:i/>
          <w:sz w:val="28"/>
          <w:szCs w:val="28"/>
          <w:lang w:val="bg-BG" w:eastAsia="bg-BG"/>
        </w:rPr>
        <w:t>tax</w:t>
      </w:r>
      <w:proofErr w:type="spellEnd"/>
      <w:r w:rsidRPr="00FA0D73">
        <w:rPr>
          <w:rFonts w:ascii="Arial" w:hAnsi="Arial" w:cs="Arial"/>
          <w:i/>
          <w:sz w:val="28"/>
          <w:szCs w:val="28"/>
          <w:lang w:val="bg-BG" w:eastAsia="bg-BG"/>
        </w:rPr>
        <w:t xml:space="preserve"> </w:t>
      </w:r>
      <w:proofErr w:type="spellStart"/>
      <w:r w:rsidRPr="00FA0D73">
        <w:rPr>
          <w:rFonts w:ascii="Arial" w:hAnsi="Arial" w:cs="Arial"/>
          <w:i/>
          <w:sz w:val="28"/>
          <w:szCs w:val="28"/>
          <w:lang w:val="bg-BG" w:eastAsia="bg-BG"/>
        </w:rPr>
        <w:t>system</w:t>
      </w:r>
      <w:proofErr w:type="spellEnd"/>
      <w:r w:rsidRPr="00FA0D73">
        <w:rPr>
          <w:rFonts w:ascii="Arial" w:hAnsi="Arial" w:cs="Arial"/>
          <w:sz w:val="28"/>
          <w:szCs w:val="28"/>
          <w:lang w:val="bg-BG" w:eastAsia="bg-BG"/>
        </w:rPr>
        <w:t>). Освен това е постигната договореност за освобождаване от облагане в държавата на източника на дивиденти, начислени в полза на държавата, органи на местна власт, централната банка, изцяло притежавани образувания от държавата, както и в полза на пенсионни фондове. България си запазва правото да облага с данък при източника на дивидентите с 5%-на ставка, когато не са освободени от облагане на друго основание.</w:t>
      </w:r>
    </w:p>
    <w:p w14:paraId="385AC7C2" w14:textId="4FCD24F6"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В заключителните (специалните) разпоредби на спогодбата са уредени случаите на равенство в третирането на местни лица на другата договаряща държава, обмена на информация, процедурата за взаимно споразумение в случаите на разногласие при тълкуването и прилагането на Спогодбата, както и в случаите, когато местни лица от договарящите държави са обект на данъчно облагане, което не съответства на разпоредбите на Спогодбата. По отношение на всички изброени клаузи, вкл</w:t>
      </w:r>
      <w:r w:rsidR="00C66E26">
        <w:rPr>
          <w:rFonts w:ascii="Arial" w:hAnsi="Arial" w:cs="Arial"/>
          <w:sz w:val="28"/>
          <w:szCs w:val="28"/>
          <w:lang w:val="bg-BG" w:eastAsia="bg-BG"/>
        </w:rPr>
        <w:t>ючително</w:t>
      </w:r>
      <w:r w:rsidRPr="00FA0D73">
        <w:rPr>
          <w:rFonts w:ascii="Arial" w:hAnsi="Arial" w:cs="Arial"/>
          <w:sz w:val="28"/>
          <w:szCs w:val="28"/>
          <w:lang w:val="bg-BG" w:eastAsia="bg-BG"/>
        </w:rPr>
        <w:t xml:space="preserve"> обмена на информация между двете държави, която е една от най-възловите разпоредби на СИДДО, бе договорена най-актуалната им версия, съобразно последните промени, извършени в Модела на СИДДО на ОИСР. С включването на актуалния текст от Модела на данъчна спогодба на СИДДО относно процедурата за взаимно споразумение новата СИДДО изпълнява изискванията на минималния стандарт по Мярка 14 „Създаване на по-ефективен механизъм за разрешаване на спорове“ от Плана BEPS. Следва да се отбележи, че България получи препоръки в последния Доклад от партньорската проверка на ОИСР по тази мярка, отразяваща необходимостта от актуализация на нейните спогодби в съответствие с Мярка 14, като договарянето на чл. 25 от Модела на СИДДО в най-новата му редакция е ключова стъпка в тази посока.</w:t>
      </w:r>
    </w:p>
    <w:p w14:paraId="0DAE232A"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lastRenderedPageBreak/>
        <w:t xml:space="preserve">Новата Спогодба отразява интересите на България във връзка с разпределението на </w:t>
      </w:r>
      <w:proofErr w:type="spellStart"/>
      <w:r w:rsidRPr="00FA0D73">
        <w:rPr>
          <w:rFonts w:ascii="Arial" w:hAnsi="Arial" w:cs="Arial"/>
          <w:sz w:val="28"/>
          <w:szCs w:val="28"/>
          <w:lang w:val="bg-BG" w:eastAsia="bg-BG"/>
        </w:rPr>
        <w:t>данъчнооблагателните</w:t>
      </w:r>
      <w:proofErr w:type="spellEnd"/>
      <w:r w:rsidRPr="00FA0D73">
        <w:rPr>
          <w:rFonts w:ascii="Arial" w:hAnsi="Arial" w:cs="Arial"/>
          <w:sz w:val="28"/>
          <w:szCs w:val="28"/>
          <w:lang w:val="bg-BG" w:eastAsia="bg-BG"/>
        </w:rPr>
        <w:t xml:space="preserve"> правомощия между двете държави по отношение на редица доходи и защитава в по-голяма степен данъчната позиция на българските местни лица чрез договорените специфични правила, концепции и механизми за избягване на двойното данъчно облагане и защита от неправилно прилагане на разпоредбите на Спогодбата от едната или двете държави.</w:t>
      </w:r>
    </w:p>
    <w:p w14:paraId="6C87B2E2"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Ратифицирането и влизането в сила на новата Спогодба между Република България и Република Малта, подписана в Брюксел на 10 декември 2024 г., ще доведе до актуализиране на съществуващата договорна база между двете държави в съответствие с измененията и развитието на данъчните им законодателства, международното данъчно право и Модела на данъчна спогодба на ОИСР.</w:t>
      </w:r>
    </w:p>
    <w:p w14:paraId="176EC092" w14:textId="77777777" w:rsidR="00FA0D73" w:rsidRPr="00FA0D73" w:rsidRDefault="00FA0D73" w:rsidP="00C66E26">
      <w:pPr>
        <w:tabs>
          <w:tab w:val="left" w:pos="708"/>
          <w:tab w:val="center" w:pos="4153"/>
          <w:tab w:val="right" w:pos="8306"/>
        </w:tabs>
        <w:spacing w:before="120" w:after="120" w:line="288" w:lineRule="auto"/>
        <w:ind w:firstLine="1134"/>
        <w:jc w:val="both"/>
        <w:rPr>
          <w:rFonts w:ascii="Arial" w:hAnsi="Arial" w:cs="Arial"/>
          <w:sz w:val="28"/>
          <w:szCs w:val="28"/>
          <w:lang w:val="bg-BG" w:eastAsia="bg-BG"/>
        </w:rPr>
      </w:pPr>
      <w:r w:rsidRPr="00FA0D73">
        <w:rPr>
          <w:rFonts w:ascii="Arial" w:hAnsi="Arial" w:cs="Arial"/>
          <w:sz w:val="28"/>
          <w:szCs w:val="28"/>
          <w:lang w:val="bg-BG" w:eastAsia="bg-BG"/>
        </w:rPr>
        <w:t>Спогодбата подлежи на ратифициране от Народното събрание със закон на основание чл. 85, ал. 1, т. 7 от Конституцията на Република България.</w:t>
      </w:r>
    </w:p>
    <w:p w14:paraId="0B5DB16F" w14:textId="77777777" w:rsidR="00AD087A" w:rsidRPr="00FA0D73"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Pr="00FA0D73"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FA0D73"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4B5BF24" w:rsidR="00AD087A" w:rsidRPr="00FA0D73" w:rsidRDefault="00AD087A" w:rsidP="004B4A70">
      <w:pPr>
        <w:tabs>
          <w:tab w:val="left" w:pos="1790"/>
        </w:tabs>
        <w:ind w:left="1134"/>
        <w:rPr>
          <w:rFonts w:ascii="Times New Roman" w:hAnsi="Times New Roman"/>
          <w:b/>
          <w:sz w:val="26"/>
          <w:szCs w:val="26"/>
          <w:lang w:val="bg-BG"/>
        </w:rPr>
      </w:pPr>
      <w:bookmarkStart w:id="0" w:name="_Hlk92799938"/>
      <w:r w:rsidRPr="00FA0D73">
        <w:rPr>
          <w:rFonts w:ascii="Times New Roman" w:hAnsi="Times New Roman"/>
          <w:b/>
          <w:sz w:val="26"/>
          <w:szCs w:val="26"/>
          <w:lang w:val="bg-BG"/>
        </w:rPr>
        <w:t>МИНИСТЪР-ПРЕДСЕДАТЕЛ:</w:t>
      </w:r>
    </w:p>
    <w:bookmarkEnd w:id="0"/>
    <w:p w14:paraId="12F79006" w14:textId="12824067" w:rsidR="00AD087A" w:rsidRPr="00FA0D73" w:rsidRDefault="00227F70" w:rsidP="004B4A70">
      <w:pPr>
        <w:tabs>
          <w:tab w:val="left" w:pos="1790"/>
        </w:tabs>
        <w:jc w:val="right"/>
        <w:rPr>
          <w:sz w:val="26"/>
          <w:szCs w:val="26"/>
          <w:lang w:val="bg-BG"/>
        </w:rPr>
      </w:pPr>
      <w:r>
        <w:rPr>
          <w:sz w:val="26"/>
          <w:szCs w:val="26"/>
          <w:lang w:val="bg-BG"/>
        </w:rPr>
        <w:pict w14:anchorId="29ED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C38B0073-A9F6-41C2-ADD4-C0862BB6F664}" provid="{00000000-0000-0000-0000-000000000000}" issignatureline="t"/>
          </v:shape>
        </w:pict>
      </w:r>
    </w:p>
    <w:sectPr w:rsidR="00AD087A" w:rsidRPr="00FA0D73" w:rsidSect="00C66E26">
      <w:headerReference w:type="even" r:id="rId8"/>
      <w:headerReference w:type="default" r:id="rId9"/>
      <w:footerReference w:type="default" r:id="rId10"/>
      <w:footerReference w:type="first" r:id="rId11"/>
      <w:pgSz w:w="11907" w:h="16840" w:code="9"/>
      <w:pgMar w:top="1418" w:right="1463" w:bottom="1134"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510F" w14:textId="77777777" w:rsidR="009F3C7C" w:rsidRDefault="009F3C7C">
      <w:r>
        <w:separator/>
      </w:r>
    </w:p>
  </w:endnote>
  <w:endnote w:type="continuationSeparator" w:id="0">
    <w:p w14:paraId="39C09A77" w14:textId="77777777" w:rsidR="009F3C7C" w:rsidRDefault="009F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227F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227F7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C722" w14:textId="77777777" w:rsidR="009F3C7C" w:rsidRDefault="009F3C7C">
      <w:r>
        <w:separator/>
      </w:r>
    </w:p>
  </w:footnote>
  <w:footnote w:type="continuationSeparator" w:id="0">
    <w:p w14:paraId="008EE9C1" w14:textId="77777777" w:rsidR="009F3C7C" w:rsidRDefault="009F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4"/>
  </w:num>
  <w:num w:numId="2" w16cid:durableId="450787864">
    <w:abstractNumId w:val="2"/>
  </w:num>
  <w:num w:numId="3" w16cid:durableId="681736364">
    <w:abstractNumId w:val="0"/>
  </w:num>
  <w:num w:numId="4" w16cid:durableId="113838686">
    <w:abstractNumId w:val="1"/>
  </w:num>
  <w:num w:numId="5" w16cid:durableId="1527668816">
    <w:abstractNumId w:val="5"/>
  </w:num>
  <w:num w:numId="6" w16cid:durableId="67620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1FBA"/>
    <w:rsid w:val="000172E4"/>
    <w:rsid w:val="00040404"/>
    <w:rsid w:val="00050D9F"/>
    <w:rsid w:val="00055E5C"/>
    <w:rsid w:val="0006233E"/>
    <w:rsid w:val="00065B09"/>
    <w:rsid w:val="0006731A"/>
    <w:rsid w:val="00076940"/>
    <w:rsid w:val="00080705"/>
    <w:rsid w:val="000A7804"/>
    <w:rsid w:val="000B3D48"/>
    <w:rsid w:val="000B3F5C"/>
    <w:rsid w:val="000E1E48"/>
    <w:rsid w:val="000F4878"/>
    <w:rsid w:val="000F6735"/>
    <w:rsid w:val="00101719"/>
    <w:rsid w:val="001019D1"/>
    <w:rsid w:val="00107F8F"/>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27F70"/>
    <w:rsid w:val="00234F17"/>
    <w:rsid w:val="002469B9"/>
    <w:rsid w:val="00251D6E"/>
    <w:rsid w:val="002553AB"/>
    <w:rsid w:val="00255B7D"/>
    <w:rsid w:val="00263307"/>
    <w:rsid w:val="002743E4"/>
    <w:rsid w:val="00287754"/>
    <w:rsid w:val="002C0227"/>
    <w:rsid w:val="002C08C4"/>
    <w:rsid w:val="002C6AFA"/>
    <w:rsid w:val="002D76CB"/>
    <w:rsid w:val="002E08B6"/>
    <w:rsid w:val="00311B6B"/>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4522"/>
    <w:rsid w:val="00446581"/>
    <w:rsid w:val="00457DCE"/>
    <w:rsid w:val="00487D19"/>
    <w:rsid w:val="00490227"/>
    <w:rsid w:val="004945E7"/>
    <w:rsid w:val="00495FD5"/>
    <w:rsid w:val="004B4A70"/>
    <w:rsid w:val="004B5B01"/>
    <w:rsid w:val="004C4EC3"/>
    <w:rsid w:val="004C5C6C"/>
    <w:rsid w:val="004F00A6"/>
    <w:rsid w:val="004F5729"/>
    <w:rsid w:val="005033E0"/>
    <w:rsid w:val="005075C6"/>
    <w:rsid w:val="005135C3"/>
    <w:rsid w:val="005202D7"/>
    <w:rsid w:val="0052153C"/>
    <w:rsid w:val="00524A62"/>
    <w:rsid w:val="005321AB"/>
    <w:rsid w:val="005374EB"/>
    <w:rsid w:val="00543CA4"/>
    <w:rsid w:val="00544B67"/>
    <w:rsid w:val="005503AA"/>
    <w:rsid w:val="00557EA5"/>
    <w:rsid w:val="0058543A"/>
    <w:rsid w:val="00590DC5"/>
    <w:rsid w:val="005B7B97"/>
    <w:rsid w:val="005E23BB"/>
    <w:rsid w:val="005E2FAA"/>
    <w:rsid w:val="00601E7F"/>
    <w:rsid w:val="006112DA"/>
    <w:rsid w:val="006126B0"/>
    <w:rsid w:val="0063674C"/>
    <w:rsid w:val="006374F1"/>
    <w:rsid w:val="00680C33"/>
    <w:rsid w:val="00695542"/>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279DE"/>
    <w:rsid w:val="0083405F"/>
    <w:rsid w:val="008424E0"/>
    <w:rsid w:val="00845AB7"/>
    <w:rsid w:val="008464CC"/>
    <w:rsid w:val="00847576"/>
    <w:rsid w:val="0087096A"/>
    <w:rsid w:val="00881B55"/>
    <w:rsid w:val="008A019C"/>
    <w:rsid w:val="008A0F64"/>
    <w:rsid w:val="008B02D8"/>
    <w:rsid w:val="008C11C0"/>
    <w:rsid w:val="008E1559"/>
    <w:rsid w:val="008F293A"/>
    <w:rsid w:val="008F7AE5"/>
    <w:rsid w:val="00904DD3"/>
    <w:rsid w:val="00905B61"/>
    <w:rsid w:val="00916222"/>
    <w:rsid w:val="009214E6"/>
    <w:rsid w:val="00932CF8"/>
    <w:rsid w:val="009714D1"/>
    <w:rsid w:val="0099021C"/>
    <w:rsid w:val="00990366"/>
    <w:rsid w:val="00994D64"/>
    <w:rsid w:val="009B2C89"/>
    <w:rsid w:val="009B4B81"/>
    <w:rsid w:val="009B68B3"/>
    <w:rsid w:val="009B76A3"/>
    <w:rsid w:val="009D21FD"/>
    <w:rsid w:val="009D7025"/>
    <w:rsid w:val="009F3C7C"/>
    <w:rsid w:val="00A018E4"/>
    <w:rsid w:val="00A02A74"/>
    <w:rsid w:val="00A117B3"/>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A7243"/>
    <w:rsid w:val="00BB0346"/>
    <w:rsid w:val="00BB0613"/>
    <w:rsid w:val="00BB0DFF"/>
    <w:rsid w:val="00BB1768"/>
    <w:rsid w:val="00BB253E"/>
    <w:rsid w:val="00BB4014"/>
    <w:rsid w:val="00BC287C"/>
    <w:rsid w:val="00BE4C60"/>
    <w:rsid w:val="00BE6590"/>
    <w:rsid w:val="00C038E0"/>
    <w:rsid w:val="00C05E74"/>
    <w:rsid w:val="00C11F14"/>
    <w:rsid w:val="00C213CB"/>
    <w:rsid w:val="00C459B8"/>
    <w:rsid w:val="00C5560E"/>
    <w:rsid w:val="00C65583"/>
    <w:rsid w:val="00C66E26"/>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87AD7"/>
    <w:rsid w:val="00F90BFF"/>
    <w:rsid w:val="00F9263A"/>
    <w:rsid w:val="00FA009F"/>
    <w:rsid w:val="00FA0D73"/>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 w:type="paragraph" w:styleId="FootnoteText">
    <w:name w:val="footnote text"/>
    <w:basedOn w:val="Normal"/>
    <w:link w:val="FootnoteTextChar"/>
    <w:semiHidden/>
    <w:unhideWhenUsed/>
    <w:rsid w:val="00FA0D73"/>
    <w:pPr>
      <w:ind w:firstLine="720"/>
      <w:jc w:val="both"/>
    </w:pPr>
    <w:rPr>
      <w:rFonts w:ascii="Arial" w:hAnsi="Arial"/>
      <w:sz w:val="20"/>
      <w:lang w:val="bg-BG"/>
    </w:rPr>
  </w:style>
  <w:style w:type="character" w:customStyle="1" w:styleId="FootnoteTextChar">
    <w:name w:val="Footnote Text Char"/>
    <w:basedOn w:val="DefaultParagraphFont"/>
    <w:link w:val="FootnoteText"/>
    <w:semiHidden/>
    <w:rsid w:val="00FA0D73"/>
    <w:rPr>
      <w:rFonts w:ascii="Arial" w:hAnsi="Arial"/>
      <w:lang w:eastAsia="en-US"/>
    </w:rPr>
  </w:style>
  <w:style w:type="character" w:styleId="FootnoteReference">
    <w:name w:val="footnote reference"/>
    <w:basedOn w:val="DefaultParagraphFont"/>
    <w:semiHidden/>
    <w:unhideWhenUsed/>
    <w:rsid w:val="00FA0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9080</Characters>
  <Application>Microsoft Office Word</Application>
  <DocSecurity>0</DocSecurity>
  <Lines>75</Lines>
  <Paragraphs>21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2025-10-27T12:37:00Z</dcterms:created>
  <dcterms:modified xsi:type="dcterms:W3CDTF">2025-10-27T12:37:00Z</dcterms:modified>
</cp:coreProperties>
</file>