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F7A75" w14:textId="77777777" w:rsidR="00A80733" w:rsidRDefault="00A80733" w:rsidP="00B631DD">
      <w:pPr>
        <w:spacing w:after="0" w:line="240" w:lineRule="auto"/>
        <w:ind w:left="7788"/>
        <w:jc w:val="center"/>
        <w:rPr>
          <w:rFonts w:ascii="Times New Roman" w:hAnsi="Times New Roman" w:cs="Times New Roman"/>
          <w:b/>
          <w:sz w:val="24"/>
          <w:szCs w:val="24"/>
        </w:rPr>
      </w:pPr>
    </w:p>
    <w:p w14:paraId="1E55F37F" w14:textId="77777777" w:rsidR="002601C1" w:rsidRPr="006C13DF" w:rsidRDefault="002601C1" w:rsidP="00C625C6">
      <w:pPr>
        <w:spacing w:after="0" w:line="240" w:lineRule="auto"/>
        <w:jc w:val="center"/>
        <w:rPr>
          <w:rFonts w:ascii="Times New Roman" w:hAnsi="Times New Roman" w:cs="Times New Roman"/>
          <w:b/>
          <w:sz w:val="24"/>
          <w:szCs w:val="24"/>
        </w:rPr>
      </w:pPr>
    </w:p>
    <w:p w14:paraId="626B1BC9" w14:textId="77777777" w:rsidR="00C625C6" w:rsidRPr="006C13DF" w:rsidRDefault="00C625C6" w:rsidP="00C625C6">
      <w:pPr>
        <w:spacing w:after="0" w:line="240" w:lineRule="auto"/>
        <w:jc w:val="center"/>
        <w:rPr>
          <w:rFonts w:ascii="Times New Roman" w:hAnsi="Times New Roman" w:cs="Times New Roman"/>
          <w:b/>
          <w:sz w:val="24"/>
          <w:szCs w:val="24"/>
        </w:rPr>
      </w:pPr>
      <w:r w:rsidRPr="006C13DF">
        <w:rPr>
          <w:rFonts w:ascii="Times New Roman" w:hAnsi="Times New Roman" w:cs="Times New Roman"/>
          <w:b/>
          <w:sz w:val="24"/>
          <w:szCs w:val="24"/>
        </w:rPr>
        <w:t>МИНИСТЕРСТВО НА ТРУДА И СОЦИАЛНАТА ПОЛИТИКА</w:t>
      </w:r>
    </w:p>
    <w:p w14:paraId="4215E741" w14:textId="77777777" w:rsidR="00C625C6" w:rsidRPr="006C13DF" w:rsidRDefault="00C625C6" w:rsidP="00C625C6">
      <w:pPr>
        <w:spacing w:after="0" w:line="240" w:lineRule="auto"/>
        <w:jc w:val="center"/>
        <w:rPr>
          <w:rFonts w:ascii="Times New Roman" w:hAnsi="Times New Roman" w:cs="Times New Roman"/>
          <w:b/>
          <w:sz w:val="24"/>
          <w:szCs w:val="24"/>
        </w:rPr>
      </w:pPr>
    </w:p>
    <w:p w14:paraId="5D557E68" w14:textId="77777777" w:rsidR="005765DF" w:rsidRPr="006C13DF" w:rsidRDefault="00C625C6" w:rsidP="005765DF">
      <w:pPr>
        <w:spacing w:after="0" w:line="240" w:lineRule="auto"/>
        <w:jc w:val="center"/>
        <w:rPr>
          <w:rFonts w:ascii="Times New Roman" w:hAnsi="Times New Roman" w:cs="Times New Roman"/>
          <w:b/>
          <w:sz w:val="24"/>
          <w:szCs w:val="24"/>
        </w:rPr>
      </w:pPr>
      <w:r w:rsidRPr="006C13DF">
        <w:rPr>
          <w:rFonts w:ascii="Times New Roman" w:hAnsi="Times New Roman" w:cs="Times New Roman"/>
          <w:noProof/>
          <w:sz w:val="24"/>
          <w:szCs w:val="24"/>
          <w:lang w:eastAsia="bg-BG"/>
        </w:rPr>
        <w:drawing>
          <wp:inline distT="0" distB="0" distL="0" distR="0" wp14:anchorId="782FCA5E" wp14:editId="5C737846">
            <wp:extent cx="882650" cy="70128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268" cy="702569"/>
                    </a:xfrm>
                    <a:prstGeom prst="rect">
                      <a:avLst/>
                    </a:prstGeom>
                    <a:noFill/>
                    <a:ln>
                      <a:noFill/>
                    </a:ln>
                  </pic:spPr>
                </pic:pic>
              </a:graphicData>
            </a:graphic>
          </wp:inline>
        </w:drawing>
      </w:r>
    </w:p>
    <w:p w14:paraId="33DF34CC" w14:textId="77777777" w:rsidR="00A97432" w:rsidRPr="006C13DF" w:rsidRDefault="00A97432" w:rsidP="005765DF">
      <w:pPr>
        <w:spacing w:after="0" w:line="240" w:lineRule="auto"/>
        <w:jc w:val="center"/>
        <w:rPr>
          <w:rFonts w:ascii="Times New Roman" w:hAnsi="Times New Roman" w:cs="Times New Roman"/>
          <w:b/>
          <w:sz w:val="24"/>
          <w:szCs w:val="24"/>
        </w:rPr>
      </w:pPr>
    </w:p>
    <w:p w14:paraId="14F947DC" w14:textId="77777777" w:rsidR="00A97432" w:rsidRPr="006C13DF" w:rsidRDefault="00A97432" w:rsidP="005765DF">
      <w:pPr>
        <w:spacing w:after="0" w:line="240" w:lineRule="auto"/>
        <w:jc w:val="center"/>
        <w:rPr>
          <w:rFonts w:ascii="Times New Roman" w:hAnsi="Times New Roman" w:cs="Times New Roman"/>
          <w:b/>
          <w:sz w:val="24"/>
          <w:szCs w:val="24"/>
        </w:rPr>
      </w:pPr>
    </w:p>
    <w:p w14:paraId="3A467CEB" w14:textId="77777777" w:rsidR="00A97432" w:rsidRPr="006C13DF" w:rsidRDefault="00A97432" w:rsidP="005765DF">
      <w:pPr>
        <w:spacing w:after="0" w:line="240" w:lineRule="auto"/>
        <w:jc w:val="center"/>
        <w:rPr>
          <w:rFonts w:ascii="Times New Roman" w:hAnsi="Times New Roman" w:cs="Times New Roman"/>
          <w:b/>
          <w:sz w:val="24"/>
          <w:szCs w:val="24"/>
        </w:rPr>
      </w:pPr>
    </w:p>
    <w:p w14:paraId="3D330D7A" w14:textId="77777777" w:rsidR="00A97432" w:rsidRPr="006C13DF" w:rsidRDefault="00A97432" w:rsidP="005765DF">
      <w:pPr>
        <w:spacing w:after="0" w:line="240" w:lineRule="auto"/>
        <w:jc w:val="center"/>
        <w:rPr>
          <w:rFonts w:ascii="Times New Roman" w:hAnsi="Times New Roman" w:cs="Times New Roman"/>
          <w:b/>
          <w:sz w:val="24"/>
          <w:szCs w:val="24"/>
        </w:rPr>
      </w:pPr>
    </w:p>
    <w:p w14:paraId="6A98CD72" w14:textId="77777777" w:rsidR="00A97432" w:rsidRPr="006C13DF" w:rsidRDefault="00A97432" w:rsidP="005765DF">
      <w:pPr>
        <w:spacing w:after="0" w:line="240" w:lineRule="auto"/>
        <w:jc w:val="center"/>
        <w:rPr>
          <w:rFonts w:ascii="Times New Roman" w:hAnsi="Times New Roman" w:cs="Times New Roman"/>
          <w:b/>
          <w:sz w:val="24"/>
          <w:szCs w:val="24"/>
        </w:rPr>
      </w:pPr>
    </w:p>
    <w:p w14:paraId="030E7D3D" w14:textId="77777777" w:rsidR="00A97432" w:rsidRPr="006C13DF" w:rsidRDefault="00A97432" w:rsidP="005765DF">
      <w:pPr>
        <w:spacing w:after="0" w:line="240" w:lineRule="auto"/>
        <w:jc w:val="center"/>
        <w:rPr>
          <w:rFonts w:ascii="Times New Roman" w:hAnsi="Times New Roman" w:cs="Times New Roman"/>
          <w:b/>
          <w:sz w:val="24"/>
          <w:szCs w:val="24"/>
        </w:rPr>
      </w:pPr>
    </w:p>
    <w:p w14:paraId="5DE73313" w14:textId="77777777" w:rsidR="00A97432" w:rsidRPr="006C13DF" w:rsidRDefault="00A97432" w:rsidP="005765DF">
      <w:pPr>
        <w:spacing w:after="0" w:line="240" w:lineRule="auto"/>
        <w:jc w:val="center"/>
        <w:rPr>
          <w:rFonts w:ascii="Times New Roman" w:hAnsi="Times New Roman" w:cs="Times New Roman"/>
          <w:b/>
          <w:sz w:val="24"/>
          <w:szCs w:val="24"/>
        </w:rPr>
      </w:pPr>
    </w:p>
    <w:p w14:paraId="099F364D" w14:textId="77777777" w:rsidR="00A97432" w:rsidRPr="006C13DF" w:rsidRDefault="00A97432" w:rsidP="005765DF">
      <w:pPr>
        <w:spacing w:after="0" w:line="240" w:lineRule="auto"/>
        <w:jc w:val="center"/>
        <w:rPr>
          <w:rFonts w:ascii="Times New Roman" w:hAnsi="Times New Roman" w:cs="Times New Roman"/>
          <w:b/>
          <w:sz w:val="24"/>
          <w:szCs w:val="24"/>
        </w:rPr>
      </w:pPr>
    </w:p>
    <w:p w14:paraId="3BF2DCA6" w14:textId="77777777" w:rsidR="005765DF" w:rsidRPr="006C13DF" w:rsidRDefault="005765DF" w:rsidP="005765DF">
      <w:pPr>
        <w:spacing w:after="0" w:line="240" w:lineRule="auto"/>
        <w:jc w:val="center"/>
        <w:rPr>
          <w:rFonts w:ascii="Times New Roman" w:eastAsia="Calibri" w:hAnsi="Times New Roman" w:cs="Times New Roman"/>
          <w:b/>
          <w:sz w:val="40"/>
          <w:szCs w:val="40"/>
        </w:rPr>
      </w:pPr>
      <w:r w:rsidRPr="006C13DF">
        <w:rPr>
          <w:rFonts w:ascii="Times New Roman" w:eastAsia="Calibri" w:hAnsi="Times New Roman" w:cs="Times New Roman"/>
          <w:b/>
          <w:sz w:val="40"/>
          <w:szCs w:val="40"/>
        </w:rPr>
        <w:t>ОТЧЕТ</w:t>
      </w:r>
    </w:p>
    <w:p w14:paraId="6F079A61" w14:textId="77777777" w:rsidR="005765DF" w:rsidRPr="006C13DF" w:rsidRDefault="005765DF" w:rsidP="005765DF">
      <w:pPr>
        <w:spacing w:after="0" w:line="240" w:lineRule="auto"/>
        <w:jc w:val="center"/>
        <w:rPr>
          <w:rFonts w:ascii="Times New Roman" w:eastAsia="Calibri" w:hAnsi="Times New Roman" w:cs="Times New Roman"/>
          <w:b/>
          <w:sz w:val="40"/>
          <w:szCs w:val="40"/>
        </w:rPr>
      </w:pPr>
    </w:p>
    <w:p w14:paraId="11BA5F6C" w14:textId="77777777" w:rsidR="005765DF" w:rsidRPr="006C13DF" w:rsidRDefault="005765DF" w:rsidP="005765DF">
      <w:pPr>
        <w:spacing w:after="0" w:line="240" w:lineRule="auto"/>
        <w:jc w:val="center"/>
        <w:rPr>
          <w:rFonts w:ascii="Times New Roman" w:eastAsia="Calibri" w:hAnsi="Times New Roman" w:cs="Times New Roman"/>
          <w:b/>
          <w:sz w:val="40"/>
          <w:szCs w:val="40"/>
        </w:rPr>
      </w:pPr>
    </w:p>
    <w:p w14:paraId="35EB602B" w14:textId="77777777" w:rsidR="005765DF" w:rsidRPr="006C13DF" w:rsidRDefault="00814495" w:rsidP="005765DF">
      <w:pPr>
        <w:autoSpaceDE w:val="0"/>
        <w:autoSpaceDN w:val="0"/>
        <w:adjustRightInd w:val="0"/>
        <w:spacing w:after="0" w:line="240" w:lineRule="auto"/>
        <w:jc w:val="center"/>
        <w:rPr>
          <w:rFonts w:ascii="Times New Roman" w:eastAsia="Times New Roman" w:hAnsi="Times New Roman" w:cs="Times New Roman"/>
          <w:b/>
          <w:bCs/>
          <w:sz w:val="36"/>
          <w:szCs w:val="36"/>
          <w:lang w:val="en-US"/>
        </w:rPr>
      </w:pPr>
      <w:r w:rsidRPr="006C13DF">
        <w:rPr>
          <w:rFonts w:ascii="Times New Roman" w:eastAsia="Times New Roman" w:hAnsi="Times New Roman" w:cs="Times New Roman"/>
          <w:b/>
          <w:bCs/>
          <w:sz w:val="36"/>
          <w:szCs w:val="36"/>
        </w:rPr>
        <w:t xml:space="preserve">за 2023 </w:t>
      </w:r>
      <w:r w:rsidRPr="006C13DF">
        <w:rPr>
          <w:rFonts w:ascii="Times New Roman" w:eastAsia="Times New Roman" w:hAnsi="Times New Roman" w:cs="Times New Roman"/>
          <w:b/>
          <w:bCs/>
          <w:sz w:val="36"/>
          <w:szCs w:val="36"/>
          <w:lang w:val="en-US"/>
        </w:rPr>
        <w:t>–</w:t>
      </w:r>
      <w:r w:rsidR="005765DF" w:rsidRPr="006C13DF">
        <w:rPr>
          <w:rFonts w:ascii="Times New Roman" w:eastAsia="Times New Roman" w:hAnsi="Times New Roman" w:cs="Times New Roman"/>
          <w:b/>
          <w:bCs/>
          <w:sz w:val="36"/>
          <w:szCs w:val="36"/>
        </w:rPr>
        <w:t xml:space="preserve"> 2024 г.</w:t>
      </w:r>
    </w:p>
    <w:p w14:paraId="21D5125C" w14:textId="77777777" w:rsidR="005765DF" w:rsidRPr="006C13DF" w:rsidRDefault="005765DF" w:rsidP="005765DF">
      <w:pPr>
        <w:spacing w:after="0" w:line="240" w:lineRule="auto"/>
        <w:jc w:val="center"/>
        <w:rPr>
          <w:rFonts w:ascii="Times New Roman" w:eastAsia="Calibri" w:hAnsi="Times New Roman" w:cs="Times New Roman"/>
          <w:b/>
          <w:sz w:val="40"/>
          <w:szCs w:val="40"/>
        </w:rPr>
      </w:pPr>
    </w:p>
    <w:p w14:paraId="062E2ADE" w14:textId="77777777" w:rsidR="005765DF" w:rsidRPr="006C13DF" w:rsidRDefault="005765DF" w:rsidP="005765DF">
      <w:pPr>
        <w:spacing w:after="0" w:line="360" w:lineRule="auto"/>
        <w:jc w:val="both"/>
        <w:rPr>
          <w:rFonts w:ascii="Times New Roman" w:eastAsia="Calibri" w:hAnsi="Times New Roman" w:cs="Times New Roman"/>
          <w:b/>
          <w:sz w:val="32"/>
          <w:szCs w:val="32"/>
        </w:rPr>
      </w:pPr>
    </w:p>
    <w:p w14:paraId="342F3927" w14:textId="77777777" w:rsidR="005765DF" w:rsidRPr="006C13DF" w:rsidRDefault="005765DF" w:rsidP="005765DF">
      <w:pPr>
        <w:spacing w:after="0" w:line="240" w:lineRule="auto"/>
        <w:jc w:val="center"/>
        <w:rPr>
          <w:rFonts w:ascii="Times New Roman" w:eastAsia="Times New Roman" w:hAnsi="Times New Roman" w:cs="Times New Roman"/>
          <w:b/>
          <w:bCs/>
          <w:sz w:val="36"/>
          <w:szCs w:val="36"/>
          <w:lang w:eastAsia="bg-BG"/>
        </w:rPr>
      </w:pPr>
      <w:r w:rsidRPr="006C13DF">
        <w:rPr>
          <w:rFonts w:ascii="Times New Roman" w:eastAsia="Times New Roman" w:hAnsi="Times New Roman" w:cs="Times New Roman"/>
          <w:b/>
          <w:bCs/>
          <w:sz w:val="36"/>
          <w:szCs w:val="36"/>
          <w:lang w:eastAsia="bg-BG"/>
        </w:rPr>
        <w:t xml:space="preserve">за изпълнение на Националната стратегия </w:t>
      </w:r>
    </w:p>
    <w:p w14:paraId="12B050FB" w14:textId="77777777" w:rsidR="005765DF" w:rsidRPr="006C13DF" w:rsidRDefault="005765DF" w:rsidP="005765DF">
      <w:pPr>
        <w:spacing w:after="0" w:line="240" w:lineRule="auto"/>
        <w:jc w:val="center"/>
        <w:rPr>
          <w:rFonts w:ascii="Times New Roman" w:eastAsia="Times New Roman" w:hAnsi="Times New Roman" w:cs="Times New Roman"/>
          <w:b/>
          <w:bCs/>
          <w:sz w:val="36"/>
          <w:szCs w:val="36"/>
          <w:lang w:val="en-US" w:eastAsia="bg-BG"/>
        </w:rPr>
      </w:pPr>
      <w:r w:rsidRPr="006C13DF">
        <w:rPr>
          <w:rFonts w:ascii="Times New Roman" w:eastAsia="Times New Roman" w:hAnsi="Times New Roman" w:cs="Times New Roman"/>
          <w:b/>
          <w:bCs/>
          <w:sz w:val="36"/>
          <w:szCs w:val="36"/>
          <w:lang w:eastAsia="bg-BG"/>
        </w:rPr>
        <w:t>за активен живот на възрастните хора в България (201</w:t>
      </w:r>
      <w:r w:rsidRPr="006C13DF">
        <w:rPr>
          <w:rFonts w:ascii="Times New Roman" w:eastAsia="Times New Roman" w:hAnsi="Times New Roman" w:cs="Times New Roman"/>
          <w:b/>
          <w:bCs/>
          <w:sz w:val="36"/>
          <w:szCs w:val="36"/>
          <w:lang w:val="ru-RU" w:eastAsia="bg-BG"/>
        </w:rPr>
        <w:t xml:space="preserve">9 </w:t>
      </w:r>
      <w:r w:rsidR="00814495" w:rsidRPr="006C13DF">
        <w:rPr>
          <w:rFonts w:ascii="Times New Roman" w:eastAsia="Times New Roman" w:hAnsi="Times New Roman" w:cs="Times New Roman"/>
          <w:b/>
          <w:bCs/>
          <w:sz w:val="36"/>
          <w:szCs w:val="36"/>
          <w:lang w:val="en-US" w:eastAsia="bg-BG"/>
        </w:rPr>
        <w:t>–</w:t>
      </w:r>
      <w:r w:rsidRPr="006C13DF">
        <w:rPr>
          <w:rFonts w:ascii="Times New Roman" w:eastAsia="Times New Roman" w:hAnsi="Times New Roman" w:cs="Times New Roman"/>
          <w:b/>
          <w:bCs/>
          <w:sz w:val="36"/>
          <w:szCs w:val="36"/>
          <w:lang w:eastAsia="bg-BG"/>
        </w:rPr>
        <w:t xml:space="preserve"> 2030 г.)</w:t>
      </w:r>
    </w:p>
    <w:p w14:paraId="111F6F6C" w14:textId="77777777" w:rsidR="005765DF" w:rsidRPr="006C13DF" w:rsidRDefault="005765DF" w:rsidP="005765DF">
      <w:pPr>
        <w:spacing w:after="0" w:line="240" w:lineRule="auto"/>
        <w:jc w:val="center"/>
        <w:rPr>
          <w:rFonts w:ascii="Times New Roman" w:eastAsia="Calibri" w:hAnsi="Times New Roman" w:cs="Times New Roman"/>
          <w:b/>
          <w:sz w:val="32"/>
          <w:szCs w:val="32"/>
          <w:highlight w:val="yellow"/>
        </w:rPr>
      </w:pPr>
    </w:p>
    <w:p w14:paraId="7E024B96" w14:textId="77777777" w:rsidR="005765DF" w:rsidRPr="006C13DF" w:rsidRDefault="005765DF" w:rsidP="005765DF">
      <w:pPr>
        <w:spacing w:after="0" w:line="240" w:lineRule="auto"/>
        <w:jc w:val="center"/>
        <w:rPr>
          <w:rFonts w:ascii="Times New Roman" w:eastAsia="Calibri" w:hAnsi="Times New Roman" w:cs="Times New Roman"/>
          <w:b/>
          <w:sz w:val="32"/>
          <w:szCs w:val="32"/>
          <w:highlight w:val="yellow"/>
        </w:rPr>
      </w:pPr>
    </w:p>
    <w:p w14:paraId="391AB307" w14:textId="77777777" w:rsidR="00C625C6" w:rsidRPr="006C13DF" w:rsidRDefault="00C625C6" w:rsidP="00A97432">
      <w:pPr>
        <w:spacing w:after="0" w:line="240" w:lineRule="auto"/>
        <w:jc w:val="center"/>
        <w:rPr>
          <w:rFonts w:ascii="Times New Roman" w:eastAsia="Calibri" w:hAnsi="Times New Roman" w:cs="Times New Roman"/>
          <w:b/>
          <w:sz w:val="24"/>
          <w:szCs w:val="24"/>
          <w:highlight w:val="yellow"/>
        </w:rPr>
      </w:pPr>
      <w:r w:rsidRPr="006C13DF">
        <w:rPr>
          <w:rFonts w:ascii="Times New Roman" w:hAnsi="Times New Roman" w:cs="Times New Roman"/>
          <w:b/>
          <w:sz w:val="24"/>
          <w:szCs w:val="24"/>
          <w:highlight w:val="yellow"/>
        </w:rPr>
        <w:br w:type="page"/>
      </w:r>
    </w:p>
    <w:p w14:paraId="5052DEFF" w14:textId="77777777" w:rsidR="00A97432" w:rsidRPr="006C13DF" w:rsidRDefault="00A97432" w:rsidP="00A97432">
      <w:pPr>
        <w:jc w:val="center"/>
        <w:rPr>
          <w:rFonts w:ascii="Times New Roman" w:hAnsi="Times New Roman" w:cs="Times New Roman"/>
          <w:b/>
          <w:sz w:val="28"/>
          <w:szCs w:val="28"/>
        </w:rPr>
      </w:pPr>
      <w:r w:rsidRPr="006C13DF">
        <w:rPr>
          <w:rFonts w:ascii="Times New Roman" w:hAnsi="Times New Roman" w:cs="Times New Roman"/>
          <w:b/>
          <w:sz w:val="28"/>
          <w:szCs w:val="28"/>
        </w:rPr>
        <w:lastRenderedPageBreak/>
        <w:t>Съдържание</w:t>
      </w:r>
    </w:p>
    <w:p w14:paraId="1641B31B" w14:textId="77777777" w:rsidR="00C625C6" w:rsidRPr="006C13DF" w:rsidRDefault="00C625C6" w:rsidP="00C625C6">
      <w:pPr>
        <w:spacing w:after="0" w:line="240" w:lineRule="auto"/>
        <w:rPr>
          <w:rFonts w:ascii="Times New Roman" w:hAnsi="Times New Roman" w:cs="Times New Roman"/>
          <w:b/>
          <w:sz w:val="24"/>
          <w:szCs w:val="24"/>
        </w:rPr>
      </w:pPr>
    </w:p>
    <w:tbl>
      <w:tblPr>
        <w:tblW w:w="9209" w:type="dxa"/>
        <w:shd w:val="clear" w:color="auto" w:fill="FFFF00"/>
        <w:tblLook w:val="04A0" w:firstRow="1" w:lastRow="0" w:firstColumn="1" w:lastColumn="0" w:noHBand="0" w:noVBand="1"/>
      </w:tblPr>
      <w:tblGrid>
        <w:gridCol w:w="8207"/>
        <w:gridCol w:w="1002"/>
      </w:tblGrid>
      <w:tr w:rsidR="00C625C6" w:rsidRPr="006C13DF" w14:paraId="01289909" w14:textId="77777777" w:rsidTr="00AE69A8">
        <w:tc>
          <w:tcPr>
            <w:tcW w:w="8207" w:type="dxa"/>
            <w:tcBorders>
              <w:top w:val="single" w:sz="4" w:space="0" w:color="auto"/>
              <w:left w:val="single" w:sz="4" w:space="0" w:color="auto"/>
              <w:bottom w:val="single" w:sz="4" w:space="0" w:color="auto"/>
              <w:right w:val="single" w:sz="4" w:space="0" w:color="auto"/>
            </w:tcBorders>
            <w:shd w:val="clear" w:color="auto" w:fill="auto"/>
          </w:tcPr>
          <w:p w14:paraId="7180DDCF" w14:textId="77777777" w:rsidR="00C625C6" w:rsidRPr="006C13DF" w:rsidRDefault="00C625C6" w:rsidP="009173DD">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 xml:space="preserve">ЧАСТ 1 </w:t>
            </w:r>
          </w:p>
          <w:p w14:paraId="77CA4794" w14:textId="77777777" w:rsidR="00C625C6" w:rsidRPr="006C13DF" w:rsidRDefault="00C625C6" w:rsidP="009173DD">
            <w:pPr>
              <w:spacing w:after="0" w:line="240" w:lineRule="auto"/>
              <w:rPr>
                <w:rFonts w:ascii="Times New Roman" w:hAnsi="Times New Roman" w:cs="Times New Roman"/>
                <w:b/>
                <w:caps/>
                <w:sz w:val="24"/>
                <w:szCs w:val="24"/>
              </w:rPr>
            </w:pPr>
            <w:r w:rsidRPr="006C13DF">
              <w:rPr>
                <w:rFonts w:ascii="Times New Roman" w:hAnsi="Times New Roman" w:cs="Times New Roman"/>
                <w:b/>
                <w:caps/>
                <w:sz w:val="24"/>
                <w:szCs w:val="24"/>
              </w:rPr>
              <w:t>РАЗВИТИЕ НА ПРОЦЕСИТЕ НА ЗАСТАРЯВАНЕ в БЪЛГАРИЯ</w:t>
            </w:r>
          </w:p>
          <w:p w14:paraId="262902DC" w14:textId="77777777" w:rsidR="00C625C6" w:rsidRPr="006C13DF" w:rsidRDefault="00C625C6" w:rsidP="009173DD">
            <w:pPr>
              <w:spacing w:after="0" w:line="240" w:lineRule="auto"/>
              <w:jc w:val="both"/>
              <w:rPr>
                <w:rFonts w:ascii="Times New Roman" w:hAnsi="Times New Roman" w:cs="Times New Roman"/>
                <w:b/>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0E5F82C6" w14:textId="77777777" w:rsidR="00C625C6" w:rsidRPr="006C13DF" w:rsidRDefault="00697E55" w:rsidP="009173DD">
            <w:pPr>
              <w:spacing w:after="0" w:line="240" w:lineRule="auto"/>
              <w:rPr>
                <w:rFonts w:ascii="Times New Roman" w:hAnsi="Times New Roman" w:cs="Times New Roman"/>
                <w:sz w:val="24"/>
                <w:szCs w:val="24"/>
              </w:rPr>
            </w:pPr>
            <w:r>
              <w:rPr>
                <w:rFonts w:ascii="Times New Roman" w:hAnsi="Times New Roman" w:cs="Times New Roman"/>
                <w:sz w:val="24"/>
                <w:szCs w:val="24"/>
              </w:rPr>
              <w:t>стр. 3</w:t>
            </w:r>
          </w:p>
        </w:tc>
      </w:tr>
      <w:tr w:rsidR="00FA2FE5" w:rsidRPr="006C13DF" w14:paraId="228389EF" w14:textId="77777777" w:rsidTr="00AE69A8">
        <w:tc>
          <w:tcPr>
            <w:tcW w:w="8207" w:type="dxa"/>
            <w:tcBorders>
              <w:top w:val="single" w:sz="4" w:space="0" w:color="auto"/>
              <w:left w:val="single" w:sz="4" w:space="0" w:color="auto"/>
              <w:bottom w:val="single" w:sz="4" w:space="0" w:color="auto"/>
              <w:right w:val="single" w:sz="4" w:space="0" w:color="auto"/>
            </w:tcBorders>
            <w:shd w:val="clear" w:color="auto" w:fill="auto"/>
          </w:tcPr>
          <w:p w14:paraId="0D839D1A" w14:textId="77777777" w:rsidR="00FA2FE5" w:rsidRDefault="00FA2FE5" w:rsidP="00FA2FE5">
            <w:pPr>
              <w:spacing w:after="0" w:line="240" w:lineRule="auto"/>
              <w:jc w:val="both"/>
              <w:rPr>
                <w:rFonts w:ascii="Times New Roman" w:hAnsi="Times New Roman" w:cs="Times New Roman"/>
                <w:b/>
                <w:caps/>
                <w:sz w:val="24"/>
                <w:szCs w:val="24"/>
              </w:rPr>
            </w:pPr>
            <w:r>
              <w:rPr>
                <w:rFonts w:ascii="Times New Roman" w:hAnsi="Times New Roman" w:cs="Times New Roman"/>
                <w:b/>
                <w:caps/>
                <w:sz w:val="24"/>
                <w:szCs w:val="24"/>
              </w:rPr>
              <w:t>Част 2</w:t>
            </w:r>
          </w:p>
          <w:p w14:paraId="0D2EB615" w14:textId="77777777" w:rsidR="00FA2FE5" w:rsidRPr="006C13DF" w:rsidRDefault="00FA2FE5" w:rsidP="00FA2FE5">
            <w:pPr>
              <w:spacing w:after="0" w:line="240" w:lineRule="auto"/>
              <w:jc w:val="both"/>
              <w:rPr>
                <w:rFonts w:ascii="Times New Roman" w:hAnsi="Times New Roman" w:cs="Times New Roman"/>
                <w:b/>
                <w:caps/>
                <w:sz w:val="24"/>
                <w:szCs w:val="24"/>
              </w:rPr>
            </w:pPr>
            <w:r w:rsidRPr="006C13DF">
              <w:rPr>
                <w:rFonts w:ascii="Times New Roman" w:hAnsi="Times New Roman" w:cs="Times New Roman"/>
                <w:b/>
                <w:caps/>
                <w:sz w:val="24"/>
                <w:szCs w:val="24"/>
              </w:rPr>
              <w:t>Европейски и международни ДОКУМЕНТИ за посрещане на демографските предизвикателства, свързани със застаряването на населението</w:t>
            </w:r>
          </w:p>
          <w:p w14:paraId="540BF51E" w14:textId="77777777" w:rsidR="00FA2FE5" w:rsidRPr="006C13DF" w:rsidRDefault="00FA2FE5" w:rsidP="00FA2FE5">
            <w:pPr>
              <w:spacing w:after="0" w:line="240" w:lineRule="auto"/>
              <w:jc w:val="both"/>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69C76BE8" w14:textId="77777777" w:rsidR="00FA2FE5" w:rsidRPr="00FA2FE5" w:rsidRDefault="00FA2FE5" w:rsidP="00FA2FE5">
            <w:pPr>
              <w:spacing w:after="0" w:line="240" w:lineRule="auto"/>
              <w:rPr>
                <w:rFonts w:ascii="Times New Roman" w:hAnsi="Times New Roman" w:cs="Times New Roman"/>
                <w:sz w:val="24"/>
                <w:szCs w:val="24"/>
                <w:highlight w:val="yellow"/>
                <w:lang w:val="en-US"/>
              </w:rPr>
            </w:pPr>
            <w:r>
              <w:rPr>
                <w:rFonts w:ascii="Times New Roman" w:hAnsi="Times New Roman" w:cs="Times New Roman"/>
                <w:sz w:val="24"/>
                <w:szCs w:val="24"/>
              </w:rPr>
              <w:t xml:space="preserve">стр. </w:t>
            </w:r>
            <w:r>
              <w:rPr>
                <w:rFonts w:ascii="Times New Roman" w:hAnsi="Times New Roman" w:cs="Times New Roman"/>
                <w:sz w:val="24"/>
                <w:szCs w:val="24"/>
                <w:lang w:val="en-US"/>
              </w:rPr>
              <w:t>9</w:t>
            </w:r>
          </w:p>
        </w:tc>
      </w:tr>
      <w:tr w:rsidR="00AE69A8" w:rsidRPr="006C13DF" w14:paraId="275A3FB5" w14:textId="77777777" w:rsidTr="00AE69A8">
        <w:tc>
          <w:tcPr>
            <w:tcW w:w="8207" w:type="dxa"/>
            <w:tcBorders>
              <w:top w:val="single" w:sz="4" w:space="0" w:color="auto"/>
              <w:left w:val="single" w:sz="4" w:space="0" w:color="auto"/>
              <w:bottom w:val="single" w:sz="4" w:space="0" w:color="auto"/>
              <w:right w:val="single" w:sz="4" w:space="0" w:color="auto"/>
            </w:tcBorders>
            <w:shd w:val="clear" w:color="auto" w:fill="auto"/>
          </w:tcPr>
          <w:p w14:paraId="2B4F69D2" w14:textId="77777777" w:rsidR="00AE69A8" w:rsidRPr="006C13DF" w:rsidRDefault="00AE69A8" w:rsidP="00AE69A8">
            <w:pPr>
              <w:spacing w:after="0" w:line="240" w:lineRule="auto"/>
              <w:jc w:val="both"/>
              <w:rPr>
                <w:rFonts w:ascii="Times New Roman" w:hAnsi="Times New Roman" w:cs="Times New Roman"/>
                <w:b/>
                <w:caps/>
                <w:sz w:val="24"/>
                <w:szCs w:val="24"/>
              </w:rPr>
            </w:pPr>
            <w:r w:rsidRPr="006C13DF">
              <w:rPr>
                <w:rFonts w:ascii="Times New Roman" w:hAnsi="Times New Roman" w:cs="Times New Roman"/>
                <w:b/>
                <w:caps/>
                <w:sz w:val="24"/>
                <w:szCs w:val="24"/>
              </w:rPr>
              <w:t>Част 3</w:t>
            </w:r>
          </w:p>
          <w:p w14:paraId="209B6885" w14:textId="77777777" w:rsidR="00AE69A8" w:rsidRPr="006C13DF" w:rsidRDefault="00AE69A8" w:rsidP="00AE69A8">
            <w:pPr>
              <w:spacing w:after="0" w:line="240" w:lineRule="auto"/>
              <w:jc w:val="both"/>
              <w:rPr>
                <w:rFonts w:ascii="Times New Roman" w:hAnsi="Times New Roman" w:cs="Times New Roman"/>
                <w:b/>
                <w:caps/>
                <w:sz w:val="24"/>
                <w:szCs w:val="24"/>
              </w:rPr>
            </w:pPr>
            <w:r w:rsidRPr="006C13DF">
              <w:rPr>
                <w:rFonts w:ascii="Times New Roman" w:hAnsi="Times New Roman" w:cs="Times New Roman"/>
                <w:b/>
                <w:caps/>
                <w:sz w:val="24"/>
                <w:szCs w:val="24"/>
              </w:rPr>
              <w:t xml:space="preserve">ОТЧЕТ ЗА 2023 – 2024 г. за изпълнение на Националната стратегия за активен живот на възрастните хора в България (2019-2030 г.) </w:t>
            </w:r>
          </w:p>
          <w:p w14:paraId="050577E2" w14:textId="77777777" w:rsidR="00AE69A8" w:rsidRPr="006C13DF" w:rsidRDefault="00AE69A8" w:rsidP="00AE69A8">
            <w:pPr>
              <w:spacing w:after="0" w:line="240" w:lineRule="auto"/>
              <w:jc w:val="both"/>
              <w:rPr>
                <w:rFonts w:ascii="Times New Roman" w:hAnsi="Times New Roman" w:cs="Times New Roman"/>
                <w:b/>
                <w:caps/>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3DD4CA1B" w14:textId="77777777" w:rsidR="00AE69A8" w:rsidRPr="006C13DF" w:rsidRDefault="00AE69A8" w:rsidP="00AE69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 </w:t>
            </w:r>
            <w:r>
              <w:rPr>
                <w:rFonts w:ascii="Times New Roman" w:hAnsi="Times New Roman" w:cs="Times New Roman"/>
                <w:sz w:val="24"/>
                <w:szCs w:val="24"/>
                <w:lang w:val="en-US"/>
              </w:rPr>
              <w:t>1</w:t>
            </w:r>
            <w:r>
              <w:rPr>
                <w:rFonts w:ascii="Times New Roman" w:hAnsi="Times New Roman" w:cs="Times New Roman"/>
                <w:sz w:val="24"/>
                <w:szCs w:val="24"/>
              </w:rPr>
              <w:t>3</w:t>
            </w:r>
          </w:p>
        </w:tc>
      </w:tr>
      <w:tr w:rsidR="00AE69A8" w:rsidRPr="006C13DF" w14:paraId="2D036A42" w14:textId="77777777" w:rsidTr="00AE69A8">
        <w:tc>
          <w:tcPr>
            <w:tcW w:w="8207" w:type="dxa"/>
            <w:tcBorders>
              <w:top w:val="single" w:sz="4" w:space="0" w:color="auto"/>
              <w:left w:val="single" w:sz="4" w:space="0" w:color="auto"/>
              <w:bottom w:val="single" w:sz="4" w:space="0" w:color="auto"/>
              <w:right w:val="single" w:sz="4" w:space="0" w:color="auto"/>
            </w:tcBorders>
            <w:shd w:val="clear" w:color="auto" w:fill="auto"/>
          </w:tcPr>
          <w:p w14:paraId="4C4ACAAF" w14:textId="77777777" w:rsidR="00AE69A8" w:rsidRPr="006C13DF" w:rsidRDefault="00AE69A8" w:rsidP="00AE69A8">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I. Приоритет I – Насърчаване на активния живот на възрастните хора в сферата на заетостта</w:t>
            </w:r>
          </w:p>
          <w:p w14:paraId="6C4E83CC" w14:textId="77777777" w:rsidR="00AE69A8" w:rsidRPr="006C13DF" w:rsidRDefault="00AE69A8" w:rsidP="00AE69A8">
            <w:pPr>
              <w:spacing w:after="0" w:line="240" w:lineRule="auto"/>
              <w:jc w:val="both"/>
              <w:rPr>
                <w:rFonts w:ascii="Times New Roman" w:hAnsi="Times New Roman" w:cs="Times New Roman"/>
                <w:b/>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B231C5A" w14:textId="77777777" w:rsidR="00AE69A8" w:rsidRPr="002A6850" w:rsidRDefault="002A6850" w:rsidP="00AE69A8">
            <w:pPr>
              <w:spacing w:after="0" w:line="240" w:lineRule="auto"/>
              <w:rPr>
                <w:rFonts w:ascii="Times New Roman" w:hAnsi="Times New Roman" w:cs="Times New Roman"/>
                <w:sz w:val="24"/>
                <w:szCs w:val="24"/>
                <w:highlight w:val="yellow"/>
                <w:lang w:val="en-US"/>
              </w:rPr>
            </w:pPr>
            <w:r>
              <w:rPr>
                <w:rFonts w:ascii="Times New Roman" w:hAnsi="Times New Roman" w:cs="Times New Roman"/>
                <w:sz w:val="24"/>
                <w:szCs w:val="24"/>
              </w:rPr>
              <w:t xml:space="preserve">стр. </w:t>
            </w:r>
            <w:r>
              <w:rPr>
                <w:rFonts w:ascii="Times New Roman" w:hAnsi="Times New Roman" w:cs="Times New Roman"/>
                <w:sz w:val="24"/>
                <w:szCs w:val="24"/>
                <w:lang w:val="en-US"/>
              </w:rPr>
              <w:t>14</w:t>
            </w:r>
          </w:p>
        </w:tc>
      </w:tr>
      <w:tr w:rsidR="00AE69A8" w:rsidRPr="006C13DF" w14:paraId="53C94BDC" w14:textId="77777777" w:rsidTr="00AE69A8">
        <w:tc>
          <w:tcPr>
            <w:tcW w:w="8207" w:type="dxa"/>
            <w:tcBorders>
              <w:top w:val="single" w:sz="4" w:space="0" w:color="auto"/>
              <w:left w:val="single" w:sz="4" w:space="0" w:color="auto"/>
              <w:bottom w:val="single" w:sz="4" w:space="0" w:color="auto"/>
              <w:right w:val="single" w:sz="4" w:space="0" w:color="auto"/>
            </w:tcBorders>
            <w:shd w:val="clear" w:color="auto" w:fill="auto"/>
          </w:tcPr>
          <w:p w14:paraId="77103D57" w14:textId="77777777" w:rsidR="00AE69A8" w:rsidRPr="006C13DF" w:rsidRDefault="00AE69A8" w:rsidP="00AE69A8">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II. Приоритет II – Насърчаване на активния живот на възрастните хора в сферата на участието в обществото</w:t>
            </w:r>
          </w:p>
          <w:p w14:paraId="450E2ADE" w14:textId="77777777" w:rsidR="00AE69A8" w:rsidRPr="006C13DF" w:rsidRDefault="00AE69A8" w:rsidP="00AE69A8">
            <w:pPr>
              <w:pStyle w:val="ListParagraph"/>
              <w:spacing w:after="0" w:line="240" w:lineRule="auto"/>
              <w:ind w:left="0"/>
              <w:jc w:val="both"/>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4B8F4EA7" w14:textId="77777777" w:rsidR="00AE69A8" w:rsidRPr="006C13DF" w:rsidRDefault="00B62C25" w:rsidP="00AE69A8">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стр. </w:t>
            </w:r>
            <w:r>
              <w:rPr>
                <w:rFonts w:ascii="Times New Roman" w:hAnsi="Times New Roman" w:cs="Times New Roman"/>
                <w:sz w:val="24"/>
                <w:szCs w:val="24"/>
                <w:lang w:val="en-US"/>
              </w:rPr>
              <w:t>38</w:t>
            </w:r>
          </w:p>
        </w:tc>
      </w:tr>
      <w:tr w:rsidR="00AE69A8" w:rsidRPr="006C13DF" w14:paraId="1EDDA0BD" w14:textId="77777777" w:rsidTr="00AE69A8">
        <w:tc>
          <w:tcPr>
            <w:tcW w:w="8207" w:type="dxa"/>
            <w:tcBorders>
              <w:top w:val="single" w:sz="4" w:space="0" w:color="auto"/>
              <w:left w:val="single" w:sz="4" w:space="0" w:color="auto"/>
              <w:bottom w:val="single" w:sz="4" w:space="0" w:color="auto"/>
              <w:right w:val="single" w:sz="4" w:space="0" w:color="auto"/>
            </w:tcBorders>
            <w:shd w:val="clear" w:color="auto" w:fill="auto"/>
          </w:tcPr>
          <w:p w14:paraId="6C70260A" w14:textId="77777777" w:rsidR="00AE69A8" w:rsidRPr="006C13DF" w:rsidRDefault="00AE69A8" w:rsidP="00AE69A8">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III. Приоритет III – Насърчаване на активния живот на възрастните хора в сферата на самостоятелния живот</w:t>
            </w:r>
          </w:p>
          <w:p w14:paraId="257035C9" w14:textId="77777777" w:rsidR="00AE69A8" w:rsidRPr="006C13DF" w:rsidRDefault="00AE69A8" w:rsidP="00AE69A8">
            <w:pPr>
              <w:pStyle w:val="ListParagraph"/>
              <w:spacing w:after="0" w:line="240" w:lineRule="auto"/>
              <w:ind w:left="0"/>
              <w:jc w:val="both"/>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5CCC2613" w14:textId="77777777" w:rsidR="00AE69A8" w:rsidRPr="006C13DF" w:rsidRDefault="00654118" w:rsidP="00AE69A8">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стр. </w:t>
            </w:r>
            <w:r>
              <w:rPr>
                <w:rFonts w:ascii="Times New Roman" w:hAnsi="Times New Roman" w:cs="Times New Roman"/>
                <w:sz w:val="24"/>
                <w:szCs w:val="24"/>
                <w:lang w:val="en-US"/>
              </w:rPr>
              <w:t>38</w:t>
            </w:r>
          </w:p>
        </w:tc>
      </w:tr>
      <w:tr w:rsidR="00AE69A8" w:rsidRPr="006C13DF" w14:paraId="46FE1660" w14:textId="77777777" w:rsidTr="00AE69A8">
        <w:tc>
          <w:tcPr>
            <w:tcW w:w="8207" w:type="dxa"/>
            <w:tcBorders>
              <w:top w:val="single" w:sz="4" w:space="0" w:color="auto"/>
              <w:left w:val="single" w:sz="4" w:space="0" w:color="auto"/>
              <w:bottom w:val="single" w:sz="4" w:space="0" w:color="auto"/>
              <w:right w:val="single" w:sz="4" w:space="0" w:color="auto"/>
            </w:tcBorders>
            <w:shd w:val="clear" w:color="auto" w:fill="auto"/>
          </w:tcPr>
          <w:p w14:paraId="376C3379" w14:textId="77777777" w:rsidR="00AE69A8" w:rsidRPr="006C13DF" w:rsidRDefault="00AE69A8" w:rsidP="00AE69A8">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IV. Приоритет IV – Създаване на капацитет и благоприятна среда за активен живот на възрастните хора на национално и на регионално ниво</w:t>
            </w:r>
          </w:p>
          <w:p w14:paraId="4CFF875E" w14:textId="77777777" w:rsidR="00AE69A8" w:rsidRPr="006C13DF" w:rsidRDefault="00AE69A8" w:rsidP="00AE69A8">
            <w:pPr>
              <w:pStyle w:val="ListParagraph"/>
              <w:spacing w:after="0" w:line="240" w:lineRule="auto"/>
              <w:ind w:left="0"/>
              <w:jc w:val="both"/>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01F8F5E5" w14:textId="77777777" w:rsidR="00AE69A8" w:rsidRPr="006C13DF" w:rsidRDefault="00654118" w:rsidP="00AE69A8">
            <w:pPr>
              <w:spacing w:after="0" w:line="240" w:lineRule="auto"/>
              <w:rPr>
                <w:rFonts w:ascii="Times New Roman" w:hAnsi="Times New Roman" w:cs="Times New Roman"/>
                <w:sz w:val="24"/>
                <w:szCs w:val="24"/>
                <w:highlight w:val="yellow"/>
                <w:lang w:val="en-US"/>
              </w:rPr>
            </w:pPr>
            <w:r>
              <w:rPr>
                <w:rFonts w:ascii="Times New Roman" w:hAnsi="Times New Roman" w:cs="Times New Roman"/>
                <w:sz w:val="24"/>
                <w:szCs w:val="24"/>
              </w:rPr>
              <w:t xml:space="preserve">стр. </w:t>
            </w:r>
            <w:r>
              <w:rPr>
                <w:rFonts w:ascii="Times New Roman" w:hAnsi="Times New Roman" w:cs="Times New Roman"/>
                <w:sz w:val="24"/>
                <w:szCs w:val="24"/>
                <w:lang w:val="en-US"/>
              </w:rPr>
              <w:t>76</w:t>
            </w:r>
          </w:p>
        </w:tc>
      </w:tr>
    </w:tbl>
    <w:p w14:paraId="1CAD45F5" w14:textId="77777777" w:rsidR="00C625C6" w:rsidRPr="006C13DF" w:rsidRDefault="00C625C6" w:rsidP="00C625C6">
      <w:pPr>
        <w:spacing w:after="0" w:line="240" w:lineRule="auto"/>
        <w:rPr>
          <w:rFonts w:ascii="Times New Roman" w:hAnsi="Times New Roman" w:cs="Times New Roman"/>
          <w:b/>
          <w:sz w:val="24"/>
          <w:szCs w:val="24"/>
        </w:rPr>
      </w:pPr>
    </w:p>
    <w:p w14:paraId="3E6193C2" w14:textId="77777777" w:rsidR="00175ABB" w:rsidRPr="006C13DF" w:rsidRDefault="00175ABB">
      <w:pPr>
        <w:rPr>
          <w:rFonts w:ascii="Times New Roman" w:hAnsi="Times New Roman" w:cs="Times New Roman"/>
        </w:rPr>
      </w:pPr>
    </w:p>
    <w:p w14:paraId="406E4574" w14:textId="77777777" w:rsidR="004E271C" w:rsidRPr="006C13DF" w:rsidRDefault="004E271C">
      <w:pPr>
        <w:rPr>
          <w:rFonts w:ascii="Times New Roman" w:hAnsi="Times New Roman" w:cs="Times New Roman"/>
        </w:rPr>
      </w:pPr>
    </w:p>
    <w:p w14:paraId="616B5405" w14:textId="77777777" w:rsidR="004E271C" w:rsidRPr="006C13DF" w:rsidRDefault="004E271C">
      <w:pPr>
        <w:rPr>
          <w:rFonts w:ascii="Times New Roman" w:hAnsi="Times New Roman" w:cs="Times New Roman"/>
        </w:rPr>
      </w:pPr>
    </w:p>
    <w:p w14:paraId="6D833EB2" w14:textId="77777777" w:rsidR="004E271C" w:rsidRPr="006C13DF" w:rsidRDefault="004E271C">
      <w:pPr>
        <w:rPr>
          <w:rFonts w:ascii="Times New Roman" w:hAnsi="Times New Roman" w:cs="Times New Roman"/>
        </w:rPr>
      </w:pPr>
    </w:p>
    <w:p w14:paraId="5F092EAB" w14:textId="77777777" w:rsidR="004E271C" w:rsidRPr="006C13DF" w:rsidRDefault="004E271C">
      <w:pPr>
        <w:rPr>
          <w:rFonts w:ascii="Times New Roman" w:hAnsi="Times New Roman" w:cs="Times New Roman"/>
        </w:rPr>
      </w:pPr>
    </w:p>
    <w:p w14:paraId="7E5047A2" w14:textId="77777777" w:rsidR="004E271C" w:rsidRPr="006C13DF" w:rsidRDefault="004E271C">
      <w:pPr>
        <w:rPr>
          <w:rFonts w:ascii="Times New Roman" w:hAnsi="Times New Roman" w:cs="Times New Roman"/>
        </w:rPr>
      </w:pPr>
    </w:p>
    <w:p w14:paraId="68D9192B" w14:textId="77777777" w:rsidR="00253326" w:rsidRPr="006C13DF" w:rsidRDefault="00253326">
      <w:pPr>
        <w:rPr>
          <w:rFonts w:ascii="Times New Roman" w:hAnsi="Times New Roman" w:cs="Times New Roman"/>
        </w:rPr>
      </w:pPr>
    </w:p>
    <w:p w14:paraId="6BA7889F" w14:textId="77777777" w:rsidR="004E271C" w:rsidRPr="006C13DF" w:rsidRDefault="004E271C">
      <w:pPr>
        <w:rPr>
          <w:rFonts w:ascii="Times New Roman" w:hAnsi="Times New Roman" w:cs="Times New Roman"/>
        </w:rPr>
      </w:pPr>
    </w:p>
    <w:p w14:paraId="15311B39" w14:textId="77777777" w:rsidR="004E271C" w:rsidRPr="006C13DF" w:rsidRDefault="004E271C">
      <w:pPr>
        <w:rPr>
          <w:rFonts w:ascii="Times New Roman" w:hAnsi="Times New Roman" w:cs="Times New Roman"/>
        </w:rPr>
      </w:pPr>
    </w:p>
    <w:p w14:paraId="17EE1D12" w14:textId="77777777" w:rsidR="004E271C" w:rsidRPr="006C13DF" w:rsidRDefault="004E271C">
      <w:pPr>
        <w:rPr>
          <w:rFonts w:ascii="Times New Roman" w:hAnsi="Times New Roman" w:cs="Times New Roman"/>
        </w:rPr>
      </w:pPr>
    </w:p>
    <w:p w14:paraId="24DDFA55" w14:textId="77777777" w:rsidR="00253326" w:rsidRPr="006C13DF" w:rsidRDefault="00253326">
      <w:pPr>
        <w:rPr>
          <w:rFonts w:ascii="Times New Roman" w:hAnsi="Times New Roman" w:cs="Times New Roman"/>
        </w:rPr>
      </w:pPr>
    </w:p>
    <w:p w14:paraId="72D94A98" w14:textId="77777777" w:rsidR="00F44280" w:rsidRPr="006C13DF" w:rsidRDefault="00F44280">
      <w:pPr>
        <w:rPr>
          <w:rFonts w:ascii="Times New Roman" w:hAnsi="Times New Roman" w:cs="Times New Roman"/>
        </w:rPr>
      </w:pPr>
    </w:p>
    <w:p w14:paraId="150FA082" w14:textId="77777777" w:rsidR="00F44280" w:rsidRDefault="00F44280">
      <w:pPr>
        <w:rPr>
          <w:rFonts w:ascii="Times New Roman" w:hAnsi="Times New Roman" w:cs="Times New Roman"/>
        </w:rPr>
      </w:pPr>
    </w:p>
    <w:p w14:paraId="138D554D" w14:textId="77777777" w:rsidR="00697E55" w:rsidRPr="006C13DF" w:rsidRDefault="00697E55">
      <w:pPr>
        <w:rPr>
          <w:rFonts w:ascii="Times New Roman" w:hAnsi="Times New Roman" w:cs="Times New Roman"/>
        </w:rPr>
      </w:pPr>
    </w:p>
    <w:p w14:paraId="300E15AF" w14:textId="77777777" w:rsidR="00A97432" w:rsidRPr="005A4595" w:rsidRDefault="00A97432" w:rsidP="00A97432">
      <w:pPr>
        <w:spacing w:after="0" w:line="240" w:lineRule="auto"/>
        <w:jc w:val="center"/>
        <w:rPr>
          <w:rFonts w:ascii="Times New Roman" w:eastAsia="Calibri" w:hAnsi="Times New Roman" w:cs="Times New Roman"/>
          <w:b/>
          <w:caps/>
          <w:sz w:val="28"/>
          <w:szCs w:val="28"/>
        </w:rPr>
      </w:pPr>
      <w:r w:rsidRPr="005A4595">
        <w:rPr>
          <w:rFonts w:ascii="Times New Roman" w:eastAsia="Calibri" w:hAnsi="Times New Roman" w:cs="Times New Roman"/>
          <w:b/>
          <w:caps/>
          <w:sz w:val="28"/>
          <w:szCs w:val="28"/>
        </w:rPr>
        <w:lastRenderedPageBreak/>
        <w:t>ЧАСТ 1</w:t>
      </w:r>
    </w:p>
    <w:p w14:paraId="2762A295" w14:textId="77777777" w:rsidR="00A97432" w:rsidRPr="005A4595" w:rsidRDefault="00A97432" w:rsidP="00A97432">
      <w:pPr>
        <w:spacing w:after="0" w:line="240" w:lineRule="auto"/>
        <w:jc w:val="both"/>
        <w:rPr>
          <w:rFonts w:ascii="Times New Roman" w:eastAsia="Calibri" w:hAnsi="Times New Roman" w:cs="Times New Roman"/>
          <w:b/>
          <w:caps/>
          <w:sz w:val="28"/>
          <w:szCs w:val="28"/>
        </w:rPr>
      </w:pPr>
    </w:p>
    <w:p w14:paraId="0E03F6F6" w14:textId="77777777" w:rsidR="00A97432" w:rsidRDefault="00A97432" w:rsidP="00A97432">
      <w:pPr>
        <w:spacing w:after="0" w:line="240" w:lineRule="auto"/>
        <w:jc w:val="center"/>
        <w:rPr>
          <w:rFonts w:ascii="Times New Roman" w:eastAsia="Calibri" w:hAnsi="Times New Roman" w:cs="Times New Roman"/>
          <w:b/>
          <w:caps/>
          <w:sz w:val="28"/>
          <w:szCs w:val="28"/>
          <w:lang w:val="en-US"/>
        </w:rPr>
      </w:pPr>
      <w:r w:rsidRPr="005A4595">
        <w:rPr>
          <w:rFonts w:ascii="Times New Roman" w:eastAsia="Calibri" w:hAnsi="Times New Roman" w:cs="Times New Roman"/>
          <w:b/>
          <w:caps/>
          <w:sz w:val="28"/>
          <w:szCs w:val="28"/>
        </w:rPr>
        <w:t>ТЕНДЕНЦИИ В РАЗВИТИЕТО НА ПРОЦЕСИТЕ НА ЗАСТАРЯВАНЕ</w:t>
      </w:r>
    </w:p>
    <w:p w14:paraId="4926041F" w14:textId="77777777" w:rsidR="00921173" w:rsidRPr="00921173" w:rsidRDefault="00921173" w:rsidP="00921173">
      <w:pPr>
        <w:spacing w:after="0" w:line="240" w:lineRule="auto"/>
        <w:jc w:val="both"/>
        <w:rPr>
          <w:rFonts w:ascii="Times New Roman" w:eastAsia="Calibri" w:hAnsi="Times New Roman" w:cs="Times New Roman"/>
          <w:b/>
          <w:caps/>
          <w:sz w:val="24"/>
          <w:szCs w:val="24"/>
          <w:lang w:val="en-US"/>
        </w:rPr>
      </w:pPr>
    </w:p>
    <w:p w14:paraId="52790169" w14:textId="77777777" w:rsidR="00F17C4E" w:rsidRDefault="00F17C4E" w:rsidP="00921173">
      <w:pPr>
        <w:autoSpaceDE w:val="0"/>
        <w:autoSpaceDN w:val="0"/>
        <w:adjustRightInd w:val="0"/>
        <w:spacing w:after="0" w:line="240" w:lineRule="auto"/>
        <w:jc w:val="both"/>
        <w:rPr>
          <w:rFonts w:ascii="Times New Roman" w:hAnsi="Times New Roman" w:cs="Times New Roman"/>
          <w:b/>
          <w:bCs/>
          <w:color w:val="000000"/>
          <w:sz w:val="24"/>
          <w:szCs w:val="24"/>
        </w:rPr>
      </w:pPr>
    </w:p>
    <w:p w14:paraId="0738056B" w14:textId="77777777" w:rsidR="00921173" w:rsidRPr="00921173" w:rsidRDefault="00697E55" w:rsidP="00921173">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sidR="00921173" w:rsidRPr="00921173">
        <w:rPr>
          <w:rFonts w:ascii="Times New Roman" w:hAnsi="Times New Roman" w:cs="Times New Roman"/>
          <w:b/>
          <w:bCs/>
          <w:color w:val="000000"/>
          <w:sz w:val="24"/>
          <w:szCs w:val="24"/>
        </w:rPr>
        <w:t xml:space="preserve">Брой и структури на населението </w:t>
      </w:r>
    </w:p>
    <w:p w14:paraId="0B349F68" w14:textId="77777777" w:rsidR="00F17C4E" w:rsidRDefault="00697E55" w:rsidP="00921173">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p>
    <w:p w14:paraId="7CD421D5" w14:textId="77777777" w:rsidR="00921173" w:rsidRPr="00921173" w:rsidRDefault="00921173" w:rsidP="00F17C4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21173">
        <w:rPr>
          <w:rFonts w:ascii="Times New Roman" w:hAnsi="Times New Roman" w:cs="Times New Roman"/>
          <w:b/>
          <w:bCs/>
          <w:color w:val="000000"/>
          <w:sz w:val="24"/>
          <w:szCs w:val="24"/>
        </w:rPr>
        <w:t xml:space="preserve">Към 31 декември 2024 г. населението на България е 6 437 360 души. </w:t>
      </w:r>
      <w:r w:rsidRPr="00921173">
        <w:rPr>
          <w:rFonts w:ascii="Times New Roman" w:hAnsi="Times New Roman" w:cs="Times New Roman"/>
          <w:color w:val="000000"/>
          <w:sz w:val="24"/>
          <w:szCs w:val="24"/>
        </w:rPr>
        <w:t xml:space="preserve">В сравнение с 2023 г. населението на страната намалява с 8 121 души, или с 0.13%. </w:t>
      </w:r>
      <w:r w:rsidRPr="00921173">
        <w:rPr>
          <w:rFonts w:ascii="Times New Roman" w:hAnsi="Times New Roman" w:cs="Times New Roman"/>
          <w:bCs/>
          <w:color w:val="000000"/>
          <w:sz w:val="24"/>
          <w:szCs w:val="24"/>
        </w:rPr>
        <w:t xml:space="preserve">Мъжете са 3 095 140 (48.1%), а жените </w:t>
      </w:r>
      <w:r w:rsidR="00142BE4" w:rsidRPr="00142BE4">
        <w:rPr>
          <w:rFonts w:ascii="Times New Roman" w:hAnsi="Times New Roman" w:cs="Times New Roman"/>
          <w:bCs/>
          <w:color w:val="000000"/>
          <w:sz w:val="24"/>
          <w:szCs w:val="24"/>
        </w:rPr>
        <w:t xml:space="preserve">– </w:t>
      </w:r>
      <w:r w:rsidRPr="00921173">
        <w:rPr>
          <w:rFonts w:ascii="Times New Roman" w:hAnsi="Times New Roman" w:cs="Times New Roman"/>
          <w:bCs/>
          <w:color w:val="000000"/>
          <w:sz w:val="24"/>
          <w:szCs w:val="24"/>
        </w:rPr>
        <w:t>3 342 220 (51.9%)</w:t>
      </w:r>
      <w:r w:rsidRPr="00921173">
        <w:rPr>
          <w:rFonts w:ascii="Times New Roman" w:hAnsi="Times New Roman" w:cs="Times New Roman"/>
          <w:color w:val="000000"/>
          <w:sz w:val="24"/>
          <w:szCs w:val="24"/>
        </w:rPr>
        <w:t xml:space="preserve">, или на 1 000 мъже се падат 1 080 жени. Броят на мъжете преобладава във възрастите до 55 години включително. С нарастването на възрастта се увеличават броят и относителният дял на жените от общото население на страната. </w:t>
      </w:r>
    </w:p>
    <w:p w14:paraId="7122EC66" w14:textId="77777777" w:rsidR="00921173" w:rsidRPr="00921173" w:rsidRDefault="00921173" w:rsidP="00921173">
      <w:pPr>
        <w:autoSpaceDE w:val="0"/>
        <w:autoSpaceDN w:val="0"/>
        <w:adjustRightInd w:val="0"/>
        <w:spacing w:after="0" w:line="240" w:lineRule="auto"/>
        <w:jc w:val="both"/>
        <w:rPr>
          <w:rFonts w:ascii="Times New Roman" w:hAnsi="Times New Roman" w:cs="Times New Roman"/>
          <w:color w:val="000000"/>
          <w:sz w:val="24"/>
          <w:szCs w:val="24"/>
        </w:rPr>
      </w:pPr>
    </w:p>
    <w:p w14:paraId="63D4075A" w14:textId="77777777" w:rsidR="00921173" w:rsidRDefault="00921173" w:rsidP="00921173">
      <w:pPr>
        <w:spacing w:after="0" w:line="240" w:lineRule="auto"/>
        <w:jc w:val="both"/>
        <w:rPr>
          <w:rFonts w:ascii="Times New Roman" w:hAnsi="Times New Roman" w:cs="Times New Roman"/>
          <w:b/>
          <w:bCs/>
          <w:color w:val="000000"/>
          <w:sz w:val="24"/>
          <w:szCs w:val="24"/>
        </w:rPr>
      </w:pPr>
      <w:r w:rsidRPr="00921173">
        <w:rPr>
          <w:rFonts w:ascii="Times New Roman" w:hAnsi="Times New Roman" w:cs="Times New Roman"/>
          <w:b/>
          <w:bCs/>
          <w:color w:val="000000"/>
          <w:sz w:val="24"/>
          <w:szCs w:val="24"/>
        </w:rPr>
        <w:t>Фиг. 1. Възрастова структура на населението към 31.12.2024 година</w:t>
      </w:r>
    </w:p>
    <w:p w14:paraId="582B031A" w14:textId="77777777" w:rsidR="00921173" w:rsidRPr="00921173" w:rsidRDefault="00921173" w:rsidP="00921173">
      <w:pPr>
        <w:spacing w:after="0" w:line="240" w:lineRule="auto"/>
        <w:jc w:val="both"/>
        <w:rPr>
          <w:rFonts w:ascii="Times New Roman" w:eastAsia="Calibri" w:hAnsi="Times New Roman" w:cs="Times New Roman"/>
          <w:b/>
          <w:caps/>
          <w:sz w:val="24"/>
          <w:szCs w:val="24"/>
          <w:lang w:val="en-US"/>
        </w:rPr>
      </w:pPr>
    </w:p>
    <w:p w14:paraId="0522DC82" w14:textId="77777777" w:rsidR="00A97432" w:rsidRDefault="00A97432" w:rsidP="00A97432">
      <w:pPr>
        <w:spacing w:after="0" w:line="240" w:lineRule="auto"/>
        <w:jc w:val="both"/>
        <w:rPr>
          <w:rFonts w:ascii="Times New Roman" w:eastAsia="Calibri" w:hAnsi="Times New Roman" w:cs="Times New Roman"/>
          <w:sz w:val="24"/>
          <w:szCs w:val="24"/>
        </w:rPr>
      </w:pPr>
    </w:p>
    <w:p w14:paraId="25721576" w14:textId="77777777" w:rsidR="00C871C1" w:rsidRDefault="00C871C1" w:rsidP="00A97432">
      <w:pPr>
        <w:spacing w:after="0" w:line="240" w:lineRule="auto"/>
        <w:jc w:val="both"/>
        <w:rPr>
          <w:rFonts w:ascii="Times New Roman" w:eastAsia="Calibri" w:hAnsi="Times New Roman" w:cs="Times New Roman"/>
          <w:sz w:val="24"/>
          <w:szCs w:val="24"/>
        </w:rPr>
      </w:pPr>
    </w:p>
    <w:p w14:paraId="24AE061E" w14:textId="77777777" w:rsidR="00921173" w:rsidRPr="00921173" w:rsidRDefault="00921173" w:rsidP="00921173">
      <w:pPr>
        <w:spacing w:after="131"/>
        <w:ind w:left="864"/>
        <w:rPr>
          <w:rFonts w:ascii="Times New Roman" w:eastAsia="Verdana" w:hAnsi="Times New Roman" w:cs="Times New Roman"/>
          <w:color w:val="000000"/>
          <w:sz w:val="20"/>
          <w:lang w:eastAsia="bg-BG"/>
        </w:rPr>
      </w:pPr>
      <w:r w:rsidRPr="00921173">
        <w:rPr>
          <w:rFonts w:ascii="Times New Roman" w:eastAsia="Calibri" w:hAnsi="Times New Roman" w:cs="Times New Roman"/>
          <w:noProof/>
          <w:color w:val="000000"/>
          <w:lang w:eastAsia="bg-BG"/>
        </w:rPr>
        <mc:AlternateContent>
          <mc:Choice Requires="wpg">
            <w:drawing>
              <wp:inline distT="0" distB="0" distL="0" distR="0" wp14:anchorId="54DA06A5" wp14:editId="4B3DD363">
                <wp:extent cx="3578352" cy="3107055"/>
                <wp:effectExtent l="0" t="0" r="0" b="0"/>
                <wp:docPr id="32490" name="Group 32490"/>
                <wp:cNvGraphicFramePr/>
                <a:graphic xmlns:a="http://schemas.openxmlformats.org/drawingml/2006/main">
                  <a:graphicData uri="http://schemas.microsoft.com/office/word/2010/wordprocessingGroup">
                    <wpg:wgp>
                      <wpg:cNvGrpSpPr/>
                      <wpg:grpSpPr>
                        <a:xfrm>
                          <a:off x="0" y="0"/>
                          <a:ext cx="3578352" cy="3107055"/>
                          <a:chOff x="0" y="0"/>
                          <a:chExt cx="3578352" cy="3107055"/>
                        </a:xfrm>
                      </wpg:grpSpPr>
                      <wps:wsp>
                        <wps:cNvPr id="33366" name="Shape 33366"/>
                        <wps:cNvSpPr/>
                        <wps:spPr>
                          <a:xfrm>
                            <a:off x="672084" y="2978277"/>
                            <a:ext cx="900684" cy="109728"/>
                          </a:xfrm>
                          <a:custGeom>
                            <a:avLst/>
                            <a:gdLst/>
                            <a:ahLst/>
                            <a:cxnLst/>
                            <a:rect l="0" t="0" r="0" b="0"/>
                            <a:pathLst>
                              <a:path w="900684" h="109728">
                                <a:moveTo>
                                  <a:pt x="0" y="0"/>
                                </a:moveTo>
                                <a:lnTo>
                                  <a:pt x="900684" y="0"/>
                                </a:lnTo>
                                <a:lnTo>
                                  <a:pt x="900684" y="109728"/>
                                </a:lnTo>
                                <a:lnTo>
                                  <a:pt x="0" y="109728"/>
                                </a:lnTo>
                                <a:lnTo>
                                  <a:pt x="0" y="0"/>
                                </a:lnTo>
                              </a:path>
                            </a:pathLst>
                          </a:custGeom>
                          <a:solidFill>
                            <a:srgbClr val="4F81BD"/>
                          </a:solidFill>
                          <a:ln w="0" cap="flat">
                            <a:noFill/>
                            <a:round/>
                          </a:ln>
                          <a:effectLst/>
                        </wps:spPr>
                        <wps:bodyPr/>
                      </wps:wsp>
                      <wps:wsp>
                        <wps:cNvPr id="33367" name="Shape 33367"/>
                        <wps:cNvSpPr/>
                        <wps:spPr>
                          <a:xfrm>
                            <a:off x="611124" y="2830449"/>
                            <a:ext cx="961644" cy="109728"/>
                          </a:xfrm>
                          <a:custGeom>
                            <a:avLst/>
                            <a:gdLst/>
                            <a:ahLst/>
                            <a:cxnLst/>
                            <a:rect l="0" t="0" r="0" b="0"/>
                            <a:pathLst>
                              <a:path w="961644" h="109728">
                                <a:moveTo>
                                  <a:pt x="0" y="0"/>
                                </a:moveTo>
                                <a:lnTo>
                                  <a:pt x="961644" y="0"/>
                                </a:lnTo>
                                <a:lnTo>
                                  <a:pt x="961644" y="109728"/>
                                </a:lnTo>
                                <a:lnTo>
                                  <a:pt x="0" y="109728"/>
                                </a:lnTo>
                                <a:lnTo>
                                  <a:pt x="0" y="0"/>
                                </a:lnTo>
                              </a:path>
                            </a:pathLst>
                          </a:custGeom>
                          <a:solidFill>
                            <a:srgbClr val="4F81BD"/>
                          </a:solidFill>
                          <a:ln w="0" cap="flat">
                            <a:noFill/>
                            <a:round/>
                          </a:ln>
                          <a:effectLst/>
                        </wps:spPr>
                        <wps:bodyPr/>
                      </wps:wsp>
                      <wps:wsp>
                        <wps:cNvPr id="33368" name="Shape 33368"/>
                        <wps:cNvSpPr/>
                        <wps:spPr>
                          <a:xfrm>
                            <a:off x="577596" y="2682621"/>
                            <a:ext cx="995172" cy="109728"/>
                          </a:xfrm>
                          <a:custGeom>
                            <a:avLst/>
                            <a:gdLst/>
                            <a:ahLst/>
                            <a:cxnLst/>
                            <a:rect l="0" t="0" r="0" b="0"/>
                            <a:pathLst>
                              <a:path w="995172" h="109728">
                                <a:moveTo>
                                  <a:pt x="0" y="0"/>
                                </a:moveTo>
                                <a:lnTo>
                                  <a:pt x="995172" y="0"/>
                                </a:lnTo>
                                <a:lnTo>
                                  <a:pt x="995172" y="109728"/>
                                </a:lnTo>
                                <a:lnTo>
                                  <a:pt x="0" y="109728"/>
                                </a:lnTo>
                                <a:lnTo>
                                  <a:pt x="0" y="0"/>
                                </a:lnTo>
                              </a:path>
                            </a:pathLst>
                          </a:custGeom>
                          <a:solidFill>
                            <a:srgbClr val="4F81BD"/>
                          </a:solidFill>
                          <a:ln w="0" cap="flat">
                            <a:noFill/>
                            <a:round/>
                          </a:ln>
                          <a:effectLst/>
                        </wps:spPr>
                        <wps:bodyPr/>
                      </wps:wsp>
                      <wps:wsp>
                        <wps:cNvPr id="33369" name="Shape 33369"/>
                        <wps:cNvSpPr/>
                        <wps:spPr>
                          <a:xfrm>
                            <a:off x="534924" y="2533269"/>
                            <a:ext cx="1037844" cy="111252"/>
                          </a:xfrm>
                          <a:custGeom>
                            <a:avLst/>
                            <a:gdLst/>
                            <a:ahLst/>
                            <a:cxnLst/>
                            <a:rect l="0" t="0" r="0" b="0"/>
                            <a:pathLst>
                              <a:path w="1037844" h="111252">
                                <a:moveTo>
                                  <a:pt x="0" y="0"/>
                                </a:moveTo>
                                <a:lnTo>
                                  <a:pt x="1037844" y="0"/>
                                </a:lnTo>
                                <a:lnTo>
                                  <a:pt x="1037844" y="111252"/>
                                </a:lnTo>
                                <a:lnTo>
                                  <a:pt x="0" y="111252"/>
                                </a:lnTo>
                                <a:lnTo>
                                  <a:pt x="0" y="0"/>
                                </a:lnTo>
                              </a:path>
                            </a:pathLst>
                          </a:custGeom>
                          <a:solidFill>
                            <a:srgbClr val="4F81BD"/>
                          </a:solidFill>
                          <a:ln w="0" cap="flat">
                            <a:noFill/>
                            <a:round/>
                          </a:ln>
                          <a:effectLst/>
                        </wps:spPr>
                        <wps:bodyPr/>
                      </wps:wsp>
                      <wps:wsp>
                        <wps:cNvPr id="33370" name="Shape 33370"/>
                        <wps:cNvSpPr/>
                        <wps:spPr>
                          <a:xfrm>
                            <a:off x="667512" y="2385441"/>
                            <a:ext cx="905256" cy="111252"/>
                          </a:xfrm>
                          <a:custGeom>
                            <a:avLst/>
                            <a:gdLst/>
                            <a:ahLst/>
                            <a:cxnLst/>
                            <a:rect l="0" t="0" r="0" b="0"/>
                            <a:pathLst>
                              <a:path w="905256" h="111252">
                                <a:moveTo>
                                  <a:pt x="0" y="0"/>
                                </a:moveTo>
                                <a:lnTo>
                                  <a:pt x="905256" y="0"/>
                                </a:lnTo>
                                <a:lnTo>
                                  <a:pt x="905256" y="111252"/>
                                </a:lnTo>
                                <a:lnTo>
                                  <a:pt x="0" y="111252"/>
                                </a:lnTo>
                                <a:lnTo>
                                  <a:pt x="0" y="0"/>
                                </a:lnTo>
                              </a:path>
                            </a:pathLst>
                          </a:custGeom>
                          <a:solidFill>
                            <a:srgbClr val="4F81BD"/>
                          </a:solidFill>
                          <a:ln w="0" cap="flat">
                            <a:noFill/>
                            <a:round/>
                          </a:ln>
                          <a:effectLst/>
                        </wps:spPr>
                        <wps:bodyPr/>
                      </wps:wsp>
                      <wps:wsp>
                        <wps:cNvPr id="33371" name="Shape 33371"/>
                        <wps:cNvSpPr/>
                        <wps:spPr>
                          <a:xfrm>
                            <a:off x="711708" y="2237613"/>
                            <a:ext cx="861060" cy="111252"/>
                          </a:xfrm>
                          <a:custGeom>
                            <a:avLst/>
                            <a:gdLst/>
                            <a:ahLst/>
                            <a:cxnLst/>
                            <a:rect l="0" t="0" r="0" b="0"/>
                            <a:pathLst>
                              <a:path w="861060" h="111252">
                                <a:moveTo>
                                  <a:pt x="0" y="0"/>
                                </a:moveTo>
                                <a:lnTo>
                                  <a:pt x="861060" y="0"/>
                                </a:lnTo>
                                <a:lnTo>
                                  <a:pt x="861060" y="111252"/>
                                </a:lnTo>
                                <a:lnTo>
                                  <a:pt x="0" y="111252"/>
                                </a:lnTo>
                                <a:lnTo>
                                  <a:pt x="0" y="0"/>
                                </a:lnTo>
                              </a:path>
                            </a:pathLst>
                          </a:custGeom>
                          <a:solidFill>
                            <a:srgbClr val="4F81BD"/>
                          </a:solidFill>
                          <a:ln w="0" cap="flat">
                            <a:noFill/>
                            <a:round/>
                          </a:ln>
                          <a:effectLst/>
                        </wps:spPr>
                        <wps:bodyPr/>
                      </wps:wsp>
                      <wps:wsp>
                        <wps:cNvPr id="33372" name="Shape 33372"/>
                        <wps:cNvSpPr/>
                        <wps:spPr>
                          <a:xfrm>
                            <a:off x="483108" y="2089785"/>
                            <a:ext cx="1089660" cy="111252"/>
                          </a:xfrm>
                          <a:custGeom>
                            <a:avLst/>
                            <a:gdLst/>
                            <a:ahLst/>
                            <a:cxnLst/>
                            <a:rect l="0" t="0" r="0" b="0"/>
                            <a:pathLst>
                              <a:path w="1089660" h="111252">
                                <a:moveTo>
                                  <a:pt x="0" y="0"/>
                                </a:moveTo>
                                <a:lnTo>
                                  <a:pt x="1089660" y="0"/>
                                </a:lnTo>
                                <a:lnTo>
                                  <a:pt x="1089660" y="111252"/>
                                </a:lnTo>
                                <a:lnTo>
                                  <a:pt x="0" y="111252"/>
                                </a:lnTo>
                                <a:lnTo>
                                  <a:pt x="0" y="0"/>
                                </a:lnTo>
                              </a:path>
                            </a:pathLst>
                          </a:custGeom>
                          <a:solidFill>
                            <a:srgbClr val="4F81BD"/>
                          </a:solidFill>
                          <a:ln w="0" cap="flat">
                            <a:noFill/>
                            <a:round/>
                          </a:ln>
                          <a:effectLst/>
                        </wps:spPr>
                        <wps:bodyPr/>
                      </wps:wsp>
                      <wps:wsp>
                        <wps:cNvPr id="33373" name="Shape 33373"/>
                        <wps:cNvSpPr/>
                        <wps:spPr>
                          <a:xfrm>
                            <a:off x="216408" y="1941957"/>
                            <a:ext cx="1356360" cy="111252"/>
                          </a:xfrm>
                          <a:custGeom>
                            <a:avLst/>
                            <a:gdLst/>
                            <a:ahLst/>
                            <a:cxnLst/>
                            <a:rect l="0" t="0" r="0" b="0"/>
                            <a:pathLst>
                              <a:path w="1356360" h="111252">
                                <a:moveTo>
                                  <a:pt x="0" y="0"/>
                                </a:moveTo>
                                <a:lnTo>
                                  <a:pt x="1356360" y="0"/>
                                </a:lnTo>
                                <a:lnTo>
                                  <a:pt x="1356360" y="111252"/>
                                </a:lnTo>
                                <a:lnTo>
                                  <a:pt x="0" y="111252"/>
                                </a:lnTo>
                                <a:lnTo>
                                  <a:pt x="0" y="0"/>
                                </a:lnTo>
                              </a:path>
                            </a:pathLst>
                          </a:custGeom>
                          <a:solidFill>
                            <a:srgbClr val="4F81BD"/>
                          </a:solidFill>
                          <a:ln w="0" cap="flat">
                            <a:noFill/>
                            <a:round/>
                          </a:ln>
                          <a:effectLst/>
                        </wps:spPr>
                        <wps:bodyPr/>
                      </wps:wsp>
                      <wps:wsp>
                        <wps:cNvPr id="33374" name="Shape 33374"/>
                        <wps:cNvSpPr/>
                        <wps:spPr>
                          <a:xfrm>
                            <a:off x="150876" y="1794129"/>
                            <a:ext cx="1421892" cy="109728"/>
                          </a:xfrm>
                          <a:custGeom>
                            <a:avLst/>
                            <a:gdLst/>
                            <a:ahLst/>
                            <a:cxnLst/>
                            <a:rect l="0" t="0" r="0" b="0"/>
                            <a:pathLst>
                              <a:path w="1421892" h="109728">
                                <a:moveTo>
                                  <a:pt x="0" y="0"/>
                                </a:moveTo>
                                <a:lnTo>
                                  <a:pt x="1421892" y="0"/>
                                </a:lnTo>
                                <a:lnTo>
                                  <a:pt x="1421892" y="109728"/>
                                </a:lnTo>
                                <a:lnTo>
                                  <a:pt x="0" y="109728"/>
                                </a:lnTo>
                                <a:lnTo>
                                  <a:pt x="0" y="0"/>
                                </a:lnTo>
                              </a:path>
                            </a:pathLst>
                          </a:custGeom>
                          <a:solidFill>
                            <a:srgbClr val="4F81BD"/>
                          </a:solidFill>
                          <a:ln w="0" cap="flat">
                            <a:noFill/>
                            <a:round/>
                          </a:ln>
                          <a:effectLst/>
                        </wps:spPr>
                        <wps:bodyPr/>
                      </wps:wsp>
                      <wps:wsp>
                        <wps:cNvPr id="33375" name="Shape 33375"/>
                        <wps:cNvSpPr/>
                        <wps:spPr>
                          <a:xfrm>
                            <a:off x="0" y="1646301"/>
                            <a:ext cx="1572768" cy="109728"/>
                          </a:xfrm>
                          <a:custGeom>
                            <a:avLst/>
                            <a:gdLst/>
                            <a:ahLst/>
                            <a:cxnLst/>
                            <a:rect l="0" t="0" r="0" b="0"/>
                            <a:pathLst>
                              <a:path w="1572768" h="109728">
                                <a:moveTo>
                                  <a:pt x="0" y="0"/>
                                </a:moveTo>
                                <a:lnTo>
                                  <a:pt x="1572768" y="0"/>
                                </a:lnTo>
                                <a:lnTo>
                                  <a:pt x="1572768" y="109728"/>
                                </a:lnTo>
                                <a:lnTo>
                                  <a:pt x="0" y="109728"/>
                                </a:lnTo>
                                <a:lnTo>
                                  <a:pt x="0" y="0"/>
                                </a:lnTo>
                              </a:path>
                            </a:pathLst>
                          </a:custGeom>
                          <a:solidFill>
                            <a:srgbClr val="4F81BD"/>
                          </a:solidFill>
                          <a:ln w="0" cap="flat">
                            <a:noFill/>
                            <a:round/>
                          </a:ln>
                          <a:effectLst/>
                        </wps:spPr>
                        <wps:bodyPr/>
                      </wps:wsp>
                      <wps:wsp>
                        <wps:cNvPr id="33376" name="Shape 33376"/>
                        <wps:cNvSpPr/>
                        <wps:spPr>
                          <a:xfrm>
                            <a:off x="35052" y="1498473"/>
                            <a:ext cx="1537716" cy="109728"/>
                          </a:xfrm>
                          <a:custGeom>
                            <a:avLst/>
                            <a:gdLst/>
                            <a:ahLst/>
                            <a:cxnLst/>
                            <a:rect l="0" t="0" r="0" b="0"/>
                            <a:pathLst>
                              <a:path w="1537716" h="109728">
                                <a:moveTo>
                                  <a:pt x="0" y="0"/>
                                </a:moveTo>
                                <a:lnTo>
                                  <a:pt x="1537716" y="0"/>
                                </a:lnTo>
                                <a:lnTo>
                                  <a:pt x="1537716" y="109728"/>
                                </a:lnTo>
                                <a:lnTo>
                                  <a:pt x="0" y="109728"/>
                                </a:lnTo>
                                <a:lnTo>
                                  <a:pt x="0" y="0"/>
                                </a:lnTo>
                              </a:path>
                            </a:pathLst>
                          </a:custGeom>
                          <a:solidFill>
                            <a:srgbClr val="4F81BD"/>
                          </a:solidFill>
                          <a:ln w="0" cap="flat">
                            <a:noFill/>
                            <a:round/>
                          </a:ln>
                          <a:effectLst/>
                        </wps:spPr>
                        <wps:bodyPr/>
                      </wps:wsp>
                      <wps:wsp>
                        <wps:cNvPr id="33377" name="Shape 33377"/>
                        <wps:cNvSpPr/>
                        <wps:spPr>
                          <a:xfrm>
                            <a:off x="184404" y="1350645"/>
                            <a:ext cx="1388364" cy="109728"/>
                          </a:xfrm>
                          <a:custGeom>
                            <a:avLst/>
                            <a:gdLst/>
                            <a:ahLst/>
                            <a:cxnLst/>
                            <a:rect l="0" t="0" r="0" b="0"/>
                            <a:pathLst>
                              <a:path w="1388364" h="109728">
                                <a:moveTo>
                                  <a:pt x="0" y="0"/>
                                </a:moveTo>
                                <a:lnTo>
                                  <a:pt x="1388364" y="0"/>
                                </a:lnTo>
                                <a:lnTo>
                                  <a:pt x="1388364" y="109728"/>
                                </a:lnTo>
                                <a:lnTo>
                                  <a:pt x="0" y="109728"/>
                                </a:lnTo>
                                <a:lnTo>
                                  <a:pt x="0" y="0"/>
                                </a:lnTo>
                              </a:path>
                            </a:pathLst>
                          </a:custGeom>
                          <a:solidFill>
                            <a:srgbClr val="4F81BD"/>
                          </a:solidFill>
                          <a:ln w="0" cap="flat">
                            <a:noFill/>
                            <a:round/>
                          </a:ln>
                          <a:effectLst/>
                        </wps:spPr>
                        <wps:bodyPr/>
                      </wps:wsp>
                      <wps:wsp>
                        <wps:cNvPr id="33378" name="Shape 33378"/>
                        <wps:cNvSpPr/>
                        <wps:spPr>
                          <a:xfrm>
                            <a:off x="252984" y="1202817"/>
                            <a:ext cx="1319784" cy="109728"/>
                          </a:xfrm>
                          <a:custGeom>
                            <a:avLst/>
                            <a:gdLst/>
                            <a:ahLst/>
                            <a:cxnLst/>
                            <a:rect l="0" t="0" r="0" b="0"/>
                            <a:pathLst>
                              <a:path w="1319784" h="109728">
                                <a:moveTo>
                                  <a:pt x="0" y="0"/>
                                </a:moveTo>
                                <a:lnTo>
                                  <a:pt x="1319784" y="0"/>
                                </a:lnTo>
                                <a:lnTo>
                                  <a:pt x="1319784" y="109728"/>
                                </a:lnTo>
                                <a:lnTo>
                                  <a:pt x="0" y="109728"/>
                                </a:lnTo>
                                <a:lnTo>
                                  <a:pt x="0" y="0"/>
                                </a:lnTo>
                              </a:path>
                            </a:pathLst>
                          </a:custGeom>
                          <a:solidFill>
                            <a:srgbClr val="4F81BD"/>
                          </a:solidFill>
                          <a:ln w="0" cap="flat">
                            <a:noFill/>
                            <a:round/>
                          </a:ln>
                          <a:effectLst/>
                        </wps:spPr>
                        <wps:bodyPr/>
                      </wps:wsp>
                      <wps:wsp>
                        <wps:cNvPr id="33379" name="Shape 33379"/>
                        <wps:cNvSpPr/>
                        <wps:spPr>
                          <a:xfrm>
                            <a:off x="352044" y="1054989"/>
                            <a:ext cx="1220724" cy="109728"/>
                          </a:xfrm>
                          <a:custGeom>
                            <a:avLst/>
                            <a:gdLst/>
                            <a:ahLst/>
                            <a:cxnLst/>
                            <a:rect l="0" t="0" r="0" b="0"/>
                            <a:pathLst>
                              <a:path w="1220724" h="109728">
                                <a:moveTo>
                                  <a:pt x="0" y="0"/>
                                </a:moveTo>
                                <a:lnTo>
                                  <a:pt x="1220724" y="0"/>
                                </a:lnTo>
                                <a:lnTo>
                                  <a:pt x="1220724" y="109728"/>
                                </a:lnTo>
                                <a:lnTo>
                                  <a:pt x="0" y="109728"/>
                                </a:lnTo>
                                <a:lnTo>
                                  <a:pt x="0" y="0"/>
                                </a:lnTo>
                              </a:path>
                            </a:pathLst>
                          </a:custGeom>
                          <a:solidFill>
                            <a:srgbClr val="4F81BD"/>
                          </a:solidFill>
                          <a:ln w="0" cap="flat">
                            <a:noFill/>
                            <a:round/>
                          </a:ln>
                          <a:effectLst/>
                        </wps:spPr>
                        <wps:bodyPr/>
                      </wps:wsp>
                      <wps:wsp>
                        <wps:cNvPr id="33380" name="Shape 33380"/>
                        <wps:cNvSpPr/>
                        <wps:spPr>
                          <a:xfrm>
                            <a:off x="518160" y="907161"/>
                            <a:ext cx="1054608" cy="109728"/>
                          </a:xfrm>
                          <a:custGeom>
                            <a:avLst/>
                            <a:gdLst/>
                            <a:ahLst/>
                            <a:cxnLst/>
                            <a:rect l="0" t="0" r="0" b="0"/>
                            <a:pathLst>
                              <a:path w="1054608" h="109728">
                                <a:moveTo>
                                  <a:pt x="0" y="0"/>
                                </a:moveTo>
                                <a:lnTo>
                                  <a:pt x="1054608" y="0"/>
                                </a:lnTo>
                                <a:lnTo>
                                  <a:pt x="1054608" y="109728"/>
                                </a:lnTo>
                                <a:lnTo>
                                  <a:pt x="0" y="109728"/>
                                </a:lnTo>
                                <a:lnTo>
                                  <a:pt x="0" y="0"/>
                                </a:lnTo>
                              </a:path>
                            </a:pathLst>
                          </a:custGeom>
                          <a:solidFill>
                            <a:srgbClr val="4F81BD"/>
                          </a:solidFill>
                          <a:ln w="0" cap="flat">
                            <a:noFill/>
                            <a:round/>
                          </a:ln>
                          <a:effectLst/>
                        </wps:spPr>
                        <wps:bodyPr/>
                      </wps:wsp>
                      <wps:wsp>
                        <wps:cNvPr id="33381" name="Shape 33381"/>
                        <wps:cNvSpPr/>
                        <wps:spPr>
                          <a:xfrm>
                            <a:off x="783336" y="757809"/>
                            <a:ext cx="789432" cy="111252"/>
                          </a:xfrm>
                          <a:custGeom>
                            <a:avLst/>
                            <a:gdLst/>
                            <a:ahLst/>
                            <a:cxnLst/>
                            <a:rect l="0" t="0" r="0" b="0"/>
                            <a:pathLst>
                              <a:path w="789432" h="111252">
                                <a:moveTo>
                                  <a:pt x="0" y="0"/>
                                </a:moveTo>
                                <a:lnTo>
                                  <a:pt x="789432" y="0"/>
                                </a:lnTo>
                                <a:lnTo>
                                  <a:pt x="789432" y="111252"/>
                                </a:lnTo>
                                <a:lnTo>
                                  <a:pt x="0" y="111252"/>
                                </a:lnTo>
                                <a:lnTo>
                                  <a:pt x="0" y="0"/>
                                </a:lnTo>
                              </a:path>
                            </a:pathLst>
                          </a:custGeom>
                          <a:solidFill>
                            <a:srgbClr val="4F81BD"/>
                          </a:solidFill>
                          <a:ln w="0" cap="flat">
                            <a:noFill/>
                            <a:round/>
                          </a:ln>
                          <a:effectLst/>
                        </wps:spPr>
                        <wps:bodyPr/>
                      </wps:wsp>
                      <wps:wsp>
                        <wps:cNvPr id="33382" name="Shape 33382"/>
                        <wps:cNvSpPr/>
                        <wps:spPr>
                          <a:xfrm>
                            <a:off x="1155192" y="609981"/>
                            <a:ext cx="417576" cy="111252"/>
                          </a:xfrm>
                          <a:custGeom>
                            <a:avLst/>
                            <a:gdLst/>
                            <a:ahLst/>
                            <a:cxnLst/>
                            <a:rect l="0" t="0" r="0" b="0"/>
                            <a:pathLst>
                              <a:path w="417576" h="111252">
                                <a:moveTo>
                                  <a:pt x="0" y="0"/>
                                </a:moveTo>
                                <a:lnTo>
                                  <a:pt x="417576" y="0"/>
                                </a:lnTo>
                                <a:lnTo>
                                  <a:pt x="417576" y="111252"/>
                                </a:lnTo>
                                <a:lnTo>
                                  <a:pt x="0" y="111252"/>
                                </a:lnTo>
                                <a:lnTo>
                                  <a:pt x="0" y="0"/>
                                </a:lnTo>
                              </a:path>
                            </a:pathLst>
                          </a:custGeom>
                          <a:solidFill>
                            <a:srgbClr val="4F81BD"/>
                          </a:solidFill>
                          <a:ln w="0" cap="flat">
                            <a:noFill/>
                            <a:round/>
                          </a:ln>
                          <a:effectLst/>
                        </wps:spPr>
                        <wps:bodyPr/>
                      </wps:wsp>
                      <wps:wsp>
                        <wps:cNvPr id="33383" name="Shape 33383"/>
                        <wps:cNvSpPr/>
                        <wps:spPr>
                          <a:xfrm>
                            <a:off x="1376172" y="462153"/>
                            <a:ext cx="196596" cy="111252"/>
                          </a:xfrm>
                          <a:custGeom>
                            <a:avLst/>
                            <a:gdLst/>
                            <a:ahLst/>
                            <a:cxnLst/>
                            <a:rect l="0" t="0" r="0" b="0"/>
                            <a:pathLst>
                              <a:path w="196596" h="111252">
                                <a:moveTo>
                                  <a:pt x="0" y="0"/>
                                </a:moveTo>
                                <a:lnTo>
                                  <a:pt x="196596" y="0"/>
                                </a:lnTo>
                                <a:lnTo>
                                  <a:pt x="196596" y="111252"/>
                                </a:lnTo>
                                <a:lnTo>
                                  <a:pt x="0" y="111252"/>
                                </a:lnTo>
                                <a:lnTo>
                                  <a:pt x="0" y="0"/>
                                </a:lnTo>
                              </a:path>
                            </a:pathLst>
                          </a:custGeom>
                          <a:solidFill>
                            <a:srgbClr val="4F81BD"/>
                          </a:solidFill>
                          <a:ln w="0" cap="flat">
                            <a:noFill/>
                            <a:round/>
                          </a:ln>
                          <a:effectLst/>
                        </wps:spPr>
                        <wps:bodyPr/>
                      </wps:wsp>
                      <wps:wsp>
                        <wps:cNvPr id="33384" name="Shape 33384"/>
                        <wps:cNvSpPr/>
                        <wps:spPr>
                          <a:xfrm>
                            <a:off x="1507236" y="314325"/>
                            <a:ext cx="65532" cy="111252"/>
                          </a:xfrm>
                          <a:custGeom>
                            <a:avLst/>
                            <a:gdLst/>
                            <a:ahLst/>
                            <a:cxnLst/>
                            <a:rect l="0" t="0" r="0" b="0"/>
                            <a:pathLst>
                              <a:path w="65532" h="111252">
                                <a:moveTo>
                                  <a:pt x="0" y="0"/>
                                </a:moveTo>
                                <a:lnTo>
                                  <a:pt x="65532" y="0"/>
                                </a:lnTo>
                                <a:lnTo>
                                  <a:pt x="65532" y="111252"/>
                                </a:lnTo>
                                <a:lnTo>
                                  <a:pt x="0" y="111252"/>
                                </a:lnTo>
                                <a:lnTo>
                                  <a:pt x="0" y="0"/>
                                </a:lnTo>
                              </a:path>
                            </a:pathLst>
                          </a:custGeom>
                          <a:solidFill>
                            <a:srgbClr val="4F81BD"/>
                          </a:solidFill>
                          <a:ln w="0" cap="flat">
                            <a:noFill/>
                            <a:round/>
                          </a:ln>
                          <a:effectLst/>
                        </wps:spPr>
                        <wps:bodyPr/>
                      </wps:wsp>
                      <wps:wsp>
                        <wps:cNvPr id="33385" name="Shape 33385"/>
                        <wps:cNvSpPr/>
                        <wps:spPr>
                          <a:xfrm>
                            <a:off x="1563624" y="166497"/>
                            <a:ext cx="9144" cy="111252"/>
                          </a:xfrm>
                          <a:custGeom>
                            <a:avLst/>
                            <a:gdLst/>
                            <a:ahLst/>
                            <a:cxnLst/>
                            <a:rect l="0" t="0" r="0" b="0"/>
                            <a:pathLst>
                              <a:path w="9144" h="111252">
                                <a:moveTo>
                                  <a:pt x="0" y="0"/>
                                </a:moveTo>
                                <a:lnTo>
                                  <a:pt x="9144" y="0"/>
                                </a:lnTo>
                                <a:lnTo>
                                  <a:pt x="9144" y="111252"/>
                                </a:lnTo>
                                <a:lnTo>
                                  <a:pt x="0" y="111252"/>
                                </a:lnTo>
                                <a:lnTo>
                                  <a:pt x="0" y="0"/>
                                </a:lnTo>
                              </a:path>
                            </a:pathLst>
                          </a:custGeom>
                          <a:solidFill>
                            <a:srgbClr val="4F81BD"/>
                          </a:solidFill>
                          <a:ln w="0" cap="flat">
                            <a:noFill/>
                            <a:round/>
                          </a:ln>
                          <a:effectLst/>
                        </wps:spPr>
                        <wps:bodyPr/>
                      </wps:wsp>
                      <wps:wsp>
                        <wps:cNvPr id="33386" name="Shape 33386"/>
                        <wps:cNvSpPr/>
                        <wps:spPr>
                          <a:xfrm>
                            <a:off x="1571625" y="18669"/>
                            <a:ext cx="9144" cy="109728"/>
                          </a:xfrm>
                          <a:custGeom>
                            <a:avLst/>
                            <a:gdLst/>
                            <a:ahLst/>
                            <a:cxnLst/>
                            <a:rect l="0" t="0" r="0" b="0"/>
                            <a:pathLst>
                              <a:path w="9144" h="109728">
                                <a:moveTo>
                                  <a:pt x="0" y="0"/>
                                </a:moveTo>
                                <a:lnTo>
                                  <a:pt x="9144" y="0"/>
                                </a:lnTo>
                                <a:lnTo>
                                  <a:pt x="9144" y="109728"/>
                                </a:lnTo>
                                <a:lnTo>
                                  <a:pt x="0" y="109728"/>
                                </a:lnTo>
                                <a:lnTo>
                                  <a:pt x="0" y="0"/>
                                </a:lnTo>
                              </a:path>
                            </a:pathLst>
                          </a:custGeom>
                          <a:solidFill>
                            <a:srgbClr val="4F81BD"/>
                          </a:solidFill>
                          <a:ln w="0" cap="flat">
                            <a:noFill/>
                            <a:round/>
                          </a:ln>
                          <a:effectLst/>
                        </wps:spPr>
                        <wps:bodyPr/>
                      </wps:wsp>
                      <wps:wsp>
                        <wps:cNvPr id="155" name="Shape 155"/>
                        <wps:cNvSpPr/>
                        <wps:spPr>
                          <a:xfrm>
                            <a:off x="1573149" y="0"/>
                            <a:ext cx="0" cy="3107055"/>
                          </a:xfrm>
                          <a:custGeom>
                            <a:avLst/>
                            <a:gdLst/>
                            <a:ahLst/>
                            <a:cxnLst/>
                            <a:rect l="0" t="0" r="0" b="0"/>
                            <a:pathLst>
                              <a:path h="3107055">
                                <a:moveTo>
                                  <a:pt x="0" y="3107055"/>
                                </a:moveTo>
                                <a:lnTo>
                                  <a:pt x="0" y="0"/>
                                </a:lnTo>
                              </a:path>
                            </a:pathLst>
                          </a:custGeom>
                          <a:noFill/>
                          <a:ln w="9525" cap="flat" cmpd="sng" algn="ctr">
                            <a:solidFill>
                              <a:srgbClr val="D9D9D9"/>
                            </a:solidFill>
                            <a:prstDash val="solid"/>
                            <a:round/>
                          </a:ln>
                          <a:effectLst/>
                        </wps:spPr>
                        <wps:bodyPr/>
                      </wps:wsp>
                      <wps:wsp>
                        <wps:cNvPr id="160" name="Rectangle 160"/>
                        <wps:cNvSpPr/>
                        <wps:spPr>
                          <a:xfrm>
                            <a:off x="1669669" y="2990751"/>
                            <a:ext cx="424386" cy="132356"/>
                          </a:xfrm>
                          <a:prstGeom prst="rect">
                            <a:avLst/>
                          </a:prstGeom>
                          <a:ln>
                            <a:noFill/>
                          </a:ln>
                        </wps:spPr>
                        <wps:txbx>
                          <w:txbxContent>
                            <w:p w14:paraId="33E6C036" w14:textId="77777777" w:rsidR="00B302CF" w:rsidRDefault="00B302CF" w:rsidP="00921173">
                              <w:r>
                                <w:rPr>
                                  <w:sz w:val="16"/>
                                </w:rPr>
                                <w:t xml:space="preserve">  0 - 4</w:t>
                              </w:r>
                            </w:p>
                          </w:txbxContent>
                        </wps:txbx>
                        <wps:bodyPr horzOverflow="overflow" vert="horz" lIns="0" tIns="0" rIns="0" bIns="0" rtlCol="0">
                          <a:noAutofit/>
                        </wps:bodyPr>
                      </wps:wsp>
                      <wps:wsp>
                        <wps:cNvPr id="161" name="Rectangle 161"/>
                        <wps:cNvSpPr/>
                        <wps:spPr>
                          <a:xfrm>
                            <a:off x="1669669" y="2842923"/>
                            <a:ext cx="424386" cy="132356"/>
                          </a:xfrm>
                          <a:prstGeom prst="rect">
                            <a:avLst/>
                          </a:prstGeom>
                          <a:ln>
                            <a:noFill/>
                          </a:ln>
                        </wps:spPr>
                        <wps:txbx>
                          <w:txbxContent>
                            <w:p w14:paraId="66B50678" w14:textId="77777777" w:rsidR="00B302CF" w:rsidRDefault="00B302CF" w:rsidP="00921173">
                              <w:r>
                                <w:rPr>
                                  <w:sz w:val="16"/>
                                </w:rPr>
                                <w:t xml:space="preserve">  5 - 9</w:t>
                              </w:r>
                            </w:p>
                          </w:txbxContent>
                        </wps:txbx>
                        <wps:bodyPr horzOverflow="overflow" vert="horz" lIns="0" tIns="0" rIns="0" bIns="0" rtlCol="0">
                          <a:noAutofit/>
                        </wps:bodyPr>
                      </wps:wsp>
                      <wps:wsp>
                        <wps:cNvPr id="25066" name="Rectangle 25066"/>
                        <wps:cNvSpPr/>
                        <wps:spPr>
                          <a:xfrm>
                            <a:off x="1799142" y="2694715"/>
                            <a:ext cx="157125" cy="132355"/>
                          </a:xfrm>
                          <a:prstGeom prst="rect">
                            <a:avLst/>
                          </a:prstGeom>
                          <a:ln>
                            <a:noFill/>
                          </a:ln>
                        </wps:spPr>
                        <wps:txbx>
                          <w:txbxContent>
                            <w:p w14:paraId="522749D1" w14:textId="77777777" w:rsidR="00B302CF" w:rsidRDefault="00B302CF" w:rsidP="00921173">
                              <w:r>
                                <w:rPr>
                                  <w:sz w:val="16"/>
                                </w:rPr>
                                <w:t xml:space="preserve"> - </w:t>
                              </w:r>
                            </w:p>
                          </w:txbxContent>
                        </wps:txbx>
                        <wps:bodyPr horzOverflow="overflow" vert="horz" lIns="0" tIns="0" rIns="0" bIns="0" rtlCol="0">
                          <a:noAutofit/>
                        </wps:bodyPr>
                      </wps:wsp>
                      <wps:wsp>
                        <wps:cNvPr id="25064" name="Rectangle 25064"/>
                        <wps:cNvSpPr/>
                        <wps:spPr>
                          <a:xfrm>
                            <a:off x="1669669" y="2694715"/>
                            <a:ext cx="171520" cy="132355"/>
                          </a:xfrm>
                          <a:prstGeom prst="rect">
                            <a:avLst/>
                          </a:prstGeom>
                          <a:ln>
                            <a:noFill/>
                          </a:ln>
                        </wps:spPr>
                        <wps:txbx>
                          <w:txbxContent>
                            <w:p w14:paraId="0074EAF7" w14:textId="77777777" w:rsidR="00B302CF" w:rsidRDefault="00B302CF" w:rsidP="00921173">
                              <w:r>
                                <w:rPr>
                                  <w:sz w:val="16"/>
                                </w:rPr>
                                <w:t>10</w:t>
                              </w:r>
                            </w:p>
                          </w:txbxContent>
                        </wps:txbx>
                        <wps:bodyPr horzOverflow="overflow" vert="horz" lIns="0" tIns="0" rIns="0" bIns="0" rtlCol="0">
                          <a:noAutofit/>
                        </wps:bodyPr>
                      </wps:wsp>
                      <wps:wsp>
                        <wps:cNvPr id="25065" name="Rectangle 25065"/>
                        <wps:cNvSpPr/>
                        <wps:spPr>
                          <a:xfrm>
                            <a:off x="1916362" y="2694715"/>
                            <a:ext cx="171520" cy="132355"/>
                          </a:xfrm>
                          <a:prstGeom prst="rect">
                            <a:avLst/>
                          </a:prstGeom>
                          <a:ln>
                            <a:noFill/>
                          </a:ln>
                        </wps:spPr>
                        <wps:txbx>
                          <w:txbxContent>
                            <w:p w14:paraId="21F85F9E" w14:textId="77777777" w:rsidR="00B302CF" w:rsidRDefault="00B302CF" w:rsidP="00921173">
                              <w:r>
                                <w:rPr>
                                  <w:sz w:val="16"/>
                                </w:rPr>
                                <w:t>14</w:t>
                              </w:r>
                            </w:p>
                          </w:txbxContent>
                        </wps:txbx>
                        <wps:bodyPr horzOverflow="overflow" vert="horz" lIns="0" tIns="0" rIns="0" bIns="0" rtlCol="0">
                          <a:noAutofit/>
                        </wps:bodyPr>
                      </wps:wsp>
                      <wps:wsp>
                        <wps:cNvPr id="25062" name="Rectangle 25062"/>
                        <wps:cNvSpPr/>
                        <wps:spPr>
                          <a:xfrm>
                            <a:off x="1916362" y="2546887"/>
                            <a:ext cx="171520" cy="132355"/>
                          </a:xfrm>
                          <a:prstGeom prst="rect">
                            <a:avLst/>
                          </a:prstGeom>
                          <a:ln>
                            <a:noFill/>
                          </a:ln>
                        </wps:spPr>
                        <wps:txbx>
                          <w:txbxContent>
                            <w:p w14:paraId="495363E7" w14:textId="77777777" w:rsidR="00B302CF" w:rsidRDefault="00B302CF" w:rsidP="00921173">
                              <w:r>
                                <w:rPr>
                                  <w:sz w:val="16"/>
                                </w:rPr>
                                <w:t>19</w:t>
                              </w:r>
                            </w:p>
                          </w:txbxContent>
                        </wps:txbx>
                        <wps:bodyPr horzOverflow="overflow" vert="horz" lIns="0" tIns="0" rIns="0" bIns="0" rtlCol="0">
                          <a:noAutofit/>
                        </wps:bodyPr>
                      </wps:wsp>
                      <wps:wsp>
                        <wps:cNvPr id="25063" name="Rectangle 25063"/>
                        <wps:cNvSpPr/>
                        <wps:spPr>
                          <a:xfrm>
                            <a:off x="1799142" y="2546887"/>
                            <a:ext cx="157125" cy="132355"/>
                          </a:xfrm>
                          <a:prstGeom prst="rect">
                            <a:avLst/>
                          </a:prstGeom>
                          <a:ln>
                            <a:noFill/>
                          </a:ln>
                        </wps:spPr>
                        <wps:txbx>
                          <w:txbxContent>
                            <w:p w14:paraId="08D820AD" w14:textId="77777777" w:rsidR="00B302CF" w:rsidRDefault="00B302CF" w:rsidP="00921173">
                              <w:r>
                                <w:rPr>
                                  <w:sz w:val="16"/>
                                </w:rPr>
                                <w:t xml:space="preserve"> - </w:t>
                              </w:r>
                            </w:p>
                          </w:txbxContent>
                        </wps:txbx>
                        <wps:bodyPr horzOverflow="overflow" vert="horz" lIns="0" tIns="0" rIns="0" bIns="0" rtlCol="0">
                          <a:noAutofit/>
                        </wps:bodyPr>
                      </wps:wsp>
                      <wps:wsp>
                        <wps:cNvPr id="25061" name="Rectangle 25061"/>
                        <wps:cNvSpPr/>
                        <wps:spPr>
                          <a:xfrm>
                            <a:off x="1669669" y="2546887"/>
                            <a:ext cx="171520" cy="132355"/>
                          </a:xfrm>
                          <a:prstGeom prst="rect">
                            <a:avLst/>
                          </a:prstGeom>
                          <a:ln>
                            <a:noFill/>
                          </a:ln>
                        </wps:spPr>
                        <wps:txbx>
                          <w:txbxContent>
                            <w:p w14:paraId="1432AD56" w14:textId="77777777" w:rsidR="00B302CF" w:rsidRDefault="00B302CF" w:rsidP="00921173">
                              <w:r>
                                <w:rPr>
                                  <w:sz w:val="16"/>
                                </w:rPr>
                                <w:t>15</w:t>
                              </w:r>
                            </w:p>
                          </w:txbxContent>
                        </wps:txbx>
                        <wps:bodyPr horzOverflow="overflow" vert="horz" lIns="0" tIns="0" rIns="0" bIns="0" rtlCol="0">
                          <a:noAutofit/>
                        </wps:bodyPr>
                      </wps:wsp>
                      <wps:wsp>
                        <wps:cNvPr id="25059" name="Rectangle 25059"/>
                        <wps:cNvSpPr/>
                        <wps:spPr>
                          <a:xfrm>
                            <a:off x="1916362" y="2398804"/>
                            <a:ext cx="171520" cy="132356"/>
                          </a:xfrm>
                          <a:prstGeom prst="rect">
                            <a:avLst/>
                          </a:prstGeom>
                          <a:ln>
                            <a:noFill/>
                          </a:ln>
                        </wps:spPr>
                        <wps:txbx>
                          <w:txbxContent>
                            <w:p w14:paraId="1B62732D" w14:textId="77777777" w:rsidR="00B302CF" w:rsidRDefault="00B302CF" w:rsidP="00921173">
                              <w:r>
                                <w:rPr>
                                  <w:sz w:val="16"/>
                                </w:rPr>
                                <w:t>24</w:t>
                              </w:r>
                            </w:p>
                          </w:txbxContent>
                        </wps:txbx>
                        <wps:bodyPr horzOverflow="overflow" vert="horz" lIns="0" tIns="0" rIns="0" bIns="0" rtlCol="0">
                          <a:noAutofit/>
                        </wps:bodyPr>
                      </wps:wsp>
                      <wps:wsp>
                        <wps:cNvPr id="25060" name="Rectangle 25060"/>
                        <wps:cNvSpPr/>
                        <wps:spPr>
                          <a:xfrm>
                            <a:off x="1799142" y="2398804"/>
                            <a:ext cx="157125" cy="132356"/>
                          </a:xfrm>
                          <a:prstGeom prst="rect">
                            <a:avLst/>
                          </a:prstGeom>
                          <a:ln>
                            <a:noFill/>
                          </a:ln>
                        </wps:spPr>
                        <wps:txbx>
                          <w:txbxContent>
                            <w:p w14:paraId="54D6130A" w14:textId="77777777" w:rsidR="00B302CF" w:rsidRDefault="00B302CF" w:rsidP="00921173">
                              <w:r>
                                <w:rPr>
                                  <w:sz w:val="16"/>
                                </w:rPr>
                                <w:t xml:space="preserve"> - </w:t>
                              </w:r>
                            </w:p>
                          </w:txbxContent>
                        </wps:txbx>
                        <wps:bodyPr horzOverflow="overflow" vert="horz" lIns="0" tIns="0" rIns="0" bIns="0" rtlCol="0">
                          <a:noAutofit/>
                        </wps:bodyPr>
                      </wps:wsp>
                      <wps:wsp>
                        <wps:cNvPr id="25058" name="Rectangle 25058"/>
                        <wps:cNvSpPr/>
                        <wps:spPr>
                          <a:xfrm>
                            <a:off x="1669669" y="2398804"/>
                            <a:ext cx="171520" cy="132356"/>
                          </a:xfrm>
                          <a:prstGeom prst="rect">
                            <a:avLst/>
                          </a:prstGeom>
                          <a:ln>
                            <a:noFill/>
                          </a:ln>
                        </wps:spPr>
                        <wps:txbx>
                          <w:txbxContent>
                            <w:p w14:paraId="69DA4342" w14:textId="77777777" w:rsidR="00B302CF" w:rsidRDefault="00B302CF" w:rsidP="00921173">
                              <w:r>
                                <w:rPr>
                                  <w:sz w:val="16"/>
                                </w:rPr>
                                <w:t>20</w:t>
                              </w:r>
                            </w:p>
                          </w:txbxContent>
                        </wps:txbx>
                        <wps:bodyPr horzOverflow="overflow" vert="horz" lIns="0" tIns="0" rIns="0" bIns="0" rtlCol="0">
                          <a:noAutofit/>
                        </wps:bodyPr>
                      </wps:wsp>
                      <wps:wsp>
                        <wps:cNvPr id="25056" name="Rectangle 25056"/>
                        <wps:cNvSpPr/>
                        <wps:spPr>
                          <a:xfrm>
                            <a:off x="1916362" y="2250976"/>
                            <a:ext cx="171520" cy="132355"/>
                          </a:xfrm>
                          <a:prstGeom prst="rect">
                            <a:avLst/>
                          </a:prstGeom>
                          <a:ln>
                            <a:noFill/>
                          </a:ln>
                        </wps:spPr>
                        <wps:txbx>
                          <w:txbxContent>
                            <w:p w14:paraId="13FE31CD" w14:textId="77777777" w:rsidR="00B302CF" w:rsidRDefault="00B302CF" w:rsidP="00921173">
                              <w:r>
                                <w:rPr>
                                  <w:sz w:val="16"/>
                                </w:rPr>
                                <w:t>29</w:t>
                              </w:r>
                            </w:p>
                          </w:txbxContent>
                        </wps:txbx>
                        <wps:bodyPr horzOverflow="overflow" vert="horz" lIns="0" tIns="0" rIns="0" bIns="0" rtlCol="0">
                          <a:noAutofit/>
                        </wps:bodyPr>
                      </wps:wsp>
                      <wps:wsp>
                        <wps:cNvPr id="25057" name="Rectangle 25057"/>
                        <wps:cNvSpPr/>
                        <wps:spPr>
                          <a:xfrm>
                            <a:off x="1799142" y="2250976"/>
                            <a:ext cx="157125" cy="132355"/>
                          </a:xfrm>
                          <a:prstGeom prst="rect">
                            <a:avLst/>
                          </a:prstGeom>
                          <a:ln>
                            <a:noFill/>
                          </a:ln>
                        </wps:spPr>
                        <wps:txbx>
                          <w:txbxContent>
                            <w:p w14:paraId="595AFFC6" w14:textId="77777777" w:rsidR="00B302CF" w:rsidRDefault="00B302CF" w:rsidP="00921173">
                              <w:r>
                                <w:rPr>
                                  <w:sz w:val="16"/>
                                </w:rPr>
                                <w:t xml:space="preserve"> - </w:t>
                              </w:r>
                            </w:p>
                          </w:txbxContent>
                        </wps:txbx>
                        <wps:bodyPr horzOverflow="overflow" vert="horz" lIns="0" tIns="0" rIns="0" bIns="0" rtlCol="0">
                          <a:noAutofit/>
                        </wps:bodyPr>
                      </wps:wsp>
                      <wps:wsp>
                        <wps:cNvPr id="25055" name="Rectangle 25055"/>
                        <wps:cNvSpPr/>
                        <wps:spPr>
                          <a:xfrm>
                            <a:off x="1669669" y="2250976"/>
                            <a:ext cx="171520" cy="132355"/>
                          </a:xfrm>
                          <a:prstGeom prst="rect">
                            <a:avLst/>
                          </a:prstGeom>
                          <a:ln>
                            <a:noFill/>
                          </a:ln>
                        </wps:spPr>
                        <wps:txbx>
                          <w:txbxContent>
                            <w:p w14:paraId="62630FFA" w14:textId="77777777" w:rsidR="00B302CF" w:rsidRDefault="00B302CF" w:rsidP="00921173">
                              <w:r>
                                <w:rPr>
                                  <w:sz w:val="16"/>
                                </w:rPr>
                                <w:t>25</w:t>
                              </w:r>
                            </w:p>
                          </w:txbxContent>
                        </wps:txbx>
                        <wps:bodyPr horzOverflow="overflow" vert="horz" lIns="0" tIns="0" rIns="0" bIns="0" rtlCol="0">
                          <a:noAutofit/>
                        </wps:bodyPr>
                      </wps:wsp>
                      <wps:wsp>
                        <wps:cNvPr id="25053" name="Rectangle 25053"/>
                        <wps:cNvSpPr/>
                        <wps:spPr>
                          <a:xfrm>
                            <a:off x="1916362" y="2102895"/>
                            <a:ext cx="171520" cy="132355"/>
                          </a:xfrm>
                          <a:prstGeom prst="rect">
                            <a:avLst/>
                          </a:prstGeom>
                          <a:ln>
                            <a:noFill/>
                          </a:ln>
                        </wps:spPr>
                        <wps:txbx>
                          <w:txbxContent>
                            <w:p w14:paraId="08F2E761" w14:textId="77777777" w:rsidR="00B302CF" w:rsidRDefault="00B302CF" w:rsidP="00921173">
                              <w:r>
                                <w:rPr>
                                  <w:sz w:val="16"/>
                                </w:rPr>
                                <w:t>34</w:t>
                              </w:r>
                            </w:p>
                          </w:txbxContent>
                        </wps:txbx>
                        <wps:bodyPr horzOverflow="overflow" vert="horz" lIns="0" tIns="0" rIns="0" bIns="0" rtlCol="0">
                          <a:noAutofit/>
                        </wps:bodyPr>
                      </wps:wsp>
                      <wps:wsp>
                        <wps:cNvPr id="25054" name="Rectangle 25054"/>
                        <wps:cNvSpPr/>
                        <wps:spPr>
                          <a:xfrm>
                            <a:off x="1799142" y="2102895"/>
                            <a:ext cx="157125" cy="132355"/>
                          </a:xfrm>
                          <a:prstGeom prst="rect">
                            <a:avLst/>
                          </a:prstGeom>
                          <a:ln>
                            <a:noFill/>
                          </a:ln>
                        </wps:spPr>
                        <wps:txbx>
                          <w:txbxContent>
                            <w:p w14:paraId="32123658" w14:textId="77777777" w:rsidR="00B302CF" w:rsidRDefault="00B302CF" w:rsidP="00921173">
                              <w:r>
                                <w:rPr>
                                  <w:sz w:val="16"/>
                                </w:rPr>
                                <w:t xml:space="preserve"> - </w:t>
                              </w:r>
                            </w:p>
                          </w:txbxContent>
                        </wps:txbx>
                        <wps:bodyPr horzOverflow="overflow" vert="horz" lIns="0" tIns="0" rIns="0" bIns="0" rtlCol="0">
                          <a:noAutofit/>
                        </wps:bodyPr>
                      </wps:wsp>
                      <wps:wsp>
                        <wps:cNvPr id="25052" name="Rectangle 25052"/>
                        <wps:cNvSpPr/>
                        <wps:spPr>
                          <a:xfrm>
                            <a:off x="1669669" y="2102895"/>
                            <a:ext cx="171520" cy="132355"/>
                          </a:xfrm>
                          <a:prstGeom prst="rect">
                            <a:avLst/>
                          </a:prstGeom>
                          <a:ln>
                            <a:noFill/>
                          </a:ln>
                        </wps:spPr>
                        <wps:txbx>
                          <w:txbxContent>
                            <w:p w14:paraId="5CD1057E" w14:textId="77777777" w:rsidR="00B302CF" w:rsidRDefault="00B302CF" w:rsidP="00921173">
                              <w:r>
                                <w:rPr>
                                  <w:sz w:val="16"/>
                                </w:rPr>
                                <w:t>30</w:t>
                              </w:r>
                            </w:p>
                          </w:txbxContent>
                        </wps:txbx>
                        <wps:bodyPr horzOverflow="overflow" vert="horz" lIns="0" tIns="0" rIns="0" bIns="0" rtlCol="0">
                          <a:noAutofit/>
                        </wps:bodyPr>
                      </wps:wsp>
                      <wps:wsp>
                        <wps:cNvPr id="25051" name="Rectangle 25051"/>
                        <wps:cNvSpPr/>
                        <wps:spPr>
                          <a:xfrm>
                            <a:off x="1799142" y="1955066"/>
                            <a:ext cx="157125" cy="132355"/>
                          </a:xfrm>
                          <a:prstGeom prst="rect">
                            <a:avLst/>
                          </a:prstGeom>
                          <a:ln>
                            <a:noFill/>
                          </a:ln>
                        </wps:spPr>
                        <wps:txbx>
                          <w:txbxContent>
                            <w:p w14:paraId="173B34B6" w14:textId="77777777" w:rsidR="00B302CF" w:rsidRDefault="00B302CF" w:rsidP="00921173">
                              <w:r>
                                <w:rPr>
                                  <w:sz w:val="16"/>
                                </w:rPr>
                                <w:t xml:space="preserve"> - </w:t>
                              </w:r>
                            </w:p>
                          </w:txbxContent>
                        </wps:txbx>
                        <wps:bodyPr horzOverflow="overflow" vert="horz" lIns="0" tIns="0" rIns="0" bIns="0" rtlCol="0">
                          <a:noAutofit/>
                        </wps:bodyPr>
                      </wps:wsp>
                      <wps:wsp>
                        <wps:cNvPr id="25050" name="Rectangle 25050"/>
                        <wps:cNvSpPr/>
                        <wps:spPr>
                          <a:xfrm>
                            <a:off x="1916362" y="1955066"/>
                            <a:ext cx="171520" cy="132355"/>
                          </a:xfrm>
                          <a:prstGeom prst="rect">
                            <a:avLst/>
                          </a:prstGeom>
                          <a:ln>
                            <a:noFill/>
                          </a:ln>
                        </wps:spPr>
                        <wps:txbx>
                          <w:txbxContent>
                            <w:p w14:paraId="266DA2AB" w14:textId="77777777" w:rsidR="00B302CF" w:rsidRDefault="00B302CF" w:rsidP="00921173">
                              <w:r>
                                <w:rPr>
                                  <w:sz w:val="16"/>
                                </w:rPr>
                                <w:t>39</w:t>
                              </w:r>
                            </w:p>
                          </w:txbxContent>
                        </wps:txbx>
                        <wps:bodyPr horzOverflow="overflow" vert="horz" lIns="0" tIns="0" rIns="0" bIns="0" rtlCol="0">
                          <a:noAutofit/>
                        </wps:bodyPr>
                      </wps:wsp>
                      <wps:wsp>
                        <wps:cNvPr id="25049" name="Rectangle 25049"/>
                        <wps:cNvSpPr/>
                        <wps:spPr>
                          <a:xfrm>
                            <a:off x="1669669" y="1955066"/>
                            <a:ext cx="171520" cy="132355"/>
                          </a:xfrm>
                          <a:prstGeom prst="rect">
                            <a:avLst/>
                          </a:prstGeom>
                          <a:ln>
                            <a:noFill/>
                          </a:ln>
                        </wps:spPr>
                        <wps:txbx>
                          <w:txbxContent>
                            <w:p w14:paraId="26B36E5B" w14:textId="77777777" w:rsidR="00B302CF" w:rsidRDefault="00B302CF" w:rsidP="00921173">
                              <w:r>
                                <w:rPr>
                                  <w:sz w:val="16"/>
                                </w:rPr>
                                <w:t>35</w:t>
                              </w:r>
                            </w:p>
                          </w:txbxContent>
                        </wps:txbx>
                        <wps:bodyPr horzOverflow="overflow" vert="horz" lIns="0" tIns="0" rIns="0" bIns="0" rtlCol="0">
                          <a:noAutofit/>
                        </wps:bodyPr>
                      </wps:wsp>
                      <wps:wsp>
                        <wps:cNvPr id="25047" name="Rectangle 25047"/>
                        <wps:cNvSpPr/>
                        <wps:spPr>
                          <a:xfrm>
                            <a:off x="1916362" y="1806857"/>
                            <a:ext cx="171520" cy="132355"/>
                          </a:xfrm>
                          <a:prstGeom prst="rect">
                            <a:avLst/>
                          </a:prstGeom>
                          <a:ln>
                            <a:noFill/>
                          </a:ln>
                        </wps:spPr>
                        <wps:txbx>
                          <w:txbxContent>
                            <w:p w14:paraId="4A9C2949" w14:textId="77777777" w:rsidR="00B302CF" w:rsidRDefault="00B302CF" w:rsidP="00921173">
                              <w:r>
                                <w:rPr>
                                  <w:sz w:val="16"/>
                                </w:rPr>
                                <w:t>44</w:t>
                              </w:r>
                            </w:p>
                          </w:txbxContent>
                        </wps:txbx>
                        <wps:bodyPr horzOverflow="overflow" vert="horz" lIns="0" tIns="0" rIns="0" bIns="0" rtlCol="0">
                          <a:noAutofit/>
                        </wps:bodyPr>
                      </wps:wsp>
                      <wps:wsp>
                        <wps:cNvPr id="25046" name="Rectangle 25046"/>
                        <wps:cNvSpPr/>
                        <wps:spPr>
                          <a:xfrm>
                            <a:off x="1669669" y="1806857"/>
                            <a:ext cx="171520" cy="132355"/>
                          </a:xfrm>
                          <a:prstGeom prst="rect">
                            <a:avLst/>
                          </a:prstGeom>
                          <a:ln>
                            <a:noFill/>
                          </a:ln>
                        </wps:spPr>
                        <wps:txbx>
                          <w:txbxContent>
                            <w:p w14:paraId="6FFB3555" w14:textId="77777777" w:rsidR="00B302CF" w:rsidRDefault="00B302CF" w:rsidP="00921173">
                              <w:r>
                                <w:rPr>
                                  <w:sz w:val="16"/>
                                </w:rPr>
                                <w:t>40</w:t>
                              </w:r>
                            </w:p>
                          </w:txbxContent>
                        </wps:txbx>
                        <wps:bodyPr horzOverflow="overflow" vert="horz" lIns="0" tIns="0" rIns="0" bIns="0" rtlCol="0">
                          <a:noAutofit/>
                        </wps:bodyPr>
                      </wps:wsp>
                      <wps:wsp>
                        <wps:cNvPr id="25048" name="Rectangle 25048"/>
                        <wps:cNvSpPr/>
                        <wps:spPr>
                          <a:xfrm>
                            <a:off x="1799142" y="1806857"/>
                            <a:ext cx="157125" cy="132355"/>
                          </a:xfrm>
                          <a:prstGeom prst="rect">
                            <a:avLst/>
                          </a:prstGeom>
                          <a:ln>
                            <a:noFill/>
                          </a:ln>
                        </wps:spPr>
                        <wps:txbx>
                          <w:txbxContent>
                            <w:p w14:paraId="32DAFD1E" w14:textId="77777777" w:rsidR="00B302CF" w:rsidRDefault="00B302CF" w:rsidP="00921173">
                              <w:r>
                                <w:rPr>
                                  <w:sz w:val="16"/>
                                </w:rPr>
                                <w:t xml:space="preserve"> - </w:t>
                              </w:r>
                            </w:p>
                          </w:txbxContent>
                        </wps:txbx>
                        <wps:bodyPr horzOverflow="overflow" vert="horz" lIns="0" tIns="0" rIns="0" bIns="0" rtlCol="0">
                          <a:noAutofit/>
                        </wps:bodyPr>
                      </wps:wsp>
                      <wps:wsp>
                        <wps:cNvPr id="25044" name="Rectangle 25044"/>
                        <wps:cNvSpPr/>
                        <wps:spPr>
                          <a:xfrm>
                            <a:off x="1916362" y="1659029"/>
                            <a:ext cx="171520" cy="132355"/>
                          </a:xfrm>
                          <a:prstGeom prst="rect">
                            <a:avLst/>
                          </a:prstGeom>
                          <a:ln>
                            <a:noFill/>
                          </a:ln>
                        </wps:spPr>
                        <wps:txbx>
                          <w:txbxContent>
                            <w:p w14:paraId="60FDA44E" w14:textId="77777777" w:rsidR="00B302CF" w:rsidRDefault="00B302CF" w:rsidP="00921173">
                              <w:r>
                                <w:rPr>
                                  <w:sz w:val="16"/>
                                </w:rPr>
                                <w:t>49</w:t>
                              </w:r>
                            </w:p>
                          </w:txbxContent>
                        </wps:txbx>
                        <wps:bodyPr horzOverflow="overflow" vert="horz" lIns="0" tIns="0" rIns="0" bIns="0" rtlCol="0">
                          <a:noAutofit/>
                        </wps:bodyPr>
                      </wps:wsp>
                      <wps:wsp>
                        <wps:cNvPr id="25043" name="Rectangle 25043"/>
                        <wps:cNvSpPr/>
                        <wps:spPr>
                          <a:xfrm>
                            <a:off x="1669669" y="1659029"/>
                            <a:ext cx="171520" cy="132355"/>
                          </a:xfrm>
                          <a:prstGeom prst="rect">
                            <a:avLst/>
                          </a:prstGeom>
                          <a:ln>
                            <a:noFill/>
                          </a:ln>
                        </wps:spPr>
                        <wps:txbx>
                          <w:txbxContent>
                            <w:p w14:paraId="5F56F7A0" w14:textId="77777777" w:rsidR="00B302CF" w:rsidRDefault="00B302CF" w:rsidP="00921173">
                              <w:r>
                                <w:rPr>
                                  <w:sz w:val="16"/>
                                </w:rPr>
                                <w:t>45</w:t>
                              </w:r>
                            </w:p>
                          </w:txbxContent>
                        </wps:txbx>
                        <wps:bodyPr horzOverflow="overflow" vert="horz" lIns="0" tIns="0" rIns="0" bIns="0" rtlCol="0">
                          <a:noAutofit/>
                        </wps:bodyPr>
                      </wps:wsp>
                      <wps:wsp>
                        <wps:cNvPr id="25045" name="Rectangle 25045"/>
                        <wps:cNvSpPr/>
                        <wps:spPr>
                          <a:xfrm>
                            <a:off x="1799142" y="1659029"/>
                            <a:ext cx="157125" cy="132355"/>
                          </a:xfrm>
                          <a:prstGeom prst="rect">
                            <a:avLst/>
                          </a:prstGeom>
                          <a:ln>
                            <a:noFill/>
                          </a:ln>
                        </wps:spPr>
                        <wps:txbx>
                          <w:txbxContent>
                            <w:p w14:paraId="4BD17A00" w14:textId="77777777" w:rsidR="00B302CF" w:rsidRDefault="00B302CF" w:rsidP="00921173">
                              <w:r>
                                <w:rPr>
                                  <w:sz w:val="16"/>
                                </w:rPr>
                                <w:t xml:space="preserve"> - </w:t>
                              </w:r>
                            </w:p>
                          </w:txbxContent>
                        </wps:txbx>
                        <wps:bodyPr horzOverflow="overflow" vert="horz" lIns="0" tIns="0" rIns="0" bIns="0" rtlCol="0">
                          <a:noAutofit/>
                        </wps:bodyPr>
                      </wps:wsp>
                      <wps:wsp>
                        <wps:cNvPr id="25040" name="Rectangle 25040"/>
                        <wps:cNvSpPr/>
                        <wps:spPr>
                          <a:xfrm>
                            <a:off x="1669669" y="1510947"/>
                            <a:ext cx="171520" cy="132355"/>
                          </a:xfrm>
                          <a:prstGeom prst="rect">
                            <a:avLst/>
                          </a:prstGeom>
                          <a:ln>
                            <a:noFill/>
                          </a:ln>
                        </wps:spPr>
                        <wps:txbx>
                          <w:txbxContent>
                            <w:p w14:paraId="0B53ABE2" w14:textId="77777777" w:rsidR="00B302CF" w:rsidRDefault="00B302CF" w:rsidP="00921173">
                              <w:r>
                                <w:rPr>
                                  <w:sz w:val="16"/>
                                </w:rPr>
                                <w:t>50</w:t>
                              </w:r>
                            </w:p>
                          </w:txbxContent>
                        </wps:txbx>
                        <wps:bodyPr horzOverflow="overflow" vert="horz" lIns="0" tIns="0" rIns="0" bIns="0" rtlCol="0">
                          <a:noAutofit/>
                        </wps:bodyPr>
                      </wps:wsp>
                      <wps:wsp>
                        <wps:cNvPr id="25042" name="Rectangle 25042"/>
                        <wps:cNvSpPr/>
                        <wps:spPr>
                          <a:xfrm>
                            <a:off x="1799142" y="1510947"/>
                            <a:ext cx="157125" cy="132355"/>
                          </a:xfrm>
                          <a:prstGeom prst="rect">
                            <a:avLst/>
                          </a:prstGeom>
                          <a:ln>
                            <a:noFill/>
                          </a:ln>
                        </wps:spPr>
                        <wps:txbx>
                          <w:txbxContent>
                            <w:p w14:paraId="26C589EF" w14:textId="77777777" w:rsidR="00B302CF" w:rsidRDefault="00B302CF" w:rsidP="00921173">
                              <w:r>
                                <w:rPr>
                                  <w:sz w:val="16"/>
                                </w:rPr>
                                <w:t xml:space="preserve"> - </w:t>
                              </w:r>
                            </w:p>
                          </w:txbxContent>
                        </wps:txbx>
                        <wps:bodyPr horzOverflow="overflow" vert="horz" lIns="0" tIns="0" rIns="0" bIns="0" rtlCol="0">
                          <a:noAutofit/>
                        </wps:bodyPr>
                      </wps:wsp>
                      <wps:wsp>
                        <wps:cNvPr id="25041" name="Rectangle 25041"/>
                        <wps:cNvSpPr/>
                        <wps:spPr>
                          <a:xfrm>
                            <a:off x="1916362" y="1510947"/>
                            <a:ext cx="171520" cy="132355"/>
                          </a:xfrm>
                          <a:prstGeom prst="rect">
                            <a:avLst/>
                          </a:prstGeom>
                          <a:ln>
                            <a:noFill/>
                          </a:ln>
                        </wps:spPr>
                        <wps:txbx>
                          <w:txbxContent>
                            <w:p w14:paraId="325C294B" w14:textId="77777777" w:rsidR="00B302CF" w:rsidRDefault="00B302CF" w:rsidP="00921173">
                              <w:r>
                                <w:rPr>
                                  <w:sz w:val="16"/>
                                </w:rPr>
                                <w:t>54</w:t>
                              </w:r>
                            </w:p>
                          </w:txbxContent>
                        </wps:txbx>
                        <wps:bodyPr horzOverflow="overflow" vert="horz" lIns="0" tIns="0" rIns="0" bIns="0" rtlCol="0">
                          <a:noAutofit/>
                        </wps:bodyPr>
                      </wps:wsp>
                      <wps:wsp>
                        <wps:cNvPr id="25037" name="Rectangle 25037"/>
                        <wps:cNvSpPr/>
                        <wps:spPr>
                          <a:xfrm>
                            <a:off x="1669669" y="1363120"/>
                            <a:ext cx="171520" cy="132355"/>
                          </a:xfrm>
                          <a:prstGeom prst="rect">
                            <a:avLst/>
                          </a:prstGeom>
                          <a:ln>
                            <a:noFill/>
                          </a:ln>
                        </wps:spPr>
                        <wps:txbx>
                          <w:txbxContent>
                            <w:p w14:paraId="31ECFFE4" w14:textId="77777777" w:rsidR="00B302CF" w:rsidRDefault="00B302CF" w:rsidP="00921173">
                              <w:r>
                                <w:rPr>
                                  <w:sz w:val="16"/>
                                </w:rPr>
                                <w:t>55</w:t>
                              </w:r>
                            </w:p>
                          </w:txbxContent>
                        </wps:txbx>
                        <wps:bodyPr horzOverflow="overflow" vert="horz" lIns="0" tIns="0" rIns="0" bIns="0" rtlCol="0">
                          <a:noAutofit/>
                        </wps:bodyPr>
                      </wps:wsp>
                      <wps:wsp>
                        <wps:cNvPr id="25039" name="Rectangle 25039"/>
                        <wps:cNvSpPr/>
                        <wps:spPr>
                          <a:xfrm>
                            <a:off x="1799142" y="1363120"/>
                            <a:ext cx="157125" cy="132355"/>
                          </a:xfrm>
                          <a:prstGeom prst="rect">
                            <a:avLst/>
                          </a:prstGeom>
                          <a:ln>
                            <a:noFill/>
                          </a:ln>
                        </wps:spPr>
                        <wps:txbx>
                          <w:txbxContent>
                            <w:p w14:paraId="62C835AE" w14:textId="77777777" w:rsidR="00B302CF" w:rsidRDefault="00B302CF" w:rsidP="00921173">
                              <w:r>
                                <w:rPr>
                                  <w:sz w:val="16"/>
                                </w:rPr>
                                <w:t xml:space="preserve"> - </w:t>
                              </w:r>
                            </w:p>
                          </w:txbxContent>
                        </wps:txbx>
                        <wps:bodyPr horzOverflow="overflow" vert="horz" lIns="0" tIns="0" rIns="0" bIns="0" rtlCol="0">
                          <a:noAutofit/>
                        </wps:bodyPr>
                      </wps:wsp>
                      <wps:wsp>
                        <wps:cNvPr id="25038" name="Rectangle 25038"/>
                        <wps:cNvSpPr/>
                        <wps:spPr>
                          <a:xfrm>
                            <a:off x="1916362" y="1363120"/>
                            <a:ext cx="171520" cy="132355"/>
                          </a:xfrm>
                          <a:prstGeom prst="rect">
                            <a:avLst/>
                          </a:prstGeom>
                          <a:ln>
                            <a:noFill/>
                          </a:ln>
                        </wps:spPr>
                        <wps:txbx>
                          <w:txbxContent>
                            <w:p w14:paraId="292C34F7" w14:textId="77777777" w:rsidR="00B302CF" w:rsidRDefault="00B302CF" w:rsidP="00921173">
                              <w:r>
                                <w:rPr>
                                  <w:sz w:val="16"/>
                                </w:rPr>
                                <w:t>59</w:t>
                              </w:r>
                            </w:p>
                          </w:txbxContent>
                        </wps:txbx>
                        <wps:bodyPr horzOverflow="overflow" vert="horz" lIns="0" tIns="0" rIns="0" bIns="0" rtlCol="0">
                          <a:noAutofit/>
                        </wps:bodyPr>
                      </wps:wsp>
                      <wps:wsp>
                        <wps:cNvPr id="25035" name="Rectangle 25035"/>
                        <wps:cNvSpPr/>
                        <wps:spPr>
                          <a:xfrm>
                            <a:off x="1916362" y="1214910"/>
                            <a:ext cx="171520" cy="132355"/>
                          </a:xfrm>
                          <a:prstGeom prst="rect">
                            <a:avLst/>
                          </a:prstGeom>
                          <a:ln>
                            <a:noFill/>
                          </a:ln>
                        </wps:spPr>
                        <wps:txbx>
                          <w:txbxContent>
                            <w:p w14:paraId="2224725F" w14:textId="77777777" w:rsidR="00B302CF" w:rsidRDefault="00B302CF" w:rsidP="00921173">
                              <w:r>
                                <w:rPr>
                                  <w:sz w:val="16"/>
                                </w:rPr>
                                <w:t>64</w:t>
                              </w:r>
                            </w:p>
                          </w:txbxContent>
                        </wps:txbx>
                        <wps:bodyPr horzOverflow="overflow" vert="horz" lIns="0" tIns="0" rIns="0" bIns="0" rtlCol="0">
                          <a:noAutofit/>
                        </wps:bodyPr>
                      </wps:wsp>
                      <wps:wsp>
                        <wps:cNvPr id="25034" name="Rectangle 25034"/>
                        <wps:cNvSpPr/>
                        <wps:spPr>
                          <a:xfrm>
                            <a:off x="1669669" y="1214910"/>
                            <a:ext cx="171520" cy="132355"/>
                          </a:xfrm>
                          <a:prstGeom prst="rect">
                            <a:avLst/>
                          </a:prstGeom>
                          <a:ln>
                            <a:noFill/>
                          </a:ln>
                        </wps:spPr>
                        <wps:txbx>
                          <w:txbxContent>
                            <w:p w14:paraId="3CB51D1C" w14:textId="77777777" w:rsidR="00B302CF" w:rsidRDefault="00B302CF" w:rsidP="00921173">
                              <w:r>
                                <w:rPr>
                                  <w:sz w:val="16"/>
                                </w:rPr>
                                <w:t>60</w:t>
                              </w:r>
                            </w:p>
                          </w:txbxContent>
                        </wps:txbx>
                        <wps:bodyPr horzOverflow="overflow" vert="horz" lIns="0" tIns="0" rIns="0" bIns="0" rtlCol="0">
                          <a:noAutofit/>
                        </wps:bodyPr>
                      </wps:wsp>
                      <wps:wsp>
                        <wps:cNvPr id="25036" name="Rectangle 25036"/>
                        <wps:cNvSpPr/>
                        <wps:spPr>
                          <a:xfrm>
                            <a:off x="1799142" y="1214910"/>
                            <a:ext cx="157125" cy="132355"/>
                          </a:xfrm>
                          <a:prstGeom prst="rect">
                            <a:avLst/>
                          </a:prstGeom>
                          <a:ln>
                            <a:noFill/>
                          </a:ln>
                        </wps:spPr>
                        <wps:txbx>
                          <w:txbxContent>
                            <w:p w14:paraId="7CFC563D" w14:textId="77777777" w:rsidR="00B302CF" w:rsidRDefault="00B302CF" w:rsidP="00921173">
                              <w:r>
                                <w:rPr>
                                  <w:sz w:val="16"/>
                                </w:rPr>
                                <w:t xml:space="preserve"> - </w:t>
                              </w:r>
                            </w:p>
                          </w:txbxContent>
                        </wps:txbx>
                        <wps:bodyPr horzOverflow="overflow" vert="horz" lIns="0" tIns="0" rIns="0" bIns="0" rtlCol="0">
                          <a:noAutofit/>
                        </wps:bodyPr>
                      </wps:wsp>
                      <wps:wsp>
                        <wps:cNvPr id="25033" name="Rectangle 25033"/>
                        <wps:cNvSpPr/>
                        <wps:spPr>
                          <a:xfrm>
                            <a:off x="1799142" y="1067082"/>
                            <a:ext cx="157125" cy="132355"/>
                          </a:xfrm>
                          <a:prstGeom prst="rect">
                            <a:avLst/>
                          </a:prstGeom>
                          <a:ln>
                            <a:noFill/>
                          </a:ln>
                        </wps:spPr>
                        <wps:txbx>
                          <w:txbxContent>
                            <w:p w14:paraId="53AB1511" w14:textId="77777777" w:rsidR="00B302CF" w:rsidRDefault="00B302CF" w:rsidP="00921173">
                              <w:r>
                                <w:rPr>
                                  <w:sz w:val="16"/>
                                </w:rPr>
                                <w:t xml:space="preserve"> - </w:t>
                              </w:r>
                            </w:p>
                          </w:txbxContent>
                        </wps:txbx>
                        <wps:bodyPr horzOverflow="overflow" vert="horz" lIns="0" tIns="0" rIns="0" bIns="0" rtlCol="0">
                          <a:noAutofit/>
                        </wps:bodyPr>
                      </wps:wsp>
                      <wps:wsp>
                        <wps:cNvPr id="25031" name="Rectangle 25031"/>
                        <wps:cNvSpPr/>
                        <wps:spPr>
                          <a:xfrm>
                            <a:off x="1669669" y="1067082"/>
                            <a:ext cx="171520" cy="132355"/>
                          </a:xfrm>
                          <a:prstGeom prst="rect">
                            <a:avLst/>
                          </a:prstGeom>
                          <a:ln>
                            <a:noFill/>
                          </a:ln>
                        </wps:spPr>
                        <wps:txbx>
                          <w:txbxContent>
                            <w:p w14:paraId="6278C350" w14:textId="77777777" w:rsidR="00B302CF" w:rsidRDefault="00B302CF" w:rsidP="00921173">
                              <w:r>
                                <w:rPr>
                                  <w:sz w:val="16"/>
                                </w:rPr>
                                <w:t>65</w:t>
                              </w:r>
                            </w:p>
                          </w:txbxContent>
                        </wps:txbx>
                        <wps:bodyPr horzOverflow="overflow" vert="horz" lIns="0" tIns="0" rIns="0" bIns="0" rtlCol="0">
                          <a:noAutofit/>
                        </wps:bodyPr>
                      </wps:wsp>
                      <wps:wsp>
                        <wps:cNvPr id="25032" name="Rectangle 25032"/>
                        <wps:cNvSpPr/>
                        <wps:spPr>
                          <a:xfrm>
                            <a:off x="1916362" y="1067082"/>
                            <a:ext cx="171520" cy="132355"/>
                          </a:xfrm>
                          <a:prstGeom prst="rect">
                            <a:avLst/>
                          </a:prstGeom>
                          <a:ln>
                            <a:noFill/>
                          </a:ln>
                        </wps:spPr>
                        <wps:txbx>
                          <w:txbxContent>
                            <w:p w14:paraId="1E308A00" w14:textId="77777777" w:rsidR="00B302CF" w:rsidRDefault="00B302CF" w:rsidP="00921173">
                              <w:r>
                                <w:rPr>
                                  <w:sz w:val="16"/>
                                </w:rPr>
                                <w:t>69</w:t>
                              </w:r>
                            </w:p>
                          </w:txbxContent>
                        </wps:txbx>
                        <wps:bodyPr horzOverflow="overflow" vert="horz" lIns="0" tIns="0" rIns="0" bIns="0" rtlCol="0">
                          <a:noAutofit/>
                        </wps:bodyPr>
                      </wps:wsp>
                      <wps:wsp>
                        <wps:cNvPr id="25028" name="Rectangle 25028"/>
                        <wps:cNvSpPr/>
                        <wps:spPr>
                          <a:xfrm>
                            <a:off x="1669669" y="918767"/>
                            <a:ext cx="171760" cy="132751"/>
                          </a:xfrm>
                          <a:prstGeom prst="rect">
                            <a:avLst/>
                          </a:prstGeom>
                          <a:ln>
                            <a:noFill/>
                          </a:ln>
                        </wps:spPr>
                        <wps:txbx>
                          <w:txbxContent>
                            <w:p w14:paraId="5146BB40" w14:textId="77777777" w:rsidR="00B302CF" w:rsidRDefault="00B302CF" w:rsidP="00921173">
                              <w:r>
                                <w:rPr>
                                  <w:sz w:val="16"/>
                                </w:rPr>
                                <w:t>70</w:t>
                              </w:r>
                            </w:p>
                          </w:txbxContent>
                        </wps:txbx>
                        <wps:bodyPr horzOverflow="overflow" vert="horz" lIns="0" tIns="0" rIns="0" bIns="0" rtlCol="0">
                          <a:noAutofit/>
                        </wps:bodyPr>
                      </wps:wsp>
                      <wps:wsp>
                        <wps:cNvPr id="25030" name="Rectangle 25030"/>
                        <wps:cNvSpPr/>
                        <wps:spPr>
                          <a:xfrm>
                            <a:off x="1799119" y="918767"/>
                            <a:ext cx="157185" cy="132751"/>
                          </a:xfrm>
                          <a:prstGeom prst="rect">
                            <a:avLst/>
                          </a:prstGeom>
                          <a:ln>
                            <a:noFill/>
                          </a:ln>
                        </wps:spPr>
                        <wps:txbx>
                          <w:txbxContent>
                            <w:p w14:paraId="55C01694" w14:textId="77777777" w:rsidR="00B302CF" w:rsidRDefault="00B302CF" w:rsidP="00921173">
                              <w:r>
                                <w:rPr>
                                  <w:sz w:val="16"/>
                                </w:rPr>
                                <w:t xml:space="preserve"> - </w:t>
                              </w:r>
                            </w:p>
                          </w:txbxContent>
                        </wps:txbx>
                        <wps:bodyPr horzOverflow="overflow" vert="horz" lIns="0" tIns="0" rIns="0" bIns="0" rtlCol="0">
                          <a:noAutofit/>
                        </wps:bodyPr>
                      </wps:wsp>
                      <wps:wsp>
                        <wps:cNvPr id="25029" name="Rectangle 25029"/>
                        <wps:cNvSpPr/>
                        <wps:spPr>
                          <a:xfrm>
                            <a:off x="1916279" y="918767"/>
                            <a:ext cx="171760" cy="132751"/>
                          </a:xfrm>
                          <a:prstGeom prst="rect">
                            <a:avLst/>
                          </a:prstGeom>
                          <a:ln>
                            <a:noFill/>
                          </a:ln>
                        </wps:spPr>
                        <wps:txbx>
                          <w:txbxContent>
                            <w:p w14:paraId="36E8A923" w14:textId="77777777" w:rsidR="00B302CF" w:rsidRDefault="00B302CF" w:rsidP="00921173">
                              <w:r>
                                <w:rPr>
                                  <w:sz w:val="16"/>
                                </w:rPr>
                                <w:t>74</w:t>
                              </w:r>
                            </w:p>
                          </w:txbxContent>
                        </wps:txbx>
                        <wps:bodyPr horzOverflow="overflow" vert="horz" lIns="0" tIns="0" rIns="0" bIns="0" rtlCol="0">
                          <a:noAutofit/>
                        </wps:bodyPr>
                      </wps:wsp>
                      <wps:wsp>
                        <wps:cNvPr id="25026" name="Rectangle 25026"/>
                        <wps:cNvSpPr/>
                        <wps:spPr>
                          <a:xfrm>
                            <a:off x="1916362" y="771172"/>
                            <a:ext cx="171520" cy="132355"/>
                          </a:xfrm>
                          <a:prstGeom prst="rect">
                            <a:avLst/>
                          </a:prstGeom>
                          <a:ln>
                            <a:noFill/>
                          </a:ln>
                        </wps:spPr>
                        <wps:txbx>
                          <w:txbxContent>
                            <w:p w14:paraId="1934FC92" w14:textId="77777777" w:rsidR="00B302CF" w:rsidRDefault="00B302CF" w:rsidP="00921173">
                              <w:r>
                                <w:rPr>
                                  <w:sz w:val="16"/>
                                </w:rPr>
                                <w:t>79</w:t>
                              </w:r>
                            </w:p>
                          </w:txbxContent>
                        </wps:txbx>
                        <wps:bodyPr horzOverflow="overflow" vert="horz" lIns="0" tIns="0" rIns="0" bIns="0" rtlCol="0">
                          <a:noAutofit/>
                        </wps:bodyPr>
                      </wps:wsp>
                      <wps:wsp>
                        <wps:cNvPr id="25027" name="Rectangle 25027"/>
                        <wps:cNvSpPr/>
                        <wps:spPr>
                          <a:xfrm>
                            <a:off x="1799142" y="771172"/>
                            <a:ext cx="157125" cy="132355"/>
                          </a:xfrm>
                          <a:prstGeom prst="rect">
                            <a:avLst/>
                          </a:prstGeom>
                          <a:ln>
                            <a:noFill/>
                          </a:ln>
                        </wps:spPr>
                        <wps:txbx>
                          <w:txbxContent>
                            <w:p w14:paraId="06CF684D" w14:textId="77777777" w:rsidR="00B302CF" w:rsidRDefault="00B302CF" w:rsidP="00921173">
                              <w:r>
                                <w:rPr>
                                  <w:sz w:val="16"/>
                                </w:rPr>
                                <w:t xml:space="preserve"> - </w:t>
                              </w:r>
                            </w:p>
                          </w:txbxContent>
                        </wps:txbx>
                        <wps:bodyPr horzOverflow="overflow" vert="horz" lIns="0" tIns="0" rIns="0" bIns="0" rtlCol="0">
                          <a:noAutofit/>
                        </wps:bodyPr>
                      </wps:wsp>
                      <wps:wsp>
                        <wps:cNvPr id="25025" name="Rectangle 25025"/>
                        <wps:cNvSpPr/>
                        <wps:spPr>
                          <a:xfrm>
                            <a:off x="1669669" y="771172"/>
                            <a:ext cx="171520" cy="132355"/>
                          </a:xfrm>
                          <a:prstGeom prst="rect">
                            <a:avLst/>
                          </a:prstGeom>
                          <a:ln>
                            <a:noFill/>
                          </a:ln>
                        </wps:spPr>
                        <wps:txbx>
                          <w:txbxContent>
                            <w:p w14:paraId="1A44F95A" w14:textId="77777777" w:rsidR="00B302CF" w:rsidRDefault="00B302CF" w:rsidP="00921173">
                              <w:r>
                                <w:rPr>
                                  <w:sz w:val="16"/>
                                </w:rPr>
                                <w:t>75</w:t>
                              </w:r>
                            </w:p>
                          </w:txbxContent>
                        </wps:txbx>
                        <wps:bodyPr horzOverflow="overflow" vert="horz" lIns="0" tIns="0" rIns="0" bIns="0" rtlCol="0">
                          <a:noAutofit/>
                        </wps:bodyPr>
                      </wps:wsp>
                      <wps:wsp>
                        <wps:cNvPr id="25023" name="Rectangle 25023"/>
                        <wps:cNvSpPr/>
                        <wps:spPr>
                          <a:xfrm>
                            <a:off x="1916279" y="622857"/>
                            <a:ext cx="171760" cy="132751"/>
                          </a:xfrm>
                          <a:prstGeom prst="rect">
                            <a:avLst/>
                          </a:prstGeom>
                          <a:ln>
                            <a:noFill/>
                          </a:ln>
                        </wps:spPr>
                        <wps:txbx>
                          <w:txbxContent>
                            <w:p w14:paraId="2B9C04AC" w14:textId="77777777" w:rsidR="00B302CF" w:rsidRDefault="00B302CF" w:rsidP="00921173">
                              <w:r>
                                <w:rPr>
                                  <w:sz w:val="16"/>
                                </w:rPr>
                                <w:t>84</w:t>
                              </w:r>
                            </w:p>
                          </w:txbxContent>
                        </wps:txbx>
                        <wps:bodyPr horzOverflow="overflow" vert="horz" lIns="0" tIns="0" rIns="0" bIns="0" rtlCol="0">
                          <a:noAutofit/>
                        </wps:bodyPr>
                      </wps:wsp>
                      <wps:wsp>
                        <wps:cNvPr id="25024" name="Rectangle 25024"/>
                        <wps:cNvSpPr/>
                        <wps:spPr>
                          <a:xfrm>
                            <a:off x="1799119" y="622857"/>
                            <a:ext cx="157185" cy="132751"/>
                          </a:xfrm>
                          <a:prstGeom prst="rect">
                            <a:avLst/>
                          </a:prstGeom>
                          <a:ln>
                            <a:noFill/>
                          </a:ln>
                        </wps:spPr>
                        <wps:txbx>
                          <w:txbxContent>
                            <w:p w14:paraId="1AC217EF" w14:textId="77777777" w:rsidR="00B302CF" w:rsidRDefault="00B302CF" w:rsidP="00921173">
                              <w:r>
                                <w:rPr>
                                  <w:sz w:val="16"/>
                                </w:rPr>
                                <w:t xml:space="preserve"> - </w:t>
                              </w:r>
                            </w:p>
                          </w:txbxContent>
                        </wps:txbx>
                        <wps:bodyPr horzOverflow="overflow" vert="horz" lIns="0" tIns="0" rIns="0" bIns="0" rtlCol="0">
                          <a:noAutofit/>
                        </wps:bodyPr>
                      </wps:wsp>
                      <wps:wsp>
                        <wps:cNvPr id="25022" name="Rectangle 25022"/>
                        <wps:cNvSpPr/>
                        <wps:spPr>
                          <a:xfrm>
                            <a:off x="1669669" y="622857"/>
                            <a:ext cx="171760" cy="132751"/>
                          </a:xfrm>
                          <a:prstGeom prst="rect">
                            <a:avLst/>
                          </a:prstGeom>
                          <a:ln>
                            <a:noFill/>
                          </a:ln>
                        </wps:spPr>
                        <wps:txbx>
                          <w:txbxContent>
                            <w:p w14:paraId="25D79CD6" w14:textId="77777777" w:rsidR="00B302CF" w:rsidRDefault="00B302CF" w:rsidP="00921173">
                              <w:r>
                                <w:rPr>
                                  <w:sz w:val="16"/>
                                </w:rPr>
                                <w:t>80</w:t>
                              </w:r>
                            </w:p>
                          </w:txbxContent>
                        </wps:txbx>
                        <wps:bodyPr horzOverflow="overflow" vert="horz" lIns="0" tIns="0" rIns="0" bIns="0" rtlCol="0">
                          <a:noAutofit/>
                        </wps:bodyPr>
                      </wps:wsp>
                      <wps:wsp>
                        <wps:cNvPr id="25020" name="Rectangle 25020"/>
                        <wps:cNvSpPr/>
                        <wps:spPr>
                          <a:xfrm>
                            <a:off x="1916362" y="475262"/>
                            <a:ext cx="171520" cy="132355"/>
                          </a:xfrm>
                          <a:prstGeom prst="rect">
                            <a:avLst/>
                          </a:prstGeom>
                          <a:ln>
                            <a:noFill/>
                          </a:ln>
                        </wps:spPr>
                        <wps:txbx>
                          <w:txbxContent>
                            <w:p w14:paraId="6AD522F1" w14:textId="77777777" w:rsidR="00B302CF" w:rsidRDefault="00B302CF" w:rsidP="00921173">
                              <w:r>
                                <w:rPr>
                                  <w:sz w:val="16"/>
                                </w:rPr>
                                <w:t>89</w:t>
                              </w:r>
                            </w:p>
                          </w:txbxContent>
                        </wps:txbx>
                        <wps:bodyPr horzOverflow="overflow" vert="horz" lIns="0" tIns="0" rIns="0" bIns="0" rtlCol="0">
                          <a:noAutofit/>
                        </wps:bodyPr>
                      </wps:wsp>
                      <wps:wsp>
                        <wps:cNvPr id="25021" name="Rectangle 25021"/>
                        <wps:cNvSpPr/>
                        <wps:spPr>
                          <a:xfrm>
                            <a:off x="1799142" y="475262"/>
                            <a:ext cx="157125" cy="132355"/>
                          </a:xfrm>
                          <a:prstGeom prst="rect">
                            <a:avLst/>
                          </a:prstGeom>
                          <a:ln>
                            <a:noFill/>
                          </a:ln>
                        </wps:spPr>
                        <wps:txbx>
                          <w:txbxContent>
                            <w:p w14:paraId="5C00E40E" w14:textId="77777777" w:rsidR="00B302CF" w:rsidRDefault="00B302CF" w:rsidP="00921173">
                              <w:r>
                                <w:rPr>
                                  <w:sz w:val="16"/>
                                </w:rPr>
                                <w:t xml:space="preserve"> - </w:t>
                              </w:r>
                            </w:p>
                          </w:txbxContent>
                        </wps:txbx>
                        <wps:bodyPr horzOverflow="overflow" vert="horz" lIns="0" tIns="0" rIns="0" bIns="0" rtlCol="0">
                          <a:noAutofit/>
                        </wps:bodyPr>
                      </wps:wsp>
                      <wps:wsp>
                        <wps:cNvPr id="25019" name="Rectangle 25019"/>
                        <wps:cNvSpPr/>
                        <wps:spPr>
                          <a:xfrm>
                            <a:off x="1669669" y="475262"/>
                            <a:ext cx="171520" cy="132355"/>
                          </a:xfrm>
                          <a:prstGeom prst="rect">
                            <a:avLst/>
                          </a:prstGeom>
                          <a:ln>
                            <a:noFill/>
                          </a:ln>
                        </wps:spPr>
                        <wps:txbx>
                          <w:txbxContent>
                            <w:p w14:paraId="28D9208A" w14:textId="77777777" w:rsidR="00B302CF" w:rsidRDefault="00B302CF" w:rsidP="00921173">
                              <w:r>
                                <w:rPr>
                                  <w:sz w:val="16"/>
                                </w:rPr>
                                <w:t>85</w:t>
                              </w:r>
                            </w:p>
                          </w:txbxContent>
                        </wps:txbx>
                        <wps:bodyPr horzOverflow="overflow" vert="horz" lIns="0" tIns="0" rIns="0" bIns="0" rtlCol="0">
                          <a:noAutofit/>
                        </wps:bodyPr>
                      </wps:wsp>
                      <wps:wsp>
                        <wps:cNvPr id="25017" name="Rectangle 25017"/>
                        <wps:cNvSpPr/>
                        <wps:spPr>
                          <a:xfrm>
                            <a:off x="1916362" y="327434"/>
                            <a:ext cx="171520" cy="132355"/>
                          </a:xfrm>
                          <a:prstGeom prst="rect">
                            <a:avLst/>
                          </a:prstGeom>
                          <a:ln>
                            <a:noFill/>
                          </a:ln>
                        </wps:spPr>
                        <wps:txbx>
                          <w:txbxContent>
                            <w:p w14:paraId="2B821B4D" w14:textId="77777777" w:rsidR="00B302CF" w:rsidRDefault="00B302CF" w:rsidP="00921173">
                              <w:r>
                                <w:rPr>
                                  <w:sz w:val="16"/>
                                </w:rPr>
                                <w:t>94</w:t>
                              </w:r>
                            </w:p>
                          </w:txbxContent>
                        </wps:txbx>
                        <wps:bodyPr horzOverflow="overflow" vert="horz" lIns="0" tIns="0" rIns="0" bIns="0" rtlCol="0">
                          <a:noAutofit/>
                        </wps:bodyPr>
                      </wps:wsp>
                      <wps:wsp>
                        <wps:cNvPr id="25018" name="Rectangle 25018"/>
                        <wps:cNvSpPr/>
                        <wps:spPr>
                          <a:xfrm>
                            <a:off x="1799142" y="327434"/>
                            <a:ext cx="157125" cy="132355"/>
                          </a:xfrm>
                          <a:prstGeom prst="rect">
                            <a:avLst/>
                          </a:prstGeom>
                          <a:ln>
                            <a:noFill/>
                          </a:ln>
                        </wps:spPr>
                        <wps:txbx>
                          <w:txbxContent>
                            <w:p w14:paraId="6A01B313" w14:textId="77777777" w:rsidR="00B302CF" w:rsidRDefault="00B302CF" w:rsidP="00921173">
                              <w:r>
                                <w:rPr>
                                  <w:sz w:val="16"/>
                                </w:rPr>
                                <w:t xml:space="preserve"> - </w:t>
                              </w:r>
                            </w:p>
                          </w:txbxContent>
                        </wps:txbx>
                        <wps:bodyPr horzOverflow="overflow" vert="horz" lIns="0" tIns="0" rIns="0" bIns="0" rtlCol="0">
                          <a:noAutofit/>
                        </wps:bodyPr>
                      </wps:wsp>
                      <wps:wsp>
                        <wps:cNvPr id="25016" name="Rectangle 25016"/>
                        <wps:cNvSpPr/>
                        <wps:spPr>
                          <a:xfrm>
                            <a:off x="1669669" y="327434"/>
                            <a:ext cx="171520" cy="132355"/>
                          </a:xfrm>
                          <a:prstGeom prst="rect">
                            <a:avLst/>
                          </a:prstGeom>
                          <a:ln>
                            <a:noFill/>
                          </a:ln>
                        </wps:spPr>
                        <wps:txbx>
                          <w:txbxContent>
                            <w:p w14:paraId="501884ED" w14:textId="77777777" w:rsidR="00B302CF" w:rsidRDefault="00B302CF" w:rsidP="00921173">
                              <w:r>
                                <w:rPr>
                                  <w:sz w:val="16"/>
                                </w:rPr>
                                <w:t>90</w:t>
                              </w:r>
                            </w:p>
                          </w:txbxContent>
                        </wps:txbx>
                        <wps:bodyPr horzOverflow="overflow" vert="horz" lIns="0" tIns="0" rIns="0" bIns="0" rtlCol="0">
                          <a:noAutofit/>
                        </wps:bodyPr>
                      </wps:wsp>
                      <wps:wsp>
                        <wps:cNvPr id="25013" name="Rectangle 25013"/>
                        <wps:cNvSpPr/>
                        <wps:spPr>
                          <a:xfrm>
                            <a:off x="1669669" y="179226"/>
                            <a:ext cx="171520" cy="132355"/>
                          </a:xfrm>
                          <a:prstGeom prst="rect">
                            <a:avLst/>
                          </a:prstGeom>
                          <a:ln>
                            <a:noFill/>
                          </a:ln>
                        </wps:spPr>
                        <wps:txbx>
                          <w:txbxContent>
                            <w:p w14:paraId="20D72649" w14:textId="77777777" w:rsidR="00B302CF" w:rsidRDefault="00B302CF" w:rsidP="00921173">
                              <w:r>
                                <w:rPr>
                                  <w:sz w:val="16"/>
                                </w:rPr>
                                <w:t>95</w:t>
                              </w:r>
                            </w:p>
                          </w:txbxContent>
                        </wps:txbx>
                        <wps:bodyPr horzOverflow="overflow" vert="horz" lIns="0" tIns="0" rIns="0" bIns="0" rtlCol="0">
                          <a:noAutofit/>
                        </wps:bodyPr>
                      </wps:wsp>
                      <wps:wsp>
                        <wps:cNvPr id="25015" name="Rectangle 25015"/>
                        <wps:cNvSpPr/>
                        <wps:spPr>
                          <a:xfrm>
                            <a:off x="1799142" y="179226"/>
                            <a:ext cx="157125" cy="132355"/>
                          </a:xfrm>
                          <a:prstGeom prst="rect">
                            <a:avLst/>
                          </a:prstGeom>
                          <a:ln>
                            <a:noFill/>
                          </a:ln>
                        </wps:spPr>
                        <wps:txbx>
                          <w:txbxContent>
                            <w:p w14:paraId="72968B89" w14:textId="77777777" w:rsidR="00B302CF" w:rsidRDefault="00B302CF" w:rsidP="00921173">
                              <w:r>
                                <w:rPr>
                                  <w:sz w:val="16"/>
                                </w:rPr>
                                <w:t xml:space="preserve"> - </w:t>
                              </w:r>
                            </w:p>
                          </w:txbxContent>
                        </wps:txbx>
                        <wps:bodyPr horzOverflow="overflow" vert="horz" lIns="0" tIns="0" rIns="0" bIns="0" rtlCol="0">
                          <a:noAutofit/>
                        </wps:bodyPr>
                      </wps:wsp>
                      <wps:wsp>
                        <wps:cNvPr id="25014" name="Rectangle 25014"/>
                        <wps:cNvSpPr/>
                        <wps:spPr>
                          <a:xfrm>
                            <a:off x="1916362" y="179226"/>
                            <a:ext cx="171520" cy="132355"/>
                          </a:xfrm>
                          <a:prstGeom prst="rect">
                            <a:avLst/>
                          </a:prstGeom>
                          <a:ln>
                            <a:noFill/>
                          </a:ln>
                        </wps:spPr>
                        <wps:txbx>
                          <w:txbxContent>
                            <w:p w14:paraId="3E2BBF05" w14:textId="77777777" w:rsidR="00B302CF" w:rsidRDefault="00B302CF" w:rsidP="00921173">
                              <w:r>
                                <w:rPr>
                                  <w:sz w:val="16"/>
                                </w:rPr>
                                <w:t>99</w:t>
                              </w:r>
                            </w:p>
                          </w:txbxContent>
                        </wps:txbx>
                        <wps:bodyPr horzOverflow="overflow" vert="horz" lIns="0" tIns="0" rIns="0" bIns="0" rtlCol="0">
                          <a:noAutofit/>
                        </wps:bodyPr>
                      </wps:wsp>
                      <wps:wsp>
                        <wps:cNvPr id="180" name="Rectangle 180"/>
                        <wps:cNvSpPr/>
                        <wps:spPr>
                          <a:xfrm>
                            <a:off x="1669669" y="31397"/>
                            <a:ext cx="416917" cy="132355"/>
                          </a:xfrm>
                          <a:prstGeom prst="rect">
                            <a:avLst/>
                          </a:prstGeom>
                          <a:ln>
                            <a:noFill/>
                          </a:ln>
                        </wps:spPr>
                        <wps:txbx>
                          <w:txbxContent>
                            <w:p w14:paraId="117BE6F5" w14:textId="77777777" w:rsidR="00B302CF" w:rsidRDefault="00B302CF" w:rsidP="00921173">
                              <w:r>
                                <w:rPr>
                                  <w:sz w:val="16"/>
                                </w:rPr>
                                <w:t>100 +</w:t>
                              </w:r>
                            </w:p>
                          </w:txbxContent>
                        </wps:txbx>
                        <wps:bodyPr horzOverflow="overflow" vert="horz" lIns="0" tIns="0" rIns="0" bIns="0" rtlCol="0">
                          <a:noAutofit/>
                        </wps:bodyPr>
                      </wps:wsp>
                      <wps:wsp>
                        <wps:cNvPr id="33387" name="Shape 33387"/>
                        <wps:cNvSpPr/>
                        <wps:spPr>
                          <a:xfrm>
                            <a:off x="2172462" y="2958465"/>
                            <a:ext cx="788670" cy="108203"/>
                          </a:xfrm>
                          <a:custGeom>
                            <a:avLst/>
                            <a:gdLst/>
                            <a:ahLst/>
                            <a:cxnLst/>
                            <a:rect l="0" t="0" r="0" b="0"/>
                            <a:pathLst>
                              <a:path w="788670" h="108203">
                                <a:moveTo>
                                  <a:pt x="0" y="0"/>
                                </a:moveTo>
                                <a:lnTo>
                                  <a:pt x="788670" y="0"/>
                                </a:lnTo>
                                <a:lnTo>
                                  <a:pt x="788670" y="108203"/>
                                </a:lnTo>
                                <a:lnTo>
                                  <a:pt x="0" y="108203"/>
                                </a:lnTo>
                                <a:lnTo>
                                  <a:pt x="0" y="0"/>
                                </a:lnTo>
                              </a:path>
                            </a:pathLst>
                          </a:custGeom>
                          <a:solidFill>
                            <a:srgbClr val="FF0000"/>
                          </a:solidFill>
                          <a:ln w="0" cap="flat">
                            <a:noFill/>
                            <a:round/>
                          </a:ln>
                          <a:effectLst/>
                        </wps:spPr>
                        <wps:bodyPr/>
                      </wps:wsp>
                      <wps:wsp>
                        <wps:cNvPr id="33388" name="Shape 33388"/>
                        <wps:cNvSpPr/>
                        <wps:spPr>
                          <a:xfrm>
                            <a:off x="2172462" y="2812161"/>
                            <a:ext cx="837438" cy="108204"/>
                          </a:xfrm>
                          <a:custGeom>
                            <a:avLst/>
                            <a:gdLst/>
                            <a:ahLst/>
                            <a:cxnLst/>
                            <a:rect l="0" t="0" r="0" b="0"/>
                            <a:pathLst>
                              <a:path w="837438" h="108204">
                                <a:moveTo>
                                  <a:pt x="0" y="0"/>
                                </a:moveTo>
                                <a:lnTo>
                                  <a:pt x="837438" y="0"/>
                                </a:lnTo>
                                <a:lnTo>
                                  <a:pt x="837438" y="108204"/>
                                </a:lnTo>
                                <a:lnTo>
                                  <a:pt x="0" y="108204"/>
                                </a:lnTo>
                                <a:lnTo>
                                  <a:pt x="0" y="0"/>
                                </a:lnTo>
                              </a:path>
                            </a:pathLst>
                          </a:custGeom>
                          <a:solidFill>
                            <a:srgbClr val="FF0000"/>
                          </a:solidFill>
                          <a:ln w="0" cap="flat">
                            <a:noFill/>
                            <a:round/>
                          </a:ln>
                          <a:effectLst/>
                        </wps:spPr>
                        <wps:bodyPr/>
                      </wps:wsp>
                      <wps:wsp>
                        <wps:cNvPr id="33389" name="Shape 33389"/>
                        <wps:cNvSpPr/>
                        <wps:spPr>
                          <a:xfrm>
                            <a:off x="2172462" y="2665858"/>
                            <a:ext cx="864870" cy="108203"/>
                          </a:xfrm>
                          <a:custGeom>
                            <a:avLst/>
                            <a:gdLst/>
                            <a:ahLst/>
                            <a:cxnLst/>
                            <a:rect l="0" t="0" r="0" b="0"/>
                            <a:pathLst>
                              <a:path w="864870" h="108203">
                                <a:moveTo>
                                  <a:pt x="0" y="0"/>
                                </a:moveTo>
                                <a:lnTo>
                                  <a:pt x="864870" y="0"/>
                                </a:lnTo>
                                <a:lnTo>
                                  <a:pt x="864870" y="108203"/>
                                </a:lnTo>
                                <a:lnTo>
                                  <a:pt x="0" y="108203"/>
                                </a:lnTo>
                                <a:lnTo>
                                  <a:pt x="0" y="0"/>
                                </a:lnTo>
                              </a:path>
                            </a:pathLst>
                          </a:custGeom>
                          <a:solidFill>
                            <a:srgbClr val="FF0000"/>
                          </a:solidFill>
                          <a:ln w="0" cap="flat">
                            <a:noFill/>
                            <a:round/>
                          </a:ln>
                          <a:effectLst/>
                        </wps:spPr>
                        <wps:bodyPr/>
                      </wps:wsp>
                      <wps:wsp>
                        <wps:cNvPr id="33390" name="Shape 33390"/>
                        <wps:cNvSpPr/>
                        <wps:spPr>
                          <a:xfrm>
                            <a:off x="2172462" y="2519553"/>
                            <a:ext cx="892302" cy="106680"/>
                          </a:xfrm>
                          <a:custGeom>
                            <a:avLst/>
                            <a:gdLst/>
                            <a:ahLst/>
                            <a:cxnLst/>
                            <a:rect l="0" t="0" r="0" b="0"/>
                            <a:pathLst>
                              <a:path w="892302" h="106680">
                                <a:moveTo>
                                  <a:pt x="0" y="0"/>
                                </a:moveTo>
                                <a:lnTo>
                                  <a:pt x="892302" y="0"/>
                                </a:lnTo>
                                <a:lnTo>
                                  <a:pt x="892302" y="106680"/>
                                </a:lnTo>
                                <a:lnTo>
                                  <a:pt x="0" y="106680"/>
                                </a:lnTo>
                                <a:lnTo>
                                  <a:pt x="0" y="0"/>
                                </a:lnTo>
                              </a:path>
                            </a:pathLst>
                          </a:custGeom>
                          <a:solidFill>
                            <a:srgbClr val="FF0000"/>
                          </a:solidFill>
                          <a:ln w="0" cap="flat">
                            <a:noFill/>
                            <a:round/>
                          </a:ln>
                          <a:effectLst/>
                        </wps:spPr>
                        <wps:bodyPr/>
                      </wps:wsp>
                      <wps:wsp>
                        <wps:cNvPr id="33391" name="Shape 33391"/>
                        <wps:cNvSpPr/>
                        <wps:spPr>
                          <a:xfrm>
                            <a:off x="2172462" y="2371725"/>
                            <a:ext cx="781050" cy="108204"/>
                          </a:xfrm>
                          <a:custGeom>
                            <a:avLst/>
                            <a:gdLst/>
                            <a:ahLst/>
                            <a:cxnLst/>
                            <a:rect l="0" t="0" r="0" b="0"/>
                            <a:pathLst>
                              <a:path w="781050" h="108204">
                                <a:moveTo>
                                  <a:pt x="0" y="0"/>
                                </a:moveTo>
                                <a:lnTo>
                                  <a:pt x="781050" y="0"/>
                                </a:lnTo>
                                <a:lnTo>
                                  <a:pt x="781050" y="108204"/>
                                </a:lnTo>
                                <a:lnTo>
                                  <a:pt x="0" y="108204"/>
                                </a:lnTo>
                                <a:lnTo>
                                  <a:pt x="0" y="0"/>
                                </a:lnTo>
                              </a:path>
                            </a:pathLst>
                          </a:custGeom>
                          <a:solidFill>
                            <a:srgbClr val="FF0000"/>
                          </a:solidFill>
                          <a:ln w="0" cap="flat">
                            <a:noFill/>
                            <a:round/>
                          </a:ln>
                          <a:effectLst/>
                        </wps:spPr>
                        <wps:bodyPr/>
                      </wps:wsp>
                      <wps:wsp>
                        <wps:cNvPr id="33392" name="Shape 33392"/>
                        <wps:cNvSpPr/>
                        <wps:spPr>
                          <a:xfrm>
                            <a:off x="2172462" y="2225421"/>
                            <a:ext cx="744474" cy="108204"/>
                          </a:xfrm>
                          <a:custGeom>
                            <a:avLst/>
                            <a:gdLst/>
                            <a:ahLst/>
                            <a:cxnLst/>
                            <a:rect l="0" t="0" r="0" b="0"/>
                            <a:pathLst>
                              <a:path w="744474" h="108204">
                                <a:moveTo>
                                  <a:pt x="0" y="0"/>
                                </a:moveTo>
                                <a:lnTo>
                                  <a:pt x="744474" y="0"/>
                                </a:lnTo>
                                <a:lnTo>
                                  <a:pt x="744474" y="108204"/>
                                </a:lnTo>
                                <a:lnTo>
                                  <a:pt x="0" y="108204"/>
                                </a:lnTo>
                                <a:lnTo>
                                  <a:pt x="0" y="0"/>
                                </a:lnTo>
                              </a:path>
                            </a:pathLst>
                          </a:custGeom>
                          <a:solidFill>
                            <a:srgbClr val="FF0000"/>
                          </a:solidFill>
                          <a:ln w="0" cap="flat">
                            <a:noFill/>
                            <a:round/>
                          </a:ln>
                          <a:effectLst/>
                        </wps:spPr>
                        <wps:bodyPr/>
                      </wps:wsp>
                      <wps:wsp>
                        <wps:cNvPr id="33393" name="Shape 33393"/>
                        <wps:cNvSpPr/>
                        <wps:spPr>
                          <a:xfrm>
                            <a:off x="2172462" y="2079117"/>
                            <a:ext cx="944118" cy="106680"/>
                          </a:xfrm>
                          <a:custGeom>
                            <a:avLst/>
                            <a:gdLst/>
                            <a:ahLst/>
                            <a:cxnLst/>
                            <a:rect l="0" t="0" r="0" b="0"/>
                            <a:pathLst>
                              <a:path w="944118" h="106680">
                                <a:moveTo>
                                  <a:pt x="0" y="0"/>
                                </a:moveTo>
                                <a:lnTo>
                                  <a:pt x="944118" y="0"/>
                                </a:lnTo>
                                <a:lnTo>
                                  <a:pt x="944118" y="106680"/>
                                </a:lnTo>
                                <a:lnTo>
                                  <a:pt x="0" y="106680"/>
                                </a:lnTo>
                                <a:lnTo>
                                  <a:pt x="0" y="0"/>
                                </a:lnTo>
                              </a:path>
                            </a:pathLst>
                          </a:custGeom>
                          <a:solidFill>
                            <a:srgbClr val="FF0000"/>
                          </a:solidFill>
                          <a:ln w="0" cap="flat">
                            <a:noFill/>
                            <a:round/>
                          </a:ln>
                          <a:effectLst/>
                        </wps:spPr>
                        <wps:bodyPr/>
                      </wps:wsp>
                      <wps:wsp>
                        <wps:cNvPr id="33394" name="Shape 33394"/>
                        <wps:cNvSpPr/>
                        <wps:spPr>
                          <a:xfrm>
                            <a:off x="2172462" y="1931289"/>
                            <a:ext cx="1175766" cy="108204"/>
                          </a:xfrm>
                          <a:custGeom>
                            <a:avLst/>
                            <a:gdLst/>
                            <a:ahLst/>
                            <a:cxnLst/>
                            <a:rect l="0" t="0" r="0" b="0"/>
                            <a:pathLst>
                              <a:path w="1175766" h="108204">
                                <a:moveTo>
                                  <a:pt x="0" y="0"/>
                                </a:moveTo>
                                <a:lnTo>
                                  <a:pt x="1175766" y="0"/>
                                </a:lnTo>
                                <a:lnTo>
                                  <a:pt x="1175766" y="108204"/>
                                </a:lnTo>
                                <a:lnTo>
                                  <a:pt x="0" y="108204"/>
                                </a:lnTo>
                                <a:lnTo>
                                  <a:pt x="0" y="0"/>
                                </a:lnTo>
                              </a:path>
                            </a:pathLst>
                          </a:custGeom>
                          <a:solidFill>
                            <a:srgbClr val="FF0000"/>
                          </a:solidFill>
                          <a:ln w="0" cap="flat">
                            <a:noFill/>
                            <a:round/>
                          </a:ln>
                          <a:effectLst/>
                        </wps:spPr>
                        <wps:bodyPr/>
                      </wps:wsp>
                      <wps:wsp>
                        <wps:cNvPr id="33395" name="Shape 33395"/>
                        <wps:cNvSpPr/>
                        <wps:spPr>
                          <a:xfrm>
                            <a:off x="2172462" y="1784985"/>
                            <a:ext cx="1218438" cy="108204"/>
                          </a:xfrm>
                          <a:custGeom>
                            <a:avLst/>
                            <a:gdLst/>
                            <a:ahLst/>
                            <a:cxnLst/>
                            <a:rect l="0" t="0" r="0" b="0"/>
                            <a:pathLst>
                              <a:path w="1218438" h="108204">
                                <a:moveTo>
                                  <a:pt x="0" y="0"/>
                                </a:moveTo>
                                <a:lnTo>
                                  <a:pt x="1218438" y="0"/>
                                </a:lnTo>
                                <a:lnTo>
                                  <a:pt x="1218438" y="108204"/>
                                </a:lnTo>
                                <a:lnTo>
                                  <a:pt x="0" y="108204"/>
                                </a:lnTo>
                                <a:lnTo>
                                  <a:pt x="0" y="0"/>
                                </a:lnTo>
                              </a:path>
                            </a:pathLst>
                          </a:custGeom>
                          <a:solidFill>
                            <a:srgbClr val="FF0000"/>
                          </a:solidFill>
                          <a:ln w="0" cap="flat">
                            <a:noFill/>
                            <a:round/>
                          </a:ln>
                          <a:effectLst/>
                        </wps:spPr>
                        <wps:bodyPr/>
                      </wps:wsp>
                      <wps:wsp>
                        <wps:cNvPr id="33396" name="Shape 33396"/>
                        <wps:cNvSpPr/>
                        <wps:spPr>
                          <a:xfrm>
                            <a:off x="2172462" y="1638681"/>
                            <a:ext cx="1376934" cy="108204"/>
                          </a:xfrm>
                          <a:custGeom>
                            <a:avLst/>
                            <a:gdLst/>
                            <a:ahLst/>
                            <a:cxnLst/>
                            <a:rect l="0" t="0" r="0" b="0"/>
                            <a:pathLst>
                              <a:path w="1376934" h="108204">
                                <a:moveTo>
                                  <a:pt x="0" y="0"/>
                                </a:moveTo>
                                <a:lnTo>
                                  <a:pt x="1376934" y="0"/>
                                </a:lnTo>
                                <a:lnTo>
                                  <a:pt x="1376934" y="108204"/>
                                </a:lnTo>
                                <a:lnTo>
                                  <a:pt x="0" y="108204"/>
                                </a:lnTo>
                                <a:lnTo>
                                  <a:pt x="0" y="0"/>
                                </a:lnTo>
                              </a:path>
                            </a:pathLst>
                          </a:custGeom>
                          <a:solidFill>
                            <a:srgbClr val="FF0000"/>
                          </a:solidFill>
                          <a:ln w="0" cap="flat">
                            <a:noFill/>
                            <a:round/>
                          </a:ln>
                          <a:effectLst/>
                        </wps:spPr>
                        <wps:bodyPr/>
                      </wps:wsp>
                      <wps:wsp>
                        <wps:cNvPr id="33397" name="Shape 33397"/>
                        <wps:cNvSpPr/>
                        <wps:spPr>
                          <a:xfrm>
                            <a:off x="2172462" y="1490853"/>
                            <a:ext cx="1378458" cy="108204"/>
                          </a:xfrm>
                          <a:custGeom>
                            <a:avLst/>
                            <a:gdLst/>
                            <a:ahLst/>
                            <a:cxnLst/>
                            <a:rect l="0" t="0" r="0" b="0"/>
                            <a:pathLst>
                              <a:path w="1378458" h="108204">
                                <a:moveTo>
                                  <a:pt x="0" y="0"/>
                                </a:moveTo>
                                <a:lnTo>
                                  <a:pt x="1378458" y="0"/>
                                </a:lnTo>
                                <a:lnTo>
                                  <a:pt x="1378458" y="108204"/>
                                </a:lnTo>
                                <a:lnTo>
                                  <a:pt x="0" y="108204"/>
                                </a:lnTo>
                                <a:lnTo>
                                  <a:pt x="0" y="0"/>
                                </a:lnTo>
                              </a:path>
                            </a:pathLst>
                          </a:custGeom>
                          <a:solidFill>
                            <a:srgbClr val="FF0000"/>
                          </a:solidFill>
                          <a:ln w="0" cap="flat">
                            <a:noFill/>
                            <a:round/>
                          </a:ln>
                          <a:effectLst/>
                        </wps:spPr>
                        <wps:bodyPr/>
                      </wps:wsp>
                      <wps:wsp>
                        <wps:cNvPr id="33398" name="Shape 33398"/>
                        <wps:cNvSpPr/>
                        <wps:spPr>
                          <a:xfrm>
                            <a:off x="2172462" y="1344549"/>
                            <a:ext cx="1305306" cy="108204"/>
                          </a:xfrm>
                          <a:custGeom>
                            <a:avLst/>
                            <a:gdLst/>
                            <a:ahLst/>
                            <a:cxnLst/>
                            <a:rect l="0" t="0" r="0" b="0"/>
                            <a:pathLst>
                              <a:path w="1305306" h="108204">
                                <a:moveTo>
                                  <a:pt x="0" y="0"/>
                                </a:moveTo>
                                <a:lnTo>
                                  <a:pt x="1305306" y="0"/>
                                </a:lnTo>
                                <a:lnTo>
                                  <a:pt x="1305306" y="108204"/>
                                </a:lnTo>
                                <a:lnTo>
                                  <a:pt x="0" y="108204"/>
                                </a:lnTo>
                                <a:lnTo>
                                  <a:pt x="0" y="0"/>
                                </a:lnTo>
                              </a:path>
                            </a:pathLst>
                          </a:custGeom>
                          <a:solidFill>
                            <a:srgbClr val="FF0000"/>
                          </a:solidFill>
                          <a:ln w="0" cap="flat">
                            <a:noFill/>
                            <a:round/>
                          </a:ln>
                          <a:effectLst/>
                        </wps:spPr>
                        <wps:bodyPr/>
                      </wps:wsp>
                      <wps:wsp>
                        <wps:cNvPr id="33399" name="Shape 33399"/>
                        <wps:cNvSpPr/>
                        <wps:spPr>
                          <a:xfrm>
                            <a:off x="2172462" y="1198245"/>
                            <a:ext cx="1349502" cy="108204"/>
                          </a:xfrm>
                          <a:custGeom>
                            <a:avLst/>
                            <a:gdLst/>
                            <a:ahLst/>
                            <a:cxnLst/>
                            <a:rect l="0" t="0" r="0" b="0"/>
                            <a:pathLst>
                              <a:path w="1349502" h="108204">
                                <a:moveTo>
                                  <a:pt x="0" y="0"/>
                                </a:moveTo>
                                <a:lnTo>
                                  <a:pt x="1349502" y="0"/>
                                </a:lnTo>
                                <a:lnTo>
                                  <a:pt x="1349502" y="108204"/>
                                </a:lnTo>
                                <a:lnTo>
                                  <a:pt x="0" y="108204"/>
                                </a:lnTo>
                                <a:lnTo>
                                  <a:pt x="0" y="0"/>
                                </a:lnTo>
                              </a:path>
                            </a:pathLst>
                          </a:custGeom>
                          <a:solidFill>
                            <a:srgbClr val="FF0000"/>
                          </a:solidFill>
                          <a:ln w="0" cap="flat">
                            <a:noFill/>
                            <a:round/>
                          </a:ln>
                          <a:effectLst/>
                        </wps:spPr>
                        <wps:bodyPr/>
                      </wps:wsp>
                      <wps:wsp>
                        <wps:cNvPr id="33400" name="Shape 33400"/>
                        <wps:cNvSpPr/>
                        <wps:spPr>
                          <a:xfrm>
                            <a:off x="2172462" y="1050417"/>
                            <a:ext cx="1405890" cy="108204"/>
                          </a:xfrm>
                          <a:custGeom>
                            <a:avLst/>
                            <a:gdLst/>
                            <a:ahLst/>
                            <a:cxnLst/>
                            <a:rect l="0" t="0" r="0" b="0"/>
                            <a:pathLst>
                              <a:path w="1405890" h="108204">
                                <a:moveTo>
                                  <a:pt x="0" y="0"/>
                                </a:moveTo>
                                <a:lnTo>
                                  <a:pt x="1405890" y="0"/>
                                </a:lnTo>
                                <a:lnTo>
                                  <a:pt x="1405890" y="108204"/>
                                </a:lnTo>
                                <a:lnTo>
                                  <a:pt x="0" y="108204"/>
                                </a:lnTo>
                                <a:lnTo>
                                  <a:pt x="0" y="0"/>
                                </a:lnTo>
                              </a:path>
                            </a:pathLst>
                          </a:custGeom>
                          <a:solidFill>
                            <a:srgbClr val="FF0000"/>
                          </a:solidFill>
                          <a:ln w="0" cap="flat">
                            <a:noFill/>
                            <a:round/>
                          </a:ln>
                          <a:effectLst/>
                        </wps:spPr>
                        <wps:bodyPr/>
                      </wps:wsp>
                      <wps:wsp>
                        <wps:cNvPr id="33401" name="Shape 33401"/>
                        <wps:cNvSpPr/>
                        <wps:spPr>
                          <a:xfrm>
                            <a:off x="2172462" y="904113"/>
                            <a:ext cx="1381506" cy="108204"/>
                          </a:xfrm>
                          <a:custGeom>
                            <a:avLst/>
                            <a:gdLst/>
                            <a:ahLst/>
                            <a:cxnLst/>
                            <a:rect l="0" t="0" r="0" b="0"/>
                            <a:pathLst>
                              <a:path w="1381506" h="108204">
                                <a:moveTo>
                                  <a:pt x="0" y="0"/>
                                </a:moveTo>
                                <a:lnTo>
                                  <a:pt x="1381506" y="0"/>
                                </a:lnTo>
                                <a:lnTo>
                                  <a:pt x="1381506" y="108204"/>
                                </a:lnTo>
                                <a:lnTo>
                                  <a:pt x="0" y="108204"/>
                                </a:lnTo>
                                <a:lnTo>
                                  <a:pt x="0" y="0"/>
                                </a:lnTo>
                              </a:path>
                            </a:pathLst>
                          </a:custGeom>
                          <a:solidFill>
                            <a:srgbClr val="FF0000"/>
                          </a:solidFill>
                          <a:ln w="0" cap="flat">
                            <a:noFill/>
                            <a:round/>
                          </a:ln>
                          <a:effectLst/>
                        </wps:spPr>
                        <wps:bodyPr/>
                      </wps:wsp>
                      <wps:wsp>
                        <wps:cNvPr id="33402" name="Shape 33402"/>
                        <wps:cNvSpPr/>
                        <wps:spPr>
                          <a:xfrm>
                            <a:off x="2172462" y="757809"/>
                            <a:ext cx="1203198" cy="108204"/>
                          </a:xfrm>
                          <a:custGeom>
                            <a:avLst/>
                            <a:gdLst/>
                            <a:ahLst/>
                            <a:cxnLst/>
                            <a:rect l="0" t="0" r="0" b="0"/>
                            <a:pathLst>
                              <a:path w="1203198" h="108204">
                                <a:moveTo>
                                  <a:pt x="0" y="0"/>
                                </a:moveTo>
                                <a:lnTo>
                                  <a:pt x="1203198" y="0"/>
                                </a:lnTo>
                                <a:lnTo>
                                  <a:pt x="1203198" y="108204"/>
                                </a:lnTo>
                                <a:lnTo>
                                  <a:pt x="0" y="108204"/>
                                </a:lnTo>
                                <a:lnTo>
                                  <a:pt x="0" y="0"/>
                                </a:lnTo>
                              </a:path>
                            </a:pathLst>
                          </a:custGeom>
                          <a:solidFill>
                            <a:srgbClr val="FF0000"/>
                          </a:solidFill>
                          <a:ln w="0" cap="flat">
                            <a:noFill/>
                            <a:round/>
                          </a:ln>
                          <a:effectLst/>
                        </wps:spPr>
                        <wps:bodyPr/>
                      </wps:wsp>
                      <wps:wsp>
                        <wps:cNvPr id="33403" name="Shape 33403"/>
                        <wps:cNvSpPr/>
                        <wps:spPr>
                          <a:xfrm>
                            <a:off x="2172462" y="611505"/>
                            <a:ext cx="741426" cy="106680"/>
                          </a:xfrm>
                          <a:custGeom>
                            <a:avLst/>
                            <a:gdLst/>
                            <a:ahLst/>
                            <a:cxnLst/>
                            <a:rect l="0" t="0" r="0" b="0"/>
                            <a:pathLst>
                              <a:path w="741426" h="106680">
                                <a:moveTo>
                                  <a:pt x="0" y="0"/>
                                </a:moveTo>
                                <a:lnTo>
                                  <a:pt x="741426" y="0"/>
                                </a:lnTo>
                                <a:lnTo>
                                  <a:pt x="741426" y="106680"/>
                                </a:lnTo>
                                <a:lnTo>
                                  <a:pt x="0" y="106680"/>
                                </a:lnTo>
                                <a:lnTo>
                                  <a:pt x="0" y="0"/>
                                </a:lnTo>
                              </a:path>
                            </a:pathLst>
                          </a:custGeom>
                          <a:solidFill>
                            <a:srgbClr val="FF0000"/>
                          </a:solidFill>
                          <a:ln w="0" cap="flat">
                            <a:noFill/>
                            <a:round/>
                          </a:ln>
                          <a:effectLst/>
                        </wps:spPr>
                        <wps:bodyPr/>
                      </wps:wsp>
                      <wps:wsp>
                        <wps:cNvPr id="33404" name="Shape 33404"/>
                        <wps:cNvSpPr/>
                        <wps:spPr>
                          <a:xfrm>
                            <a:off x="2172462" y="463677"/>
                            <a:ext cx="403098" cy="108204"/>
                          </a:xfrm>
                          <a:custGeom>
                            <a:avLst/>
                            <a:gdLst/>
                            <a:ahLst/>
                            <a:cxnLst/>
                            <a:rect l="0" t="0" r="0" b="0"/>
                            <a:pathLst>
                              <a:path w="403098" h="108204">
                                <a:moveTo>
                                  <a:pt x="0" y="0"/>
                                </a:moveTo>
                                <a:lnTo>
                                  <a:pt x="403098" y="0"/>
                                </a:lnTo>
                                <a:lnTo>
                                  <a:pt x="403098" y="108204"/>
                                </a:lnTo>
                                <a:lnTo>
                                  <a:pt x="0" y="108204"/>
                                </a:lnTo>
                                <a:lnTo>
                                  <a:pt x="0" y="0"/>
                                </a:lnTo>
                              </a:path>
                            </a:pathLst>
                          </a:custGeom>
                          <a:solidFill>
                            <a:srgbClr val="FF0000"/>
                          </a:solidFill>
                          <a:ln w="0" cap="flat">
                            <a:noFill/>
                            <a:round/>
                          </a:ln>
                          <a:effectLst/>
                        </wps:spPr>
                        <wps:bodyPr/>
                      </wps:wsp>
                      <wps:wsp>
                        <wps:cNvPr id="33405" name="Shape 33405"/>
                        <wps:cNvSpPr/>
                        <wps:spPr>
                          <a:xfrm>
                            <a:off x="2172462" y="317373"/>
                            <a:ext cx="148590" cy="108204"/>
                          </a:xfrm>
                          <a:custGeom>
                            <a:avLst/>
                            <a:gdLst/>
                            <a:ahLst/>
                            <a:cxnLst/>
                            <a:rect l="0" t="0" r="0" b="0"/>
                            <a:pathLst>
                              <a:path w="148590" h="108204">
                                <a:moveTo>
                                  <a:pt x="0" y="0"/>
                                </a:moveTo>
                                <a:lnTo>
                                  <a:pt x="148590" y="0"/>
                                </a:lnTo>
                                <a:lnTo>
                                  <a:pt x="148590" y="108204"/>
                                </a:lnTo>
                                <a:lnTo>
                                  <a:pt x="0" y="108204"/>
                                </a:lnTo>
                                <a:lnTo>
                                  <a:pt x="0" y="0"/>
                                </a:lnTo>
                              </a:path>
                            </a:pathLst>
                          </a:custGeom>
                          <a:solidFill>
                            <a:srgbClr val="FF0000"/>
                          </a:solidFill>
                          <a:ln w="0" cap="flat">
                            <a:noFill/>
                            <a:round/>
                          </a:ln>
                          <a:effectLst/>
                        </wps:spPr>
                        <wps:bodyPr/>
                      </wps:wsp>
                      <wps:wsp>
                        <wps:cNvPr id="33406" name="Shape 33406"/>
                        <wps:cNvSpPr/>
                        <wps:spPr>
                          <a:xfrm>
                            <a:off x="2172462" y="171069"/>
                            <a:ext cx="23622" cy="106680"/>
                          </a:xfrm>
                          <a:custGeom>
                            <a:avLst/>
                            <a:gdLst/>
                            <a:ahLst/>
                            <a:cxnLst/>
                            <a:rect l="0" t="0" r="0" b="0"/>
                            <a:pathLst>
                              <a:path w="23622" h="106680">
                                <a:moveTo>
                                  <a:pt x="0" y="0"/>
                                </a:moveTo>
                                <a:lnTo>
                                  <a:pt x="23622" y="0"/>
                                </a:lnTo>
                                <a:lnTo>
                                  <a:pt x="23622" y="106680"/>
                                </a:lnTo>
                                <a:lnTo>
                                  <a:pt x="0" y="106680"/>
                                </a:lnTo>
                                <a:lnTo>
                                  <a:pt x="0" y="0"/>
                                </a:lnTo>
                              </a:path>
                            </a:pathLst>
                          </a:custGeom>
                          <a:solidFill>
                            <a:srgbClr val="FF0000"/>
                          </a:solidFill>
                          <a:ln w="0" cap="flat">
                            <a:noFill/>
                            <a:round/>
                          </a:ln>
                          <a:effectLst/>
                        </wps:spPr>
                        <wps:bodyPr/>
                      </wps:wsp>
                      <wps:wsp>
                        <wps:cNvPr id="33407" name="Shape 33407"/>
                        <wps:cNvSpPr/>
                        <wps:spPr>
                          <a:xfrm>
                            <a:off x="2172462" y="23241"/>
                            <a:ext cx="9144" cy="108204"/>
                          </a:xfrm>
                          <a:custGeom>
                            <a:avLst/>
                            <a:gdLst/>
                            <a:ahLst/>
                            <a:cxnLst/>
                            <a:rect l="0" t="0" r="0" b="0"/>
                            <a:pathLst>
                              <a:path w="9144" h="108204">
                                <a:moveTo>
                                  <a:pt x="0" y="0"/>
                                </a:moveTo>
                                <a:lnTo>
                                  <a:pt x="9144" y="0"/>
                                </a:lnTo>
                                <a:lnTo>
                                  <a:pt x="9144" y="108204"/>
                                </a:lnTo>
                                <a:lnTo>
                                  <a:pt x="0" y="108204"/>
                                </a:lnTo>
                                <a:lnTo>
                                  <a:pt x="0" y="0"/>
                                </a:lnTo>
                              </a:path>
                            </a:pathLst>
                          </a:custGeom>
                          <a:solidFill>
                            <a:srgbClr val="FF0000"/>
                          </a:solidFill>
                          <a:ln w="0" cap="flat">
                            <a:noFill/>
                            <a:round/>
                          </a:ln>
                          <a:effectLst/>
                        </wps:spPr>
                        <wps:bodyPr/>
                      </wps:wsp>
                      <wps:wsp>
                        <wps:cNvPr id="204" name="Shape 204"/>
                        <wps:cNvSpPr/>
                        <wps:spPr>
                          <a:xfrm>
                            <a:off x="2172462" y="2958465"/>
                            <a:ext cx="788670" cy="108203"/>
                          </a:xfrm>
                          <a:custGeom>
                            <a:avLst/>
                            <a:gdLst/>
                            <a:ahLst/>
                            <a:cxnLst/>
                            <a:rect l="0" t="0" r="0" b="0"/>
                            <a:pathLst>
                              <a:path w="788670" h="108203">
                                <a:moveTo>
                                  <a:pt x="788670" y="108203"/>
                                </a:moveTo>
                                <a:lnTo>
                                  <a:pt x="0" y="108203"/>
                                </a:lnTo>
                                <a:lnTo>
                                  <a:pt x="0" y="0"/>
                                </a:lnTo>
                                <a:lnTo>
                                  <a:pt x="788670" y="0"/>
                                </a:lnTo>
                                <a:close/>
                              </a:path>
                            </a:pathLst>
                          </a:custGeom>
                          <a:noFill/>
                          <a:ln w="12700" cap="flat" cmpd="sng" algn="ctr">
                            <a:solidFill>
                              <a:srgbClr val="FF0000"/>
                            </a:solidFill>
                            <a:prstDash val="solid"/>
                            <a:round/>
                          </a:ln>
                          <a:effectLst/>
                        </wps:spPr>
                        <wps:bodyPr/>
                      </wps:wsp>
                      <wps:wsp>
                        <wps:cNvPr id="205" name="Shape 205"/>
                        <wps:cNvSpPr/>
                        <wps:spPr>
                          <a:xfrm>
                            <a:off x="2172462" y="2812161"/>
                            <a:ext cx="837438" cy="108204"/>
                          </a:xfrm>
                          <a:custGeom>
                            <a:avLst/>
                            <a:gdLst/>
                            <a:ahLst/>
                            <a:cxnLst/>
                            <a:rect l="0" t="0" r="0" b="0"/>
                            <a:pathLst>
                              <a:path w="837438" h="108204">
                                <a:moveTo>
                                  <a:pt x="837438" y="108204"/>
                                </a:moveTo>
                                <a:lnTo>
                                  <a:pt x="0" y="108204"/>
                                </a:lnTo>
                                <a:lnTo>
                                  <a:pt x="0" y="0"/>
                                </a:lnTo>
                                <a:lnTo>
                                  <a:pt x="837438" y="0"/>
                                </a:lnTo>
                                <a:close/>
                              </a:path>
                            </a:pathLst>
                          </a:custGeom>
                          <a:noFill/>
                          <a:ln w="12700" cap="flat" cmpd="sng" algn="ctr">
                            <a:solidFill>
                              <a:srgbClr val="FF0000"/>
                            </a:solidFill>
                            <a:prstDash val="solid"/>
                            <a:round/>
                          </a:ln>
                          <a:effectLst/>
                        </wps:spPr>
                        <wps:bodyPr/>
                      </wps:wsp>
                      <wps:wsp>
                        <wps:cNvPr id="206" name="Shape 206"/>
                        <wps:cNvSpPr/>
                        <wps:spPr>
                          <a:xfrm>
                            <a:off x="2172462" y="2665858"/>
                            <a:ext cx="864870" cy="108203"/>
                          </a:xfrm>
                          <a:custGeom>
                            <a:avLst/>
                            <a:gdLst/>
                            <a:ahLst/>
                            <a:cxnLst/>
                            <a:rect l="0" t="0" r="0" b="0"/>
                            <a:pathLst>
                              <a:path w="864870" h="108203">
                                <a:moveTo>
                                  <a:pt x="864870" y="108203"/>
                                </a:moveTo>
                                <a:lnTo>
                                  <a:pt x="0" y="108203"/>
                                </a:lnTo>
                                <a:lnTo>
                                  <a:pt x="0" y="0"/>
                                </a:lnTo>
                                <a:lnTo>
                                  <a:pt x="864870" y="0"/>
                                </a:lnTo>
                                <a:close/>
                              </a:path>
                            </a:pathLst>
                          </a:custGeom>
                          <a:noFill/>
                          <a:ln w="12700" cap="flat" cmpd="sng" algn="ctr">
                            <a:solidFill>
                              <a:srgbClr val="FF0000"/>
                            </a:solidFill>
                            <a:prstDash val="solid"/>
                            <a:round/>
                          </a:ln>
                          <a:effectLst/>
                        </wps:spPr>
                        <wps:bodyPr/>
                      </wps:wsp>
                      <wps:wsp>
                        <wps:cNvPr id="207" name="Shape 207"/>
                        <wps:cNvSpPr/>
                        <wps:spPr>
                          <a:xfrm>
                            <a:off x="2172462" y="2519553"/>
                            <a:ext cx="892302" cy="106680"/>
                          </a:xfrm>
                          <a:custGeom>
                            <a:avLst/>
                            <a:gdLst/>
                            <a:ahLst/>
                            <a:cxnLst/>
                            <a:rect l="0" t="0" r="0" b="0"/>
                            <a:pathLst>
                              <a:path w="892302" h="106680">
                                <a:moveTo>
                                  <a:pt x="892302" y="106680"/>
                                </a:moveTo>
                                <a:lnTo>
                                  <a:pt x="0" y="106680"/>
                                </a:lnTo>
                                <a:lnTo>
                                  <a:pt x="0" y="0"/>
                                </a:lnTo>
                                <a:lnTo>
                                  <a:pt x="892302" y="0"/>
                                </a:lnTo>
                                <a:close/>
                              </a:path>
                            </a:pathLst>
                          </a:custGeom>
                          <a:noFill/>
                          <a:ln w="12700" cap="flat" cmpd="sng" algn="ctr">
                            <a:solidFill>
                              <a:srgbClr val="FF0000"/>
                            </a:solidFill>
                            <a:prstDash val="solid"/>
                            <a:round/>
                          </a:ln>
                          <a:effectLst/>
                        </wps:spPr>
                        <wps:bodyPr/>
                      </wps:wsp>
                      <wps:wsp>
                        <wps:cNvPr id="208" name="Shape 208"/>
                        <wps:cNvSpPr/>
                        <wps:spPr>
                          <a:xfrm>
                            <a:off x="2172462" y="2371725"/>
                            <a:ext cx="781050" cy="108204"/>
                          </a:xfrm>
                          <a:custGeom>
                            <a:avLst/>
                            <a:gdLst/>
                            <a:ahLst/>
                            <a:cxnLst/>
                            <a:rect l="0" t="0" r="0" b="0"/>
                            <a:pathLst>
                              <a:path w="781050" h="108204">
                                <a:moveTo>
                                  <a:pt x="781050" y="108204"/>
                                </a:moveTo>
                                <a:lnTo>
                                  <a:pt x="0" y="108204"/>
                                </a:lnTo>
                                <a:lnTo>
                                  <a:pt x="0" y="0"/>
                                </a:lnTo>
                                <a:lnTo>
                                  <a:pt x="781050" y="0"/>
                                </a:lnTo>
                                <a:close/>
                              </a:path>
                            </a:pathLst>
                          </a:custGeom>
                          <a:noFill/>
                          <a:ln w="12700" cap="flat" cmpd="sng" algn="ctr">
                            <a:solidFill>
                              <a:srgbClr val="FF0000"/>
                            </a:solidFill>
                            <a:prstDash val="solid"/>
                            <a:round/>
                          </a:ln>
                          <a:effectLst/>
                        </wps:spPr>
                        <wps:bodyPr/>
                      </wps:wsp>
                      <wps:wsp>
                        <wps:cNvPr id="209" name="Shape 209"/>
                        <wps:cNvSpPr/>
                        <wps:spPr>
                          <a:xfrm>
                            <a:off x="2172462" y="2225421"/>
                            <a:ext cx="744474" cy="108204"/>
                          </a:xfrm>
                          <a:custGeom>
                            <a:avLst/>
                            <a:gdLst/>
                            <a:ahLst/>
                            <a:cxnLst/>
                            <a:rect l="0" t="0" r="0" b="0"/>
                            <a:pathLst>
                              <a:path w="744474" h="108204">
                                <a:moveTo>
                                  <a:pt x="744474" y="108204"/>
                                </a:moveTo>
                                <a:lnTo>
                                  <a:pt x="0" y="108204"/>
                                </a:lnTo>
                                <a:lnTo>
                                  <a:pt x="0" y="0"/>
                                </a:lnTo>
                                <a:lnTo>
                                  <a:pt x="744474" y="0"/>
                                </a:lnTo>
                                <a:close/>
                              </a:path>
                            </a:pathLst>
                          </a:custGeom>
                          <a:noFill/>
                          <a:ln w="12700" cap="flat" cmpd="sng" algn="ctr">
                            <a:solidFill>
                              <a:srgbClr val="FF0000"/>
                            </a:solidFill>
                            <a:prstDash val="solid"/>
                            <a:round/>
                          </a:ln>
                          <a:effectLst/>
                        </wps:spPr>
                        <wps:bodyPr/>
                      </wps:wsp>
                      <wps:wsp>
                        <wps:cNvPr id="210" name="Shape 210"/>
                        <wps:cNvSpPr/>
                        <wps:spPr>
                          <a:xfrm>
                            <a:off x="2172462" y="2079117"/>
                            <a:ext cx="944118" cy="106680"/>
                          </a:xfrm>
                          <a:custGeom>
                            <a:avLst/>
                            <a:gdLst/>
                            <a:ahLst/>
                            <a:cxnLst/>
                            <a:rect l="0" t="0" r="0" b="0"/>
                            <a:pathLst>
                              <a:path w="944118" h="106680">
                                <a:moveTo>
                                  <a:pt x="944118" y="106680"/>
                                </a:moveTo>
                                <a:lnTo>
                                  <a:pt x="0" y="106680"/>
                                </a:lnTo>
                                <a:lnTo>
                                  <a:pt x="0" y="0"/>
                                </a:lnTo>
                                <a:lnTo>
                                  <a:pt x="944118" y="0"/>
                                </a:lnTo>
                                <a:close/>
                              </a:path>
                            </a:pathLst>
                          </a:custGeom>
                          <a:noFill/>
                          <a:ln w="12700" cap="flat" cmpd="sng" algn="ctr">
                            <a:solidFill>
                              <a:srgbClr val="FF0000"/>
                            </a:solidFill>
                            <a:prstDash val="solid"/>
                            <a:round/>
                          </a:ln>
                          <a:effectLst/>
                        </wps:spPr>
                        <wps:bodyPr/>
                      </wps:wsp>
                      <wps:wsp>
                        <wps:cNvPr id="211" name="Shape 211"/>
                        <wps:cNvSpPr/>
                        <wps:spPr>
                          <a:xfrm>
                            <a:off x="2172462" y="1931289"/>
                            <a:ext cx="1175766" cy="108204"/>
                          </a:xfrm>
                          <a:custGeom>
                            <a:avLst/>
                            <a:gdLst/>
                            <a:ahLst/>
                            <a:cxnLst/>
                            <a:rect l="0" t="0" r="0" b="0"/>
                            <a:pathLst>
                              <a:path w="1175766" h="108204">
                                <a:moveTo>
                                  <a:pt x="1175766" y="108204"/>
                                </a:moveTo>
                                <a:lnTo>
                                  <a:pt x="0" y="108204"/>
                                </a:lnTo>
                                <a:lnTo>
                                  <a:pt x="0" y="0"/>
                                </a:lnTo>
                                <a:lnTo>
                                  <a:pt x="1175766" y="0"/>
                                </a:lnTo>
                                <a:close/>
                              </a:path>
                            </a:pathLst>
                          </a:custGeom>
                          <a:noFill/>
                          <a:ln w="12700" cap="flat" cmpd="sng" algn="ctr">
                            <a:solidFill>
                              <a:srgbClr val="FF0000"/>
                            </a:solidFill>
                            <a:prstDash val="solid"/>
                            <a:round/>
                          </a:ln>
                          <a:effectLst/>
                        </wps:spPr>
                        <wps:bodyPr/>
                      </wps:wsp>
                      <wps:wsp>
                        <wps:cNvPr id="212" name="Shape 212"/>
                        <wps:cNvSpPr/>
                        <wps:spPr>
                          <a:xfrm>
                            <a:off x="2172462" y="1784985"/>
                            <a:ext cx="1218438" cy="108204"/>
                          </a:xfrm>
                          <a:custGeom>
                            <a:avLst/>
                            <a:gdLst/>
                            <a:ahLst/>
                            <a:cxnLst/>
                            <a:rect l="0" t="0" r="0" b="0"/>
                            <a:pathLst>
                              <a:path w="1218438" h="108204">
                                <a:moveTo>
                                  <a:pt x="1218438" y="108204"/>
                                </a:moveTo>
                                <a:lnTo>
                                  <a:pt x="0" y="108204"/>
                                </a:lnTo>
                                <a:lnTo>
                                  <a:pt x="0" y="0"/>
                                </a:lnTo>
                                <a:lnTo>
                                  <a:pt x="1218438" y="0"/>
                                </a:lnTo>
                                <a:close/>
                              </a:path>
                            </a:pathLst>
                          </a:custGeom>
                          <a:noFill/>
                          <a:ln w="12700" cap="flat" cmpd="sng" algn="ctr">
                            <a:solidFill>
                              <a:srgbClr val="FF0000"/>
                            </a:solidFill>
                            <a:prstDash val="solid"/>
                            <a:round/>
                          </a:ln>
                          <a:effectLst/>
                        </wps:spPr>
                        <wps:bodyPr/>
                      </wps:wsp>
                      <wps:wsp>
                        <wps:cNvPr id="213" name="Shape 213"/>
                        <wps:cNvSpPr/>
                        <wps:spPr>
                          <a:xfrm>
                            <a:off x="2172462" y="1638681"/>
                            <a:ext cx="1376934" cy="108204"/>
                          </a:xfrm>
                          <a:custGeom>
                            <a:avLst/>
                            <a:gdLst/>
                            <a:ahLst/>
                            <a:cxnLst/>
                            <a:rect l="0" t="0" r="0" b="0"/>
                            <a:pathLst>
                              <a:path w="1376934" h="108204">
                                <a:moveTo>
                                  <a:pt x="1376934" y="108204"/>
                                </a:moveTo>
                                <a:lnTo>
                                  <a:pt x="0" y="108204"/>
                                </a:lnTo>
                                <a:lnTo>
                                  <a:pt x="0" y="0"/>
                                </a:lnTo>
                                <a:lnTo>
                                  <a:pt x="1376934" y="0"/>
                                </a:lnTo>
                                <a:close/>
                              </a:path>
                            </a:pathLst>
                          </a:custGeom>
                          <a:noFill/>
                          <a:ln w="12700" cap="flat" cmpd="sng" algn="ctr">
                            <a:solidFill>
                              <a:srgbClr val="FF0000"/>
                            </a:solidFill>
                            <a:prstDash val="solid"/>
                            <a:round/>
                          </a:ln>
                          <a:effectLst/>
                        </wps:spPr>
                        <wps:bodyPr/>
                      </wps:wsp>
                      <wps:wsp>
                        <wps:cNvPr id="214" name="Shape 214"/>
                        <wps:cNvSpPr/>
                        <wps:spPr>
                          <a:xfrm>
                            <a:off x="2172462" y="1490853"/>
                            <a:ext cx="1378458" cy="108204"/>
                          </a:xfrm>
                          <a:custGeom>
                            <a:avLst/>
                            <a:gdLst/>
                            <a:ahLst/>
                            <a:cxnLst/>
                            <a:rect l="0" t="0" r="0" b="0"/>
                            <a:pathLst>
                              <a:path w="1378458" h="108204">
                                <a:moveTo>
                                  <a:pt x="1378458" y="108204"/>
                                </a:moveTo>
                                <a:lnTo>
                                  <a:pt x="0" y="108204"/>
                                </a:lnTo>
                                <a:lnTo>
                                  <a:pt x="0" y="0"/>
                                </a:lnTo>
                                <a:lnTo>
                                  <a:pt x="1378458" y="0"/>
                                </a:lnTo>
                                <a:close/>
                              </a:path>
                            </a:pathLst>
                          </a:custGeom>
                          <a:noFill/>
                          <a:ln w="12700" cap="flat" cmpd="sng" algn="ctr">
                            <a:solidFill>
                              <a:srgbClr val="FF0000"/>
                            </a:solidFill>
                            <a:prstDash val="solid"/>
                            <a:round/>
                          </a:ln>
                          <a:effectLst/>
                        </wps:spPr>
                        <wps:bodyPr/>
                      </wps:wsp>
                      <wps:wsp>
                        <wps:cNvPr id="215" name="Shape 215"/>
                        <wps:cNvSpPr/>
                        <wps:spPr>
                          <a:xfrm>
                            <a:off x="2172462" y="1344549"/>
                            <a:ext cx="1305306" cy="108204"/>
                          </a:xfrm>
                          <a:custGeom>
                            <a:avLst/>
                            <a:gdLst/>
                            <a:ahLst/>
                            <a:cxnLst/>
                            <a:rect l="0" t="0" r="0" b="0"/>
                            <a:pathLst>
                              <a:path w="1305306" h="108204">
                                <a:moveTo>
                                  <a:pt x="1305306" y="108204"/>
                                </a:moveTo>
                                <a:lnTo>
                                  <a:pt x="0" y="108204"/>
                                </a:lnTo>
                                <a:lnTo>
                                  <a:pt x="0" y="0"/>
                                </a:lnTo>
                                <a:lnTo>
                                  <a:pt x="1305306" y="0"/>
                                </a:lnTo>
                                <a:close/>
                              </a:path>
                            </a:pathLst>
                          </a:custGeom>
                          <a:noFill/>
                          <a:ln w="12700" cap="flat" cmpd="sng" algn="ctr">
                            <a:solidFill>
                              <a:srgbClr val="FF0000"/>
                            </a:solidFill>
                            <a:prstDash val="solid"/>
                            <a:round/>
                          </a:ln>
                          <a:effectLst/>
                        </wps:spPr>
                        <wps:bodyPr/>
                      </wps:wsp>
                      <wps:wsp>
                        <wps:cNvPr id="216" name="Shape 216"/>
                        <wps:cNvSpPr/>
                        <wps:spPr>
                          <a:xfrm>
                            <a:off x="2172462" y="1198245"/>
                            <a:ext cx="1349502" cy="108204"/>
                          </a:xfrm>
                          <a:custGeom>
                            <a:avLst/>
                            <a:gdLst/>
                            <a:ahLst/>
                            <a:cxnLst/>
                            <a:rect l="0" t="0" r="0" b="0"/>
                            <a:pathLst>
                              <a:path w="1349502" h="108204">
                                <a:moveTo>
                                  <a:pt x="1349502" y="108204"/>
                                </a:moveTo>
                                <a:lnTo>
                                  <a:pt x="0" y="108204"/>
                                </a:lnTo>
                                <a:lnTo>
                                  <a:pt x="0" y="0"/>
                                </a:lnTo>
                                <a:lnTo>
                                  <a:pt x="1349502" y="0"/>
                                </a:lnTo>
                                <a:close/>
                              </a:path>
                            </a:pathLst>
                          </a:custGeom>
                          <a:noFill/>
                          <a:ln w="12700" cap="flat" cmpd="sng" algn="ctr">
                            <a:solidFill>
                              <a:srgbClr val="FF0000"/>
                            </a:solidFill>
                            <a:prstDash val="solid"/>
                            <a:round/>
                          </a:ln>
                          <a:effectLst/>
                        </wps:spPr>
                        <wps:bodyPr/>
                      </wps:wsp>
                      <wps:wsp>
                        <wps:cNvPr id="217" name="Shape 217"/>
                        <wps:cNvSpPr/>
                        <wps:spPr>
                          <a:xfrm>
                            <a:off x="2172462" y="1050417"/>
                            <a:ext cx="1405890" cy="108204"/>
                          </a:xfrm>
                          <a:custGeom>
                            <a:avLst/>
                            <a:gdLst/>
                            <a:ahLst/>
                            <a:cxnLst/>
                            <a:rect l="0" t="0" r="0" b="0"/>
                            <a:pathLst>
                              <a:path w="1405890" h="108204">
                                <a:moveTo>
                                  <a:pt x="1405890" y="108204"/>
                                </a:moveTo>
                                <a:lnTo>
                                  <a:pt x="0" y="108204"/>
                                </a:lnTo>
                                <a:lnTo>
                                  <a:pt x="0" y="0"/>
                                </a:lnTo>
                                <a:lnTo>
                                  <a:pt x="1405890" y="0"/>
                                </a:lnTo>
                                <a:close/>
                              </a:path>
                            </a:pathLst>
                          </a:custGeom>
                          <a:noFill/>
                          <a:ln w="12700" cap="flat" cmpd="sng" algn="ctr">
                            <a:solidFill>
                              <a:srgbClr val="FF0000"/>
                            </a:solidFill>
                            <a:prstDash val="solid"/>
                            <a:round/>
                          </a:ln>
                          <a:effectLst/>
                        </wps:spPr>
                        <wps:bodyPr/>
                      </wps:wsp>
                      <wps:wsp>
                        <wps:cNvPr id="218" name="Shape 218"/>
                        <wps:cNvSpPr/>
                        <wps:spPr>
                          <a:xfrm>
                            <a:off x="2172462" y="904113"/>
                            <a:ext cx="1381506" cy="108204"/>
                          </a:xfrm>
                          <a:custGeom>
                            <a:avLst/>
                            <a:gdLst/>
                            <a:ahLst/>
                            <a:cxnLst/>
                            <a:rect l="0" t="0" r="0" b="0"/>
                            <a:pathLst>
                              <a:path w="1381506" h="108204">
                                <a:moveTo>
                                  <a:pt x="1381506" y="108204"/>
                                </a:moveTo>
                                <a:lnTo>
                                  <a:pt x="0" y="108204"/>
                                </a:lnTo>
                                <a:lnTo>
                                  <a:pt x="0" y="0"/>
                                </a:lnTo>
                                <a:lnTo>
                                  <a:pt x="1381506" y="0"/>
                                </a:lnTo>
                                <a:close/>
                              </a:path>
                            </a:pathLst>
                          </a:custGeom>
                          <a:noFill/>
                          <a:ln w="12700" cap="flat" cmpd="sng" algn="ctr">
                            <a:solidFill>
                              <a:srgbClr val="FF0000"/>
                            </a:solidFill>
                            <a:prstDash val="solid"/>
                            <a:round/>
                          </a:ln>
                          <a:effectLst/>
                        </wps:spPr>
                        <wps:bodyPr/>
                      </wps:wsp>
                      <wps:wsp>
                        <wps:cNvPr id="219" name="Shape 219"/>
                        <wps:cNvSpPr/>
                        <wps:spPr>
                          <a:xfrm>
                            <a:off x="2172462" y="757809"/>
                            <a:ext cx="1203198" cy="108204"/>
                          </a:xfrm>
                          <a:custGeom>
                            <a:avLst/>
                            <a:gdLst/>
                            <a:ahLst/>
                            <a:cxnLst/>
                            <a:rect l="0" t="0" r="0" b="0"/>
                            <a:pathLst>
                              <a:path w="1203198" h="108204">
                                <a:moveTo>
                                  <a:pt x="1203198" y="108204"/>
                                </a:moveTo>
                                <a:lnTo>
                                  <a:pt x="0" y="108204"/>
                                </a:lnTo>
                                <a:lnTo>
                                  <a:pt x="0" y="0"/>
                                </a:lnTo>
                                <a:lnTo>
                                  <a:pt x="1203198" y="0"/>
                                </a:lnTo>
                                <a:close/>
                              </a:path>
                            </a:pathLst>
                          </a:custGeom>
                          <a:noFill/>
                          <a:ln w="12700" cap="flat" cmpd="sng" algn="ctr">
                            <a:solidFill>
                              <a:srgbClr val="FF0000"/>
                            </a:solidFill>
                            <a:prstDash val="solid"/>
                            <a:round/>
                          </a:ln>
                          <a:effectLst/>
                        </wps:spPr>
                        <wps:bodyPr/>
                      </wps:wsp>
                      <wps:wsp>
                        <wps:cNvPr id="220" name="Shape 220"/>
                        <wps:cNvSpPr/>
                        <wps:spPr>
                          <a:xfrm>
                            <a:off x="2172462" y="611505"/>
                            <a:ext cx="741426" cy="106680"/>
                          </a:xfrm>
                          <a:custGeom>
                            <a:avLst/>
                            <a:gdLst/>
                            <a:ahLst/>
                            <a:cxnLst/>
                            <a:rect l="0" t="0" r="0" b="0"/>
                            <a:pathLst>
                              <a:path w="741426" h="106680">
                                <a:moveTo>
                                  <a:pt x="741426" y="106680"/>
                                </a:moveTo>
                                <a:lnTo>
                                  <a:pt x="0" y="106680"/>
                                </a:lnTo>
                                <a:lnTo>
                                  <a:pt x="0" y="0"/>
                                </a:lnTo>
                                <a:lnTo>
                                  <a:pt x="741426" y="0"/>
                                </a:lnTo>
                                <a:close/>
                              </a:path>
                            </a:pathLst>
                          </a:custGeom>
                          <a:noFill/>
                          <a:ln w="12700" cap="flat" cmpd="sng" algn="ctr">
                            <a:solidFill>
                              <a:srgbClr val="FF0000"/>
                            </a:solidFill>
                            <a:prstDash val="solid"/>
                            <a:round/>
                          </a:ln>
                          <a:effectLst/>
                        </wps:spPr>
                        <wps:bodyPr/>
                      </wps:wsp>
                      <wps:wsp>
                        <wps:cNvPr id="221" name="Shape 221"/>
                        <wps:cNvSpPr/>
                        <wps:spPr>
                          <a:xfrm>
                            <a:off x="2172462" y="463677"/>
                            <a:ext cx="403098" cy="108204"/>
                          </a:xfrm>
                          <a:custGeom>
                            <a:avLst/>
                            <a:gdLst/>
                            <a:ahLst/>
                            <a:cxnLst/>
                            <a:rect l="0" t="0" r="0" b="0"/>
                            <a:pathLst>
                              <a:path w="403098" h="108204">
                                <a:moveTo>
                                  <a:pt x="403098" y="108204"/>
                                </a:moveTo>
                                <a:lnTo>
                                  <a:pt x="0" y="108204"/>
                                </a:lnTo>
                                <a:lnTo>
                                  <a:pt x="0" y="0"/>
                                </a:lnTo>
                                <a:lnTo>
                                  <a:pt x="403098" y="0"/>
                                </a:lnTo>
                                <a:close/>
                              </a:path>
                            </a:pathLst>
                          </a:custGeom>
                          <a:noFill/>
                          <a:ln w="12700" cap="flat" cmpd="sng" algn="ctr">
                            <a:solidFill>
                              <a:srgbClr val="FF0000"/>
                            </a:solidFill>
                            <a:prstDash val="solid"/>
                            <a:round/>
                          </a:ln>
                          <a:effectLst/>
                        </wps:spPr>
                        <wps:bodyPr/>
                      </wps:wsp>
                      <wps:wsp>
                        <wps:cNvPr id="222" name="Shape 222"/>
                        <wps:cNvSpPr/>
                        <wps:spPr>
                          <a:xfrm>
                            <a:off x="2172462" y="317373"/>
                            <a:ext cx="148590" cy="108204"/>
                          </a:xfrm>
                          <a:custGeom>
                            <a:avLst/>
                            <a:gdLst/>
                            <a:ahLst/>
                            <a:cxnLst/>
                            <a:rect l="0" t="0" r="0" b="0"/>
                            <a:pathLst>
                              <a:path w="148590" h="108204">
                                <a:moveTo>
                                  <a:pt x="148590" y="108204"/>
                                </a:moveTo>
                                <a:lnTo>
                                  <a:pt x="0" y="108204"/>
                                </a:lnTo>
                                <a:lnTo>
                                  <a:pt x="0" y="0"/>
                                </a:lnTo>
                                <a:lnTo>
                                  <a:pt x="148590" y="0"/>
                                </a:lnTo>
                                <a:close/>
                              </a:path>
                            </a:pathLst>
                          </a:custGeom>
                          <a:noFill/>
                          <a:ln w="12700" cap="flat" cmpd="sng" algn="ctr">
                            <a:solidFill>
                              <a:srgbClr val="FF0000"/>
                            </a:solidFill>
                            <a:prstDash val="solid"/>
                            <a:round/>
                          </a:ln>
                          <a:effectLst/>
                        </wps:spPr>
                        <wps:bodyPr/>
                      </wps:wsp>
                      <wps:wsp>
                        <wps:cNvPr id="223" name="Shape 223"/>
                        <wps:cNvSpPr/>
                        <wps:spPr>
                          <a:xfrm>
                            <a:off x="2172462" y="171069"/>
                            <a:ext cx="23622" cy="106680"/>
                          </a:xfrm>
                          <a:custGeom>
                            <a:avLst/>
                            <a:gdLst/>
                            <a:ahLst/>
                            <a:cxnLst/>
                            <a:rect l="0" t="0" r="0" b="0"/>
                            <a:pathLst>
                              <a:path w="23622" h="106680">
                                <a:moveTo>
                                  <a:pt x="23622" y="106680"/>
                                </a:moveTo>
                                <a:lnTo>
                                  <a:pt x="0" y="106680"/>
                                </a:lnTo>
                                <a:lnTo>
                                  <a:pt x="0" y="0"/>
                                </a:lnTo>
                                <a:lnTo>
                                  <a:pt x="23622" y="0"/>
                                </a:lnTo>
                                <a:close/>
                              </a:path>
                            </a:pathLst>
                          </a:custGeom>
                          <a:noFill/>
                          <a:ln w="12700" cap="flat" cmpd="sng" algn="ctr">
                            <a:solidFill>
                              <a:srgbClr val="FF0000"/>
                            </a:solidFill>
                            <a:prstDash val="solid"/>
                            <a:round/>
                          </a:ln>
                          <a:effectLst/>
                        </wps:spPr>
                        <wps:bodyPr/>
                      </wps:wsp>
                      <wps:wsp>
                        <wps:cNvPr id="224" name="Shape 224"/>
                        <wps:cNvSpPr/>
                        <wps:spPr>
                          <a:xfrm>
                            <a:off x="2172462" y="23241"/>
                            <a:ext cx="2286" cy="108204"/>
                          </a:xfrm>
                          <a:custGeom>
                            <a:avLst/>
                            <a:gdLst/>
                            <a:ahLst/>
                            <a:cxnLst/>
                            <a:rect l="0" t="0" r="0" b="0"/>
                            <a:pathLst>
                              <a:path w="2286" h="108204">
                                <a:moveTo>
                                  <a:pt x="2286" y="108204"/>
                                </a:moveTo>
                                <a:lnTo>
                                  <a:pt x="0" y="108204"/>
                                </a:lnTo>
                                <a:lnTo>
                                  <a:pt x="0" y="0"/>
                                </a:lnTo>
                                <a:lnTo>
                                  <a:pt x="2286" y="0"/>
                                </a:lnTo>
                                <a:close/>
                              </a:path>
                            </a:pathLst>
                          </a:custGeom>
                          <a:noFill/>
                          <a:ln w="12700" cap="flat" cmpd="sng" algn="ctr">
                            <a:solidFill>
                              <a:srgbClr val="FF0000"/>
                            </a:solidFill>
                            <a:prstDash val="solid"/>
                            <a:round/>
                          </a:ln>
                          <a:effectLst/>
                        </wps:spPr>
                        <wps:bodyPr/>
                      </wps:wsp>
                      <wps:wsp>
                        <wps:cNvPr id="225" name="Shape 225"/>
                        <wps:cNvSpPr/>
                        <wps:spPr>
                          <a:xfrm>
                            <a:off x="2172462" y="4318"/>
                            <a:ext cx="0" cy="3082163"/>
                          </a:xfrm>
                          <a:custGeom>
                            <a:avLst/>
                            <a:gdLst/>
                            <a:ahLst/>
                            <a:cxnLst/>
                            <a:rect l="0" t="0" r="0" b="0"/>
                            <a:pathLst>
                              <a:path h="3082163">
                                <a:moveTo>
                                  <a:pt x="0" y="3082163"/>
                                </a:moveTo>
                                <a:lnTo>
                                  <a:pt x="0" y="0"/>
                                </a:lnTo>
                              </a:path>
                            </a:pathLst>
                          </a:custGeom>
                          <a:noFill/>
                          <a:ln w="9525" cap="flat" cmpd="sng" algn="ctr">
                            <a:solidFill>
                              <a:srgbClr val="D9D9D9"/>
                            </a:solidFill>
                            <a:prstDash val="solid"/>
                            <a:round/>
                          </a:ln>
                          <a:effectLst/>
                        </wps:spPr>
                        <wps:bodyPr/>
                      </wps:wsp>
                    </wpg:wgp>
                  </a:graphicData>
                </a:graphic>
              </wp:inline>
            </w:drawing>
          </mc:Choice>
          <mc:Fallback>
            <w:pict>
              <v:group w14:anchorId="415AE127" id="Group 32490" o:spid="_x0000_s1026" style="width:281.75pt;height:244.65pt;mso-position-horizontal-relative:char;mso-position-vertical-relative:line" coordsize="35783,3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">
                <v:shape id="Shape 33366" o:spid="_x0000_s1027" style="position:absolute;left:6720;top:29782;width:9007;height:1098;visibility:visible;mso-wrap-style:square;v-text-anchor:top" coordsize="90068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" path="m,l900684,r,109728l,109728,,e" fillcolor="#4f81bd" stroked="f" strokeweight="0">
                  <v:path arrowok="t" textboxrect="0,0,900684,109728"/>
                </v:shape>
                <v:shape id="Shape 33367" o:spid="_x0000_s1028" style="position:absolute;left:6111;top:28304;width:9616;height:1097;visibility:visible;mso-wrap-style:square;v-text-anchor:top" coordsize="96164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" path="m,l961644,r,109728l,109728,,e" fillcolor="#4f81bd" stroked="f" strokeweight="0">
                  <v:path arrowok="t" textboxrect="0,0,961644,109728"/>
                </v:shape>
                <v:shape id="Shape 33368" o:spid="_x0000_s1029" style="position:absolute;left:5775;top:26826;width:9952;height:1097;visibility:visible;mso-wrap-style:square;v-text-anchor:top" coordsize="995172,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" path="m,l995172,r,109728l,109728,,e" fillcolor="#4f81bd" stroked="f" strokeweight="0">
                  <v:path arrowok="t" textboxrect="0,0,995172,109728"/>
                </v:shape>
                <v:shape id="Shape 33369" o:spid="_x0000_s1030" style="position:absolute;left:5349;top:25332;width:10378;height:1113;visibility:visible;mso-wrap-style:square;v-text-anchor:top" coordsize="103784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" path="m,l1037844,r,111252l,111252,,e" fillcolor="#4f81bd" stroked="f" strokeweight="0">
                  <v:path arrowok="t" textboxrect="0,0,1037844,111252"/>
                </v:shape>
                <v:shape id="Shape 33370" o:spid="_x0000_s1031" style="position:absolute;left:6675;top:23854;width:9052;height:1112;visibility:visible;mso-wrap-style:square;v-text-anchor:top" coordsize="905256,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" path="m,l905256,r,111252l,111252,,e" fillcolor="#4f81bd" stroked="f" strokeweight="0">
                  <v:path arrowok="t" textboxrect="0,0,905256,111252"/>
                </v:shape>
                <v:shape id="Shape 33371" o:spid="_x0000_s1032" style="position:absolute;left:7117;top:22376;width:8610;height:1112;visibility:visible;mso-wrap-style:square;v-text-anchor:top" coordsize="861060,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" path="m,l861060,r,111252l,111252,,e" fillcolor="#4f81bd" stroked="f" strokeweight="0">
                  <v:path arrowok="t" textboxrect="0,0,861060,111252"/>
                </v:shape>
                <v:shape id="Shape 33372" o:spid="_x0000_s1033" style="position:absolute;left:4831;top:20897;width:10896;height:1113;visibility:visible;mso-wrap-style:square;v-text-anchor:top" coordsize="1089660,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" path="m,l1089660,r,111252l,111252,,e" fillcolor="#4f81bd" stroked="f" strokeweight="0">
                  <v:path arrowok="t" textboxrect="0,0,1089660,111252"/>
                </v:shape>
                <v:shape id="Shape 33373" o:spid="_x0000_s1034" style="position:absolute;left:2164;top:19419;width:13563;height:1113;visibility:visible;mso-wrap-style:square;v-text-anchor:top" coordsize="1356360,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" path="m,l1356360,r,111252l,111252,,e" fillcolor="#4f81bd" stroked="f" strokeweight="0">
                  <v:path arrowok="t" textboxrect="0,0,1356360,111252"/>
                </v:shape>
                <v:shape id="Shape 33374" o:spid="_x0000_s1035" style="position:absolute;left:1508;top:17941;width:14219;height:1097;visibility:visible;mso-wrap-style:square;v-text-anchor:top" coordsize="1421892,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" path="m,l1421892,r,109728l,109728,,e" fillcolor="#4f81bd" stroked="f" strokeweight="0">
                  <v:path arrowok="t" textboxrect="0,0,1421892,109728"/>
                </v:shape>
                <v:shape id="Shape 33375" o:spid="_x0000_s1036" style="position:absolute;top:16463;width:15727;height:1097;visibility:visible;mso-wrap-style:square;v-text-anchor:top" coordsize="157276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" path="m,l1572768,r,109728l,109728,,e" fillcolor="#4f81bd" stroked="f" strokeweight="0">
                  <v:path arrowok="t" textboxrect="0,0,1572768,109728"/>
                </v:shape>
                <v:shape id="Shape 33376" o:spid="_x0000_s1037" style="position:absolute;left:350;top:14984;width:15377;height:1098;visibility:visible;mso-wrap-style:square;v-text-anchor:top" coordsize="1537716,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" path="m,l1537716,r,109728l,109728,,e" fillcolor="#4f81bd" stroked="f" strokeweight="0">
                  <v:path arrowok="t" textboxrect="0,0,1537716,109728"/>
                </v:shape>
                <v:shape id="Shape 33377" o:spid="_x0000_s1038" style="position:absolute;left:1844;top:13506;width:13883;height:1097;visibility:visible;mso-wrap-style:square;v-text-anchor:top" coordsize="138836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" path="m,l1388364,r,109728l,109728,,e" fillcolor="#4f81bd" stroked="f" strokeweight="0">
                  <v:path arrowok="t" textboxrect="0,0,1388364,109728"/>
                </v:shape>
                <v:shape id="Shape 33378" o:spid="_x0000_s1039" style="position:absolute;left:2529;top:12028;width:13198;height:1097;visibility:visible;mso-wrap-style:square;v-text-anchor:top" coordsize="131978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" path="m,l1319784,r,109728l,109728,,e" fillcolor="#4f81bd" stroked="f" strokeweight="0">
                  <v:path arrowok="t" textboxrect="0,0,1319784,109728"/>
                </v:shape>
                <v:shape id="Shape 33379" o:spid="_x0000_s1040" style="position:absolute;left:3520;top:10549;width:12207;height:1098;visibility:visible;mso-wrap-style:square;v-text-anchor:top" coordsize="122072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" path="m,l1220724,r,109728l,109728,,e" fillcolor="#4f81bd" stroked="f" strokeweight="0">
                  <v:path arrowok="t" textboxrect="0,0,1220724,109728"/>
                </v:shape>
                <v:shape id="Shape 33380" o:spid="_x0000_s1041" style="position:absolute;left:5181;top:9071;width:10546;height:1097;visibility:visible;mso-wrap-style:square;v-text-anchor:top" coordsize="105460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" path="m,l1054608,r,109728l,109728,,e" fillcolor="#4f81bd" stroked="f" strokeweight="0">
                  <v:path arrowok="t" textboxrect="0,0,1054608,109728"/>
                </v:shape>
                <v:shape id="Shape 33381" o:spid="_x0000_s1042" style="position:absolute;left:7833;top:7578;width:7894;height:1112;visibility:visible;mso-wrap-style:square;v-text-anchor:top" coordsize="789432,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" path="m,l789432,r,111252l,111252,,e" fillcolor="#4f81bd" stroked="f" strokeweight="0">
                  <v:path arrowok="t" textboxrect="0,0,789432,111252"/>
                </v:shape>
                <v:shape id="Shape 33382" o:spid="_x0000_s1043" style="position:absolute;left:11551;top:6099;width:4176;height:1113;visibility:visible;mso-wrap-style:square;v-text-anchor:top" coordsize="417576,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" path="m,l417576,r,111252l,111252,,e" fillcolor="#4f81bd" stroked="f" strokeweight="0">
                  <v:path arrowok="t" textboxrect="0,0,417576,111252"/>
                </v:shape>
                <v:shape id="Shape 33383" o:spid="_x0000_s1044" style="position:absolute;left:13761;top:4621;width:1966;height:1113;visibility:visible;mso-wrap-style:square;v-text-anchor:top" coordsize="196596,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" path="m,l196596,r,111252l,111252,,e" fillcolor="#4f81bd" stroked="f" strokeweight="0">
                  <v:path arrowok="t" textboxrect="0,0,196596,111252"/>
                </v:shape>
                <v:shape id="Shape 33384" o:spid="_x0000_s1045" style="position:absolute;left:15072;top:3143;width:655;height:1112;visibility:visible;mso-wrap-style:square;v-text-anchor:top" coordsize="65532,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" path="m,l65532,r,111252l,111252,,e" fillcolor="#4f81bd" stroked="f" strokeweight="0">
                  <v:path arrowok="t" textboxrect="0,0,65532,111252"/>
                </v:shape>
                <v:shape id="Shape 33385" o:spid="_x0000_s1046" style="position:absolute;left:15636;top:1664;width:91;height:1113;visibility:visible;mso-wrap-style:square;v-text-anchor:top" coordsize="9144,1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" path="m,l9144,r,111252l,111252,,e" fillcolor="#4f81bd" stroked="f" strokeweight="0">
                  <v:path arrowok="t" textboxrect="0,0,9144,111252"/>
                </v:shape>
                <v:shape id="Shape 33386" o:spid="_x0000_s1047" style="position:absolute;left:15716;top:186;width:91;height:1097;visibility:visible;mso-wrap-style:square;v-text-anchor:top" coordsize="914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" path="m,l9144,r,109728l,109728,,e" fillcolor="#4f81bd" stroked="f" strokeweight="0">
                  <v:path arrowok="t" textboxrect="0,0,9144,109728"/>
                </v:shape>
                <v:shape id="Shape 155" o:spid="_x0000_s1048" style="position:absolute;left:15731;width:0;height:31070;visibility:visible;mso-wrap-style:square;v-text-anchor:top" coordsize="0,310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" path="m,3107055l,e" filled="f" strokecolor="#d9d9d9">
                  <v:path arrowok="t" textboxrect="0,0,0,3107055"/>
                </v:shape>
                <v:rect id="Rectangle 160" o:spid="_x0000_s1049" style="position:absolute;left:16696;top:29907;width:4244;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B302CF" w:rsidRDefault="00B302CF" w:rsidP="00921173">
                        <w:r>
                          <w:rPr>
                            <w:sz w:val="16"/>
                          </w:rPr>
                          <w:t xml:space="preserve">  0 - 4</w:t>
                        </w:r>
                      </w:p>
                    </w:txbxContent>
                  </v:textbox>
                </v:rect>
                <v:rect id="Rectangle 161" o:spid="_x0000_s1050" style="position:absolute;left:16696;top:28429;width:4244;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rsidR="00B302CF" w:rsidRDefault="00B302CF" w:rsidP="00921173">
                        <w:r>
                          <w:rPr>
                            <w:sz w:val="16"/>
                          </w:rPr>
                          <w:t xml:space="preserve">  5 - 9</w:t>
                        </w:r>
                      </w:p>
                    </w:txbxContent>
                  </v:textbox>
                </v:rect>
                <v:rect id="Rectangle 25066" o:spid="_x0000_s1051" style="position:absolute;left:17991;top:26947;width:15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" filled="f" stroked="f">
                  <v:textbox inset="0,0,0,0">
                    <w:txbxContent>
                      <w:p w:rsidR="00B302CF" w:rsidRDefault="00B302CF" w:rsidP="00921173">
                        <w:r>
                          <w:rPr>
                            <w:sz w:val="16"/>
                          </w:rPr>
                          <w:t xml:space="preserve"> - </w:t>
                        </w:r>
                      </w:p>
                    </w:txbxContent>
                  </v:textbox>
                </v:rect>
                <v:rect id="Rectangle 25064" o:spid="_x0000_s1052" style="position:absolute;left:16696;top:26947;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" filled="f" stroked="f">
                  <v:textbox inset="0,0,0,0">
                    <w:txbxContent>
                      <w:p w:rsidR="00B302CF" w:rsidRDefault="00B302CF" w:rsidP="00921173">
                        <w:r>
                          <w:rPr>
                            <w:sz w:val="16"/>
                          </w:rPr>
                          <w:t>10</w:t>
                        </w:r>
                      </w:p>
                    </w:txbxContent>
                  </v:textbox>
                </v:rect>
                <v:rect id="Rectangle 25065" o:spid="_x0000_s1053" style="position:absolute;left:19163;top:26947;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" filled="f" stroked="f">
                  <v:textbox inset="0,0,0,0">
                    <w:txbxContent>
                      <w:p w:rsidR="00B302CF" w:rsidRDefault="00B302CF" w:rsidP="00921173">
                        <w:r>
                          <w:rPr>
                            <w:sz w:val="16"/>
                          </w:rPr>
                          <w:t>14</w:t>
                        </w:r>
                      </w:p>
                    </w:txbxContent>
                  </v:textbox>
                </v:rect>
                <v:rect id="Rectangle 25062" o:spid="_x0000_s1054" style="position:absolute;left:19163;top:25468;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" filled="f" stroked="f">
                  <v:textbox inset="0,0,0,0">
                    <w:txbxContent>
                      <w:p w:rsidR="00B302CF" w:rsidRDefault="00B302CF" w:rsidP="00921173">
                        <w:r>
                          <w:rPr>
                            <w:sz w:val="16"/>
                          </w:rPr>
                          <w:t>19</w:t>
                        </w:r>
                      </w:p>
                    </w:txbxContent>
                  </v:textbox>
                </v:rect>
                <v:rect id="Rectangle 25063" o:spid="_x0000_s1055" style="position:absolute;left:17991;top:25468;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" filled="f" stroked="f">
                  <v:textbox inset="0,0,0,0">
                    <w:txbxContent>
                      <w:p w:rsidR="00B302CF" w:rsidRDefault="00B302CF" w:rsidP="00921173">
                        <w:r>
                          <w:rPr>
                            <w:sz w:val="16"/>
                          </w:rPr>
                          <w:t xml:space="preserve"> - </w:t>
                        </w:r>
                      </w:p>
                    </w:txbxContent>
                  </v:textbox>
                </v:rect>
                <v:rect id="Rectangle 25061" o:spid="_x0000_s1056" style="position:absolute;left:16696;top:25468;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" filled="f" stroked="f">
                  <v:textbox inset="0,0,0,0">
                    <w:txbxContent>
                      <w:p w:rsidR="00B302CF" w:rsidRDefault="00B302CF" w:rsidP="00921173">
                        <w:r>
                          <w:rPr>
                            <w:sz w:val="16"/>
                          </w:rPr>
                          <w:t>15</w:t>
                        </w:r>
                      </w:p>
                    </w:txbxContent>
                  </v:textbox>
                </v:rect>
                <v:rect id="Rectangle 25059" o:spid="_x0000_s1057" style="position:absolute;left:19163;top:23988;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" filled="f" stroked="f">
                  <v:textbox inset="0,0,0,0">
                    <w:txbxContent>
                      <w:p w:rsidR="00B302CF" w:rsidRDefault="00B302CF" w:rsidP="00921173">
                        <w:r>
                          <w:rPr>
                            <w:sz w:val="16"/>
                          </w:rPr>
                          <w:t>24</w:t>
                        </w:r>
                      </w:p>
                    </w:txbxContent>
                  </v:textbox>
                </v:rect>
                <v:rect id="Rectangle 25060" o:spid="_x0000_s1058" style="position:absolute;left:17991;top:23988;width:15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" filled="f" stroked="f">
                  <v:textbox inset="0,0,0,0">
                    <w:txbxContent>
                      <w:p w:rsidR="00B302CF" w:rsidRDefault="00B302CF" w:rsidP="00921173">
                        <w:r>
                          <w:rPr>
                            <w:sz w:val="16"/>
                          </w:rPr>
                          <w:t xml:space="preserve"> - </w:t>
                        </w:r>
                      </w:p>
                    </w:txbxContent>
                  </v:textbox>
                </v:rect>
                <v:rect id="Rectangle 25058" o:spid="_x0000_s1059" style="position:absolute;left:16696;top:23988;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" filled="f" stroked="f">
                  <v:textbox inset="0,0,0,0">
                    <w:txbxContent>
                      <w:p w:rsidR="00B302CF" w:rsidRDefault="00B302CF" w:rsidP="00921173">
                        <w:r>
                          <w:rPr>
                            <w:sz w:val="16"/>
                          </w:rPr>
                          <w:t>20</w:t>
                        </w:r>
                      </w:p>
                    </w:txbxContent>
                  </v:textbox>
                </v:rect>
                <v:rect id="Rectangle 25056" o:spid="_x0000_s1060" style="position:absolute;left:19163;top:22509;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" filled="f" stroked="f">
                  <v:textbox inset="0,0,0,0">
                    <w:txbxContent>
                      <w:p w:rsidR="00B302CF" w:rsidRDefault="00B302CF" w:rsidP="00921173">
                        <w:r>
                          <w:rPr>
                            <w:sz w:val="16"/>
                          </w:rPr>
                          <w:t>29</w:t>
                        </w:r>
                      </w:p>
                    </w:txbxContent>
                  </v:textbox>
                </v:rect>
                <v:rect id="Rectangle 25057" o:spid="_x0000_s1061" style="position:absolute;left:17991;top:22509;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" filled="f" stroked="f">
                  <v:textbox inset="0,0,0,0">
                    <w:txbxContent>
                      <w:p w:rsidR="00B302CF" w:rsidRDefault="00B302CF" w:rsidP="00921173">
                        <w:r>
                          <w:rPr>
                            <w:sz w:val="16"/>
                          </w:rPr>
                          <w:t xml:space="preserve"> - </w:t>
                        </w:r>
                      </w:p>
                    </w:txbxContent>
                  </v:textbox>
                </v:rect>
                <v:rect id="Rectangle 25055" o:spid="_x0000_s1062" style="position:absolute;left:16696;top:22509;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" filled="f" stroked="f">
                  <v:textbox inset="0,0,0,0">
                    <w:txbxContent>
                      <w:p w:rsidR="00B302CF" w:rsidRDefault="00B302CF" w:rsidP="00921173">
                        <w:r>
                          <w:rPr>
                            <w:sz w:val="16"/>
                          </w:rPr>
                          <w:t>25</w:t>
                        </w:r>
                      </w:p>
                    </w:txbxContent>
                  </v:textbox>
                </v:rect>
                <v:rect id="Rectangle 25053" o:spid="_x0000_s1063" style="position:absolute;left:19163;top:21028;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" filled="f" stroked="f">
                  <v:textbox inset="0,0,0,0">
                    <w:txbxContent>
                      <w:p w:rsidR="00B302CF" w:rsidRDefault="00B302CF" w:rsidP="00921173">
                        <w:r>
                          <w:rPr>
                            <w:sz w:val="16"/>
                          </w:rPr>
                          <w:t>34</w:t>
                        </w:r>
                      </w:p>
                    </w:txbxContent>
                  </v:textbox>
                </v:rect>
                <v:rect id="Rectangle 25054" o:spid="_x0000_s1064" style="position:absolute;left:17991;top:21028;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" filled="f" stroked="f">
                  <v:textbox inset="0,0,0,0">
                    <w:txbxContent>
                      <w:p w:rsidR="00B302CF" w:rsidRDefault="00B302CF" w:rsidP="00921173">
                        <w:r>
                          <w:rPr>
                            <w:sz w:val="16"/>
                          </w:rPr>
                          <w:t xml:space="preserve"> - </w:t>
                        </w:r>
                      </w:p>
                    </w:txbxContent>
                  </v:textbox>
                </v:rect>
                <v:rect id="Rectangle 25052" o:spid="_x0000_s1065" style="position:absolute;left:16696;top:21028;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" filled="f" stroked="f">
                  <v:textbox inset="0,0,0,0">
                    <w:txbxContent>
                      <w:p w:rsidR="00B302CF" w:rsidRDefault="00B302CF" w:rsidP="00921173">
                        <w:r>
                          <w:rPr>
                            <w:sz w:val="16"/>
                          </w:rPr>
                          <w:t>30</w:t>
                        </w:r>
                      </w:p>
                    </w:txbxContent>
                  </v:textbox>
                </v:rect>
                <v:rect id="Rectangle 25051" o:spid="_x0000_s1066" style="position:absolute;left:17991;top:19550;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" filled="f" stroked="f">
                  <v:textbox inset="0,0,0,0">
                    <w:txbxContent>
                      <w:p w:rsidR="00B302CF" w:rsidRDefault="00B302CF" w:rsidP="00921173">
                        <w:r>
                          <w:rPr>
                            <w:sz w:val="16"/>
                          </w:rPr>
                          <w:t xml:space="preserve"> - </w:t>
                        </w:r>
                      </w:p>
                    </w:txbxContent>
                  </v:textbox>
                </v:rect>
                <v:rect id="Rectangle 25050" o:spid="_x0000_s1067" style="position:absolute;left:19163;top:19550;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" filled="f" stroked="f">
                  <v:textbox inset="0,0,0,0">
                    <w:txbxContent>
                      <w:p w:rsidR="00B302CF" w:rsidRDefault="00B302CF" w:rsidP="00921173">
                        <w:r>
                          <w:rPr>
                            <w:sz w:val="16"/>
                          </w:rPr>
                          <w:t>39</w:t>
                        </w:r>
                      </w:p>
                    </w:txbxContent>
                  </v:textbox>
                </v:rect>
                <v:rect id="Rectangle 25049" o:spid="_x0000_s1068" style="position:absolute;left:16696;top:19550;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" filled="f" stroked="f">
                  <v:textbox inset="0,0,0,0">
                    <w:txbxContent>
                      <w:p w:rsidR="00B302CF" w:rsidRDefault="00B302CF" w:rsidP="00921173">
                        <w:r>
                          <w:rPr>
                            <w:sz w:val="16"/>
                          </w:rPr>
                          <w:t>35</w:t>
                        </w:r>
                      </w:p>
                    </w:txbxContent>
                  </v:textbox>
                </v:rect>
                <v:rect id="Rectangle 25047" o:spid="_x0000_s1069" style="position:absolute;left:19163;top:18068;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" filled="f" stroked="f">
                  <v:textbox inset="0,0,0,0">
                    <w:txbxContent>
                      <w:p w:rsidR="00B302CF" w:rsidRDefault="00B302CF" w:rsidP="00921173">
                        <w:r>
                          <w:rPr>
                            <w:sz w:val="16"/>
                          </w:rPr>
                          <w:t>44</w:t>
                        </w:r>
                      </w:p>
                    </w:txbxContent>
                  </v:textbox>
                </v:rect>
                <v:rect id="Rectangle 25046" o:spid="_x0000_s1070" style="position:absolute;left:16696;top:18068;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" filled="f" stroked="f">
                  <v:textbox inset="0,0,0,0">
                    <w:txbxContent>
                      <w:p w:rsidR="00B302CF" w:rsidRDefault="00B302CF" w:rsidP="00921173">
                        <w:r>
                          <w:rPr>
                            <w:sz w:val="16"/>
                          </w:rPr>
                          <w:t>40</w:t>
                        </w:r>
                      </w:p>
                    </w:txbxContent>
                  </v:textbox>
                </v:rect>
                <v:rect id="Rectangle 25048" o:spid="_x0000_s1071" style="position:absolute;left:17991;top:18068;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" filled="f" stroked="f">
                  <v:textbox inset="0,0,0,0">
                    <w:txbxContent>
                      <w:p w:rsidR="00B302CF" w:rsidRDefault="00B302CF" w:rsidP="00921173">
                        <w:r>
                          <w:rPr>
                            <w:sz w:val="16"/>
                          </w:rPr>
                          <w:t xml:space="preserve"> - </w:t>
                        </w:r>
                      </w:p>
                    </w:txbxContent>
                  </v:textbox>
                </v:rect>
                <v:rect id="Rectangle 25044" o:spid="_x0000_s1072" style="position:absolute;left:19163;top:16590;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" filled="f" stroked="f">
                  <v:textbox inset="0,0,0,0">
                    <w:txbxContent>
                      <w:p w:rsidR="00B302CF" w:rsidRDefault="00B302CF" w:rsidP="00921173">
                        <w:r>
                          <w:rPr>
                            <w:sz w:val="16"/>
                          </w:rPr>
                          <w:t>49</w:t>
                        </w:r>
                      </w:p>
                    </w:txbxContent>
                  </v:textbox>
                </v:rect>
                <v:rect id="Rectangle 25043" o:spid="_x0000_s1073" style="position:absolute;left:16696;top:16590;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" filled="f" stroked="f">
                  <v:textbox inset="0,0,0,0">
                    <w:txbxContent>
                      <w:p w:rsidR="00B302CF" w:rsidRDefault="00B302CF" w:rsidP="00921173">
                        <w:r>
                          <w:rPr>
                            <w:sz w:val="16"/>
                          </w:rPr>
                          <w:t>45</w:t>
                        </w:r>
                      </w:p>
                    </w:txbxContent>
                  </v:textbox>
                </v:rect>
                <v:rect id="Rectangle 25045" o:spid="_x0000_s1074" style="position:absolute;left:17991;top:16590;width:15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" filled="f" stroked="f">
                  <v:textbox inset="0,0,0,0">
                    <w:txbxContent>
                      <w:p w:rsidR="00B302CF" w:rsidRDefault="00B302CF" w:rsidP="00921173">
                        <w:r>
                          <w:rPr>
                            <w:sz w:val="16"/>
                          </w:rPr>
                          <w:t xml:space="preserve"> - </w:t>
                        </w:r>
                      </w:p>
                    </w:txbxContent>
                  </v:textbox>
                </v:rect>
                <v:rect id="Rectangle 25040" o:spid="_x0000_s1075" style="position:absolute;left:16696;top:15109;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" filled="f" stroked="f">
                  <v:textbox inset="0,0,0,0">
                    <w:txbxContent>
                      <w:p w:rsidR="00B302CF" w:rsidRDefault="00B302CF" w:rsidP="00921173">
                        <w:r>
                          <w:rPr>
                            <w:sz w:val="16"/>
                          </w:rPr>
                          <w:t>50</w:t>
                        </w:r>
                      </w:p>
                    </w:txbxContent>
                  </v:textbox>
                </v:rect>
                <v:rect id="Rectangle 25042" o:spid="_x0000_s1076" style="position:absolute;left:17991;top:15109;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" filled="f" stroked="f">
                  <v:textbox inset="0,0,0,0">
                    <w:txbxContent>
                      <w:p w:rsidR="00B302CF" w:rsidRDefault="00B302CF" w:rsidP="00921173">
                        <w:r>
                          <w:rPr>
                            <w:sz w:val="16"/>
                          </w:rPr>
                          <w:t xml:space="preserve"> - </w:t>
                        </w:r>
                      </w:p>
                    </w:txbxContent>
                  </v:textbox>
                </v:rect>
                <v:rect id="Rectangle 25041" o:spid="_x0000_s1077" style="position:absolute;left:19163;top:15109;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" filled="f" stroked="f">
                  <v:textbox inset="0,0,0,0">
                    <w:txbxContent>
                      <w:p w:rsidR="00B302CF" w:rsidRDefault="00B302CF" w:rsidP="00921173">
                        <w:r>
                          <w:rPr>
                            <w:sz w:val="16"/>
                          </w:rPr>
                          <w:t>54</w:t>
                        </w:r>
                      </w:p>
                    </w:txbxContent>
                  </v:textbox>
                </v:rect>
                <v:rect id="Rectangle 25037" o:spid="_x0000_s1078" style="position:absolute;left:16696;top:13631;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" filled="f" stroked="f">
                  <v:textbox inset="0,0,0,0">
                    <w:txbxContent>
                      <w:p w:rsidR="00B302CF" w:rsidRDefault="00B302CF" w:rsidP="00921173">
                        <w:r>
                          <w:rPr>
                            <w:sz w:val="16"/>
                          </w:rPr>
                          <w:t>55</w:t>
                        </w:r>
                      </w:p>
                    </w:txbxContent>
                  </v:textbox>
                </v:rect>
                <v:rect id="Rectangle 25039" o:spid="_x0000_s1079" style="position:absolute;left:17991;top:13631;width:15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" filled="f" stroked="f">
                  <v:textbox inset="0,0,0,0">
                    <w:txbxContent>
                      <w:p w:rsidR="00B302CF" w:rsidRDefault="00B302CF" w:rsidP="00921173">
                        <w:r>
                          <w:rPr>
                            <w:sz w:val="16"/>
                          </w:rPr>
                          <w:t xml:space="preserve"> - </w:t>
                        </w:r>
                      </w:p>
                    </w:txbxContent>
                  </v:textbox>
                </v:rect>
                <v:rect id="Rectangle 25038" o:spid="_x0000_s1080" style="position:absolute;left:19163;top:13631;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" filled="f" stroked="f">
                  <v:textbox inset="0,0,0,0">
                    <w:txbxContent>
                      <w:p w:rsidR="00B302CF" w:rsidRDefault="00B302CF" w:rsidP="00921173">
                        <w:r>
                          <w:rPr>
                            <w:sz w:val="16"/>
                          </w:rPr>
                          <w:t>59</w:t>
                        </w:r>
                      </w:p>
                    </w:txbxContent>
                  </v:textbox>
                </v:rect>
                <v:rect id="Rectangle 25035" o:spid="_x0000_s1081" style="position:absolute;left:19163;top:12149;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" filled="f" stroked="f">
                  <v:textbox inset="0,0,0,0">
                    <w:txbxContent>
                      <w:p w:rsidR="00B302CF" w:rsidRDefault="00B302CF" w:rsidP="00921173">
                        <w:r>
                          <w:rPr>
                            <w:sz w:val="16"/>
                          </w:rPr>
                          <w:t>64</w:t>
                        </w:r>
                      </w:p>
                    </w:txbxContent>
                  </v:textbox>
                </v:rect>
                <v:rect id="Rectangle 25034" o:spid="_x0000_s1082" style="position:absolute;left:16696;top:12149;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" filled="f" stroked="f">
                  <v:textbox inset="0,0,0,0">
                    <w:txbxContent>
                      <w:p w:rsidR="00B302CF" w:rsidRDefault="00B302CF" w:rsidP="00921173">
                        <w:r>
                          <w:rPr>
                            <w:sz w:val="16"/>
                          </w:rPr>
                          <w:t>60</w:t>
                        </w:r>
                      </w:p>
                    </w:txbxContent>
                  </v:textbox>
                </v:rect>
                <v:rect id="Rectangle 25036" o:spid="_x0000_s1083" style="position:absolute;left:17991;top:12149;width:15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" filled="f" stroked="f">
                  <v:textbox inset="0,0,0,0">
                    <w:txbxContent>
                      <w:p w:rsidR="00B302CF" w:rsidRDefault="00B302CF" w:rsidP="00921173">
                        <w:r>
                          <w:rPr>
                            <w:sz w:val="16"/>
                          </w:rPr>
                          <w:t xml:space="preserve"> - </w:t>
                        </w:r>
                      </w:p>
                    </w:txbxContent>
                  </v:textbox>
                </v:rect>
                <v:rect id="Rectangle 25033" o:spid="_x0000_s1084" style="position:absolute;left:17991;top:10670;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" filled="f" stroked="f">
                  <v:textbox inset="0,0,0,0">
                    <w:txbxContent>
                      <w:p w:rsidR="00B302CF" w:rsidRDefault="00B302CF" w:rsidP="00921173">
                        <w:r>
                          <w:rPr>
                            <w:sz w:val="16"/>
                          </w:rPr>
                          <w:t xml:space="preserve"> - </w:t>
                        </w:r>
                      </w:p>
                    </w:txbxContent>
                  </v:textbox>
                </v:rect>
                <v:rect id="Rectangle 25031" o:spid="_x0000_s1085" style="position:absolute;left:16696;top:10670;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" filled="f" stroked="f">
                  <v:textbox inset="0,0,0,0">
                    <w:txbxContent>
                      <w:p w:rsidR="00B302CF" w:rsidRDefault="00B302CF" w:rsidP="00921173">
                        <w:r>
                          <w:rPr>
                            <w:sz w:val="16"/>
                          </w:rPr>
                          <w:t>65</w:t>
                        </w:r>
                      </w:p>
                    </w:txbxContent>
                  </v:textbox>
                </v:rect>
                <v:rect id="Rectangle 25032" o:spid="_x0000_s1086" style="position:absolute;left:19163;top:10670;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" filled="f" stroked="f">
                  <v:textbox inset="0,0,0,0">
                    <w:txbxContent>
                      <w:p w:rsidR="00B302CF" w:rsidRDefault="00B302CF" w:rsidP="00921173">
                        <w:r>
                          <w:rPr>
                            <w:sz w:val="16"/>
                          </w:rPr>
                          <w:t>69</w:t>
                        </w:r>
                      </w:p>
                    </w:txbxContent>
                  </v:textbox>
                </v:rect>
                <v:rect id="Rectangle 25028" o:spid="_x0000_s1087" style="position:absolute;left:16696;top:9187;width:171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" filled="f" stroked="f">
                  <v:textbox inset="0,0,0,0">
                    <w:txbxContent>
                      <w:p w:rsidR="00B302CF" w:rsidRDefault="00B302CF" w:rsidP="00921173">
                        <w:r>
                          <w:rPr>
                            <w:sz w:val="16"/>
                          </w:rPr>
                          <w:t>70</w:t>
                        </w:r>
                      </w:p>
                    </w:txbxContent>
                  </v:textbox>
                </v:rect>
                <v:rect id="Rectangle 25030" o:spid="_x0000_s1088" style="position:absolute;left:17991;top:9187;width:1572;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" filled="f" stroked="f">
                  <v:textbox inset="0,0,0,0">
                    <w:txbxContent>
                      <w:p w:rsidR="00B302CF" w:rsidRDefault="00B302CF" w:rsidP="00921173">
                        <w:r>
                          <w:rPr>
                            <w:sz w:val="16"/>
                          </w:rPr>
                          <w:t xml:space="preserve"> - </w:t>
                        </w:r>
                      </w:p>
                    </w:txbxContent>
                  </v:textbox>
                </v:rect>
                <v:rect id="Rectangle 25029" o:spid="_x0000_s1089" style="position:absolute;left:19162;top:9187;width:171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" filled="f" stroked="f">
                  <v:textbox inset="0,0,0,0">
                    <w:txbxContent>
                      <w:p w:rsidR="00B302CF" w:rsidRDefault="00B302CF" w:rsidP="00921173">
                        <w:r>
                          <w:rPr>
                            <w:sz w:val="16"/>
                          </w:rPr>
                          <w:t>74</w:t>
                        </w:r>
                      </w:p>
                    </w:txbxContent>
                  </v:textbox>
                </v:rect>
                <v:rect id="Rectangle 25026" o:spid="_x0000_s1090" style="position:absolute;left:19163;top:7711;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" filled="f" stroked="f">
                  <v:textbox inset="0,0,0,0">
                    <w:txbxContent>
                      <w:p w:rsidR="00B302CF" w:rsidRDefault="00B302CF" w:rsidP="00921173">
                        <w:r>
                          <w:rPr>
                            <w:sz w:val="16"/>
                          </w:rPr>
                          <w:t>79</w:t>
                        </w:r>
                      </w:p>
                    </w:txbxContent>
                  </v:textbox>
                </v:rect>
                <v:rect id="Rectangle 25027" o:spid="_x0000_s1091" style="position:absolute;left:17991;top:7711;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" filled="f" stroked="f">
                  <v:textbox inset="0,0,0,0">
                    <w:txbxContent>
                      <w:p w:rsidR="00B302CF" w:rsidRDefault="00B302CF" w:rsidP="00921173">
                        <w:r>
                          <w:rPr>
                            <w:sz w:val="16"/>
                          </w:rPr>
                          <w:t xml:space="preserve"> - </w:t>
                        </w:r>
                      </w:p>
                    </w:txbxContent>
                  </v:textbox>
                </v:rect>
                <v:rect id="Rectangle 25025" o:spid="_x0000_s1092" style="position:absolute;left:16696;top:7711;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" filled="f" stroked="f">
                  <v:textbox inset="0,0,0,0">
                    <w:txbxContent>
                      <w:p w:rsidR="00B302CF" w:rsidRDefault="00B302CF" w:rsidP="00921173">
                        <w:r>
                          <w:rPr>
                            <w:sz w:val="16"/>
                          </w:rPr>
                          <w:t>75</w:t>
                        </w:r>
                      </w:p>
                    </w:txbxContent>
                  </v:textbox>
                </v:rect>
                <v:rect id="Rectangle 25023" o:spid="_x0000_s1093" style="position:absolute;left:19162;top:6228;width:171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" filled="f" stroked="f">
                  <v:textbox inset="0,0,0,0">
                    <w:txbxContent>
                      <w:p w:rsidR="00B302CF" w:rsidRDefault="00B302CF" w:rsidP="00921173">
                        <w:r>
                          <w:rPr>
                            <w:sz w:val="16"/>
                          </w:rPr>
                          <w:t>84</w:t>
                        </w:r>
                      </w:p>
                    </w:txbxContent>
                  </v:textbox>
                </v:rect>
                <v:rect id="Rectangle 25024" o:spid="_x0000_s1094" style="position:absolute;left:17991;top:6228;width:1572;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" filled="f" stroked="f">
                  <v:textbox inset="0,0,0,0">
                    <w:txbxContent>
                      <w:p w:rsidR="00B302CF" w:rsidRDefault="00B302CF" w:rsidP="00921173">
                        <w:r>
                          <w:rPr>
                            <w:sz w:val="16"/>
                          </w:rPr>
                          <w:t xml:space="preserve"> - </w:t>
                        </w:r>
                      </w:p>
                    </w:txbxContent>
                  </v:textbox>
                </v:rect>
                <v:rect id="Rectangle 25022" o:spid="_x0000_s1095" style="position:absolute;left:16696;top:6228;width:171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" filled="f" stroked="f">
                  <v:textbox inset="0,0,0,0">
                    <w:txbxContent>
                      <w:p w:rsidR="00B302CF" w:rsidRDefault="00B302CF" w:rsidP="00921173">
                        <w:r>
                          <w:rPr>
                            <w:sz w:val="16"/>
                          </w:rPr>
                          <w:t>80</w:t>
                        </w:r>
                      </w:p>
                    </w:txbxContent>
                  </v:textbox>
                </v:rect>
                <v:rect id="Rectangle 25020" o:spid="_x0000_s1096" style="position:absolute;left:19163;top:4752;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" filled="f" stroked="f">
                  <v:textbox inset="0,0,0,0">
                    <w:txbxContent>
                      <w:p w:rsidR="00B302CF" w:rsidRDefault="00B302CF" w:rsidP="00921173">
                        <w:r>
                          <w:rPr>
                            <w:sz w:val="16"/>
                          </w:rPr>
                          <w:t>89</w:t>
                        </w:r>
                      </w:p>
                    </w:txbxContent>
                  </v:textbox>
                </v:rect>
                <v:rect id="Rectangle 25021" o:spid="_x0000_s1097" style="position:absolute;left:17991;top:4752;width:15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" filled="f" stroked="f">
                  <v:textbox inset="0,0,0,0">
                    <w:txbxContent>
                      <w:p w:rsidR="00B302CF" w:rsidRDefault="00B302CF" w:rsidP="00921173">
                        <w:r>
                          <w:rPr>
                            <w:sz w:val="16"/>
                          </w:rPr>
                          <w:t xml:space="preserve"> - </w:t>
                        </w:r>
                      </w:p>
                    </w:txbxContent>
                  </v:textbox>
                </v:rect>
                <v:rect id="Rectangle 25019" o:spid="_x0000_s1098" style="position:absolute;left:16696;top:4752;width:1715;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" filled="f" stroked="f">
                  <v:textbox inset="0,0,0,0">
                    <w:txbxContent>
                      <w:p w:rsidR="00B302CF" w:rsidRDefault="00B302CF" w:rsidP="00921173">
                        <w:r>
                          <w:rPr>
                            <w:sz w:val="16"/>
                          </w:rPr>
                          <w:t>85</w:t>
                        </w:r>
                      </w:p>
                    </w:txbxContent>
                  </v:textbox>
                </v:rect>
                <v:rect id="Rectangle 25017" o:spid="_x0000_s1099" style="position:absolute;left:19163;top:3274;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" filled="f" stroked="f">
                  <v:textbox inset="0,0,0,0">
                    <w:txbxContent>
                      <w:p w:rsidR="00B302CF" w:rsidRDefault="00B302CF" w:rsidP="00921173">
                        <w:r>
                          <w:rPr>
                            <w:sz w:val="16"/>
                          </w:rPr>
                          <w:t>94</w:t>
                        </w:r>
                      </w:p>
                    </w:txbxContent>
                  </v:textbox>
                </v:rect>
                <v:rect id="Rectangle 25018" o:spid="_x0000_s1100" style="position:absolute;left:17991;top:3274;width:15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" filled="f" stroked="f">
                  <v:textbox inset="0,0,0,0">
                    <w:txbxContent>
                      <w:p w:rsidR="00B302CF" w:rsidRDefault="00B302CF" w:rsidP="00921173">
                        <w:r>
                          <w:rPr>
                            <w:sz w:val="16"/>
                          </w:rPr>
                          <w:t xml:space="preserve"> - </w:t>
                        </w:r>
                      </w:p>
                    </w:txbxContent>
                  </v:textbox>
                </v:rect>
                <v:rect id="Rectangle 25016" o:spid="_x0000_s1101" style="position:absolute;left:16696;top:3274;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" filled="f" stroked="f">
                  <v:textbox inset="0,0,0,0">
                    <w:txbxContent>
                      <w:p w:rsidR="00B302CF" w:rsidRDefault="00B302CF" w:rsidP="00921173">
                        <w:r>
                          <w:rPr>
                            <w:sz w:val="16"/>
                          </w:rPr>
                          <w:t>90</w:t>
                        </w:r>
                      </w:p>
                    </w:txbxContent>
                  </v:textbox>
                </v:rect>
                <v:rect id="Rectangle 25013" o:spid="_x0000_s1102" style="position:absolute;left:16696;top:1792;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" filled="f" stroked="f">
                  <v:textbox inset="0,0,0,0">
                    <w:txbxContent>
                      <w:p w:rsidR="00B302CF" w:rsidRDefault="00B302CF" w:rsidP="00921173">
                        <w:r>
                          <w:rPr>
                            <w:sz w:val="16"/>
                          </w:rPr>
                          <w:t>95</w:t>
                        </w:r>
                      </w:p>
                    </w:txbxContent>
                  </v:textbox>
                </v:rect>
                <v:rect id="Rectangle 25015" o:spid="_x0000_s1103" style="position:absolute;left:17991;top:1792;width:15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" filled="f" stroked="f">
                  <v:textbox inset="0,0,0,0">
                    <w:txbxContent>
                      <w:p w:rsidR="00B302CF" w:rsidRDefault="00B302CF" w:rsidP="00921173">
                        <w:r>
                          <w:rPr>
                            <w:sz w:val="16"/>
                          </w:rPr>
                          <w:t xml:space="preserve"> - </w:t>
                        </w:r>
                      </w:p>
                    </w:txbxContent>
                  </v:textbox>
                </v:rect>
                <v:rect id="Rectangle 25014" o:spid="_x0000_s1104" style="position:absolute;left:19163;top:1792;width:1715;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" filled="f" stroked="f">
                  <v:textbox inset="0,0,0,0">
                    <w:txbxContent>
                      <w:p w:rsidR="00B302CF" w:rsidRDefault="00B302CF" w:rsidP="00921173">
                        <w:r>
                          <w:rPr>
                            <w:sz w:val="16"/>
                          </w:rPr>
                          <w:t>99</w:t>
                        </w:r>
                      </w:p>
                    </w:txbxContent>
                  </v:textbox>
                </v:rect>
                <v:rect id="Rectangle 180" o:spid="_x0000_s1105" style="position:absolute;left:16696;top:313;width:4169;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rsidR="00B302CF" w:rsidRDefault="00B302CF" w:rsidP="00921173">
                        <w:r>
                          <w:rPr>
                            <w:sz w:val="16"/>
                          </w:rPr>
                          <w:t>100 +</w:t>
                        </w:r>
                      </w:p>
                    </w:txbxContent>
                  </v:textbox>
                </v:rect>
                <v:shape id="Shape 33387" o:spid="_x0000_s1106" style="position:absolute;left:21724;top:29584;width:7887;height:1082;visibility:visible;mso-wrap-style:square;v-text-anchor:top" coordsize="788670,10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" path="m,l788670,r,108203l,108203,,e" fillcolor="red" stroked="f" strokeweight="0">
                  <v:path arrowok="t" textboxrect="0,0,788670,108203"/>
                </v:shape>
                <v:shape id="Shape 33388" o:spid="_x0000_s1107" style="position:absolute;left:21724;top:28121;width:8375;height:1082;visibility:visible;mso-wrap-style:square;v-text-anchor:top" coordsize="83743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" path="m,l837438,r,108204l,108204,,e" fillcolor="red" stroked="f" strokeweight="0">
                  <v:path arrowok="t" textboxrect="0,0,837438,108204"/>
                </v:shape>
                <v:shape id="Shape 33389" o:spid="_x0000_s1108" style="position:absolute;left:21724;top:26658;width:8649;height:1082;visibility:visible;mso-wrap-style:square;v-text-anchor:top" coordsize="864870,10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" path="m,l864870,r,108203l,108203,,e" fillcolor="red" stroked="f" strokeweight="0">
                  <v:path arrowok="t" textboxrect="0,0,864870,108203"/>
                </v:shape>
                <v:shape id="Shape 33390" o:spid="_x0000_s1109" style="position:absolute;left:21724;top:25195;width:8923;height:1067;visibility:visible;mso-wrap-style:square;v-text-anchor:top" coordsize="892302,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" path="m,l892302,r,106680l,106680,,e" fillcolor="red" stroked="f" strokeweight="0">
                  <v:path arrowok="t" textboxrect="0,0,892302,106680"/>
                </v:shape>
                <v:shape id="Shape 33391" o:spid="_x0000_s1110" style="position:absolute;left:21724;top:23717;width:7811;height:1082;visibility:visible;mso-wrap-style:square;v-text-anchor:top" coordsize="781050,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" path="m,l781050,r,108204l,108204,,e" fillcolor="red" stroked="f" strokeweight="0">
                  <v:path arrowok="t" textboxrect="0,0,781050,108204"/>
                </v:shape>
                <v:shape id="Shape 33392" o:spid="_x0000_s1111" style="position:absolute;left:21724;top:22254;width:7445;height:1082;visibility:visible;mso-wrap-style:square;v-text-anchor:top" coordsize="744474,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" path="m,l744474,r,108204l,108204,,e" fillcolor="red" stroked="f" strokeweight="0">
                  <v:path arrowok="t" textboxrect="0,0,744474,108204"/>
                </v:shape>
                <v:shape id="Shape 33393" o:spid="_x0000_s1112" style="position:absolute;left:21724;top:20791;width:9441;height:1066;visibility:visible;mso-wrap-style:square;v-text-anchor:top" coordsize="944118,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" path="m,l944118,r,106680l,106680,,e" fillcolor="red" stroked="f" strokeweight="0">
                  <v:path arrowok="t" textboxrect="0,0,944118,106680"/>
                </v:shape>
                <v:shape id="Shape 33394" o:spid="_x0000_s1113" style="position:absolute;left:21724;top:19312;width:11758;height:1082;visibility:visible;mso-wrap-style:square;v-text-anchor:top" coordsize="1175766,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" path="m,l1175766,r,108204l,108204,,e" fillcolor="red" stroked="f" strokeweight="0">
                  <v:path arrowok="t" textboxrect="0,0,1175766,108204"/>
                </v:shape>
                <v:shape id="Shape 33395" o:spid="_x0000_s1114" style="position:absolute;left:21724;top:17849;width:12185;height:1082;visibility:visible;mso-wrap-style:square;v-text-anchor:top" coordsize="121843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" path="m,l1218438,r,108204l,108204,,e" fillcolor="red" stroked="f" strokeweight="0">
                  <v:path arrowok="t" textboxrect="0,0,1218438,108204"/>
                </v:shape>
                <v:shape id="Shape 33396" o:spid="_x0000_s1115" style="position:absolute;left:21724;top:16386;width:13769;height:1082;visibility:visible;mso-wrap-style:square;v-text-anchor:top" coordsize="1376934,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" path="m,l1376934,r,108204l,108204,,e" fillcolor="red" stroked="f" strokeweight="0">
                  <v:path arrowok="t" textboxrect="0,0,1376934,108204"/>
                </v:shape>
                <v:shape id="Shape 33397" o:spid="_x0000_s1116" style="position:absolute;left:21724;top:14908;width:13785;height:1082;visibility:visible;mso-wrap-style:square;v-text-anchor:top" coordsize="137845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" path="m,l1378458,r,108204l,108204,,e" fillcolor="red" stroked="f" strokeweight="0">
                  <v:path arrowok="t" textboxrect="0,0,1378458,108204"/>
                </v:shape>
                <v:shape id="Shape 33398" o:spid="_x0000_s1117" style="position:absolute;left:21724;top:13445;width:13053;height:1082;visibility:visible;mso-wrap-style:square;v-text-anchor:top" coordsize="1305306,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" path="m,l1305306,r,108204l,108204,,e" fillcolor="red" stroked="f" strokeweight="0">
                  <v:path arrowok="t" textboxrect="0,0,1305306,108204"/>
                </v:shape>
                <v:shape id="Shape 33399" o:spid="_x0000_s1118" style="position:absolute;left:21724;top:11982;width:13495;height:1082;visibility:visible;mso-wrap-style:square;v-text-anchor:top" coordsize="1349502,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" path="m,l1349502,r,108204l,108204,,e" fillcolor="red" stroked="f" strokeweight="0">
                  <v:path arrowok="t" textboxrect="0,0,1349502,108204"/>
                </v:shape>
                <v:shape id="Shape 33400" o:spid="_x0000_s1119" style="position:absolute;left:21724;top:10504;width:14059;height:1082;visibility:visible;mso-wrap-style:square;v-text-anchor:top" coordsize="1405890,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" path="m,l1405890,r,108204l,108204,,e" fillcolor="red" stroked="f" strokeweight="0">
                  <v:path arrowok="t" textboxrect="0,0,1405890,108204"/>
                </v:shape>
                <v:shape id="Shape 33401" o:spid="_x0000_s1120" style="position:absolute;left:21724;top:9041;width:13815;height:1082;visibility:visible;mso-wrap-style:square;v-text-anchor:top" coordsize="1381506,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" path="m,l1381506,r,108204l,108204,,e" fillcolor="red" stroked="f" strokeweight="0">
                  <v:path arrowok="t" textboxrect="0,0,1381506,108204"/>
                </v:shape>
                <v:shape id="Shape 33402" o:spid="_x0000_s1121" style="position:absolute;left:21724;top:7578;width:12032;height:1082;visibility:visible;mso-wrap-style:square;v-text-anchor:top" coordsize="120319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" path="m,l1203198,r,108204l,108204,,e" fillcolor="red" stroked="f" strokeweight="0">
                  <v:path arrowok="t" textboxrect="0,0,1203198,108204"/>
                </v:shape>
                <v:shape id="Shape 33403" o:spid="_x0000_s1122" style="position:absolute;left:21724;top:6115;width:7414;height:1066;visibility:visible;mso-wrap-style:square;v-text-anchor:top" coordsize="741426,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" path="m,l741426,r,106680l,106680,,e" fillcolor="red" stroked="f" strokeweight="0">
                  <v:path arrowok="t" textboxrect="0,0,741426,106680"/>
                </v:shape>
                <v:shape id="Shape 33404" o:spid="_x0000_s1123" style="position:absolute;left:21724;top:4636;width:4031;height:1082;visibility:visible;mso-wrap-style:square;v-text-anchor:top" coordsize="40309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" path="m,l403098,r,108204l,108204,,e" fillcolor="red" stroked="f" strokeweight="0">
                  <v:path arrowok="t" textboxrect="0,0,403098,108204"/>
                </v:shape>
                <v:shape id="Shape 33405" o:spid="_x0000_s1124" style="position:absolute;left:21724;top:3173;width:1486;height:1082;visibility:visible;mso-wrap-style:square;v-text-anchor:top" coordsize="148590,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" path="m,l148590,r,108204l,108204,,e" fillcolor="red" stroked="f" strokeweight="0">
                  <v:path arrowok="t" textboxrect="0,0,148590,108204"/>
                </v:shape>
                <v:shape id="Shape 33406" o:spid="_x0000_s1125" style="position:absolute;left:21724;top:1710;width:236;height:1067;visibility:visible;mso-wrap-style:square;v-text-anchor:top" coordsize="23622,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" path="m,l23622,r,106680l,106680,,e" fillcolor="red" stroked="f" strokeweight="0">
                  <v:path arrowok="t" textboxrect="0,0,23622,106680"/>
                </v:shape>
                <v:shape id="Shape 33407" o:spid="_x0000_s1126" style="position:absolute;left:21724;top:232;width:92;height:1082;visibility:visible;mso-wrap-style:square;v-text-anchor:top" coordsize="9144,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" path="m,l9144,r,108204l,108204,,e" fillcolor="red" stroked="f" strokeweight="0">
                  <v:path arrowok="t" textboxrect="0,0,9144,108204"/>
                </v:shape>
                <v:shape id="Shape 204" o:spid="_x0000_s1127" style="position:absolute;left:21724;top:29584;width:7887;height:1082;visibility:visible;mso-wrap-style:square;v-text-anchor:top" coordsize="788670,10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" path="m788670,108203l,108203,,,788670,r,108203xe" filled="f" strokecolor="red" strokeweight="1pt">
                  <v:path arrowok="t" textboxrect="0,0,788670,108203"/>
                </v:shape>
                <v:shape id="Shape 205" o:spid="_x0000_s1128" style="position:absolute;left:21724;top:28121;width:8375;height:1082;visibility:visible;mso-wrap-style:square;v-text-anchor:top" coordsize="83743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" path="m837438,108204l,108204,,,837438,r,108204xe" filled="f" strokecolor="red" strokeweight="1pt">
                  <v:path arrowok="t" textboxrect="0,0,837438,108204"/>
                </v:shape>
                <v:shape id="Shape 206" o:spid="_x0000_s1129" style="position:absolute;left:21724;top:26658;width:8649;height:1082;visibility:visible;mso-wrap-style:square;v-text-anchor:top" coordsize="864870,10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" path="m864870,108203l,108203,,,864870,r,108203xe" filled="f" strokecolor="red" strokeweight="1pt">
                  <v:path arrowok="t" textboxrect="0,0,864870,108203"/>
                </v:shape>
                <v:shape id="Shape 207" o:spid="_x0000_s1130" style="position:absolute;left:21724;top:25195;width:8923;height:1067;visibility:visible;mso-wrap-style:square;v-text-anchor:top" coordsize="892302,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" path="m892302,106680l,106680,,,892302,r,106680xe" filled="f" strokecolor="red" strokeweight="1pt">
                  <v:path arrowok="t" textboxrect="0,0,892302,106680"/>
                </v:shape>
                <v:shape id="Shape 208" o:spid="_x0000_s1131" style="position:absolute;left:21724;top:23717;width:7811;height:1082;visibility:visible;mso-wrap-style:square;v-text-anchor:top" coordsize="781050,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" path="m781050,108204l,108204,,,781050,r,108204xe" filled="f" strokecolor="red" strokeweight="1pt">
                  <v:path arrowok="t" textboxrect="0,0,781050,108204"/>
                </v:shape>
                <v:shape id="Shape 209" o:spid="_x0000_s1132" style="position:absolute;left:21724;top:22254;width:7445;height:1082;visibility:visible;mso-wrap-style:square;v-text-anchor:top" coordsize="744474,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" path="m744474,108204l,108204,,,744474,r,108204xe" filled="f" strokecolor="red" strokeweight="1pt">
                  <v:path arrowok="t" textboxrect="0,0,744474,108204"/>
                </v:shape>
                <v:shape id="Shape 210" o:spid="_x0000_s1133" style="position:absolute;left:21724;top:20791;width:9441;height:1066;visibility:visible;mso-wrap-style:square;v-text-anchor:top" coordsize="944118,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" path="m944118,106680l,106680,,,944118,r,106680xe" filled="f" strokecolor="red" strokeweight="1pt">
                  <v:path arrowok="t" textboxrect="0,0,944118,106680"/>
                </v:shape>
                <v:shape id="Shape 211" o:spid="_x0000_s1134" style="position:absolute;left:21724;top:19312;width:11758;height:1082;visibility:visible;mso-wrap-style:square;v-text-anchor:top" coordsize="1175766,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" path="m1175766,108204l,108204,,,1175766,r,108204xe" filled="f" strokecolor="red" strokeweight="1pt">
                  <v:path arrowok="t" textboxrect="0,0,1175766,108204"/>
                </v:shape>
                <v:shape id="Shape 212" o:spid="_x0000_s1135" style="position:absolute;left:21724;top:17849;width:12185;height:1082;visibility:visible;mso-wrap-style:square;v-text-anchor:top" coordsize="121843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" path="m1218438,108204l,108204,,,1218438,r,108204xe" filled="f" strokecolor="red" strokeweight="1pt">
                  <v:path arrowok="t" textboxrect="0,0,1218438,108204"/>
                </v:shape>
                <v:shape id="Shape 213" o:spid="_x0000_s1136" style="position:absolute;left:21724;top:16386;width:13769;height:1082;visibility:visible;mso-wrap-style:square;v-text-anchor:top" coordsize="1376934,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" path="m1376934,108204l,108204,,,1376934,r,108204xe" filled="f" strokecolor="red" strokeweight="1pt">
                  <v:path arrowok="t" textboxrect="0,0,1376934,108204"/>
                </v:shape>
                <v:shape id="Shape 214" o:spid="_x0000_s1137" style="position:absolute;left:21724;top:14908;width:13785;height:1082;visibility:visible;mso-wrap-style:square;v-text-anchor:top" coordsize="137845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" path="m1378458,108204l,108204,,,1378458,r,108204xe" filled="f" strokecolor="red" strokeweight="1pt">
                  <v:path arrowok="t" textboxrect="0,0,1378458,108204"/>
                </v:shape>
                <v:shape id="Shape 215" o:spid="_x0000_s1138" style="position:absolute;left:21724;top:13445;width:13053;height:1082;visibility:visible;mso-wrap-style:square;v-text-anchor:top" coordsize="1305306,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" path="m1305306,108204l,108204,,,1305306,r,108204xe" filled="f" strokecolor="red" strokeweight="1pt">
                  <v:path arrowok="t" textboxrect="0,0,1305306,108204"/>
                </v:shape>
                <v:shape id="Shape 216" o:spid="_x0000_s1139" style="position:absolute;left:21724;top:11982;width:13495;height:1082;visibility:visible;mso-wrap-style:square;v-text-anchor:top" coordsize="1349502,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" path="m1349502,108204l,108204,,,1349502,r,108204xe" filled="f" strokecolor="red" strokeweight="1pt">
                  <v:path arrowok="t" textboxrect="0,0,1349502,108204"/>
                </v:shape>
                <v:shape id="Shape 217" o:spid="_x0000_s1140" style="position:absolute;left:21724;top:10504;width:14059;height:1082;visibility:visible;mso-wrap-style:square;v-text-anchor:top" coordsize="1405890,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" path="m1405890,108204l,108204,,,1405890,r,108204xe" filled="f" strokecolor="red" strokeweight="1pt">
                  <v:path arrowok="t" textboxrect="0,0,1405890,108204"/>
                </v:shape>
                <v:shape id="Shape 218" o:spid="_x0000_s1141" style="position:absolute;left:21724;top:9041;width:13815;height:1082;visibility:visible;mso-wrap-style:square;v-text-anchor:top" coordsize="1381506,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" path="m1381506,108204l,108204,,,1381506,r,108204xe" filled="f" strokecolor="red" strokeweight="1pt">
                  <v:path arrowok="t" textboxrect="0,0,1381506,108204"/>
                </v:shape>
                <v:shape id="Shape 219" o:spid="_x0000_s1142" style="position:absolute;left:21724;top:7578;width:12032;height:1082;visibility:visible;mso-wrap-style:square;v-text-anchor:top" coordsize="120319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" path="m1203198,108204l,108204,,,1203198,r,108204xe" filled="f" strokecolor="red" strokeweight="1pt">
                  <v:path arrowok="t" textboxrect="0,0,1203198,108204"/>
                </v:shape>
                <v:shape id="Shape 220" o:spid="_x0000_s1143" style="position:absolute;left:21724;top:6115;width:7414;height:1066;visibility:visible;mso-wrap-style:square;v-text-anchor:top" coordsize="741426,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" path="m741426,106680l,106680,,,741426,r,106680xe" filled="f" strokecolor="red" strokeweight="1pt">
                  <v:path arrowok="t" textboxrect="0,0,741426,106680"/>
                </v:shape>
                <v:shape id="Shape 221" o:spid="_x0000_s1144" style="position:absolute;left:21724;top:4636;width:4031;height:1082;visibility:visible;mso-wrap-style:square;v-text-anchor:top" coordsize="403098,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" path="m403098,108204l,108204,,,403098,r,108204xe" filled="f" strokecolor="red" strokeweight="1pt">
                  <v:path arrowok="t" textboxrect="0,0,403098,108204"/>
                </v:shape>
                <v:shape id="Shape 222" o:spid="_x0000_s1145" style="position:absolute;left:21724;top:3173;width:1486;height:1082;visibility:visible;mso-wrap-style:square;v-text-anchor:top" coordsize="148590,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" path="m148590,108204l,108204,,,148590,r,108204xe" filled="f" strokecolor="red" strokeweight="1pt">
                  <v:path arrowok="t" textboxrect="0,0,148590,108204"/>
                </v:shape>
                <v:shape id="Shape 223" o:spid="_x0000_s1146" style="position:absolute;left:21724;top:1710;width:236;height:1067;visibility:visible;mso-wrap-style:square;v-text-anchor:top" coordsize="23622,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" path="m23622,106680l,106680,,,23622,r,106680xe" filled="f" strokecolor="red" strokeweight="1pt">
                  <v:path arrowok="t" textboxrect="0,0,23622,106680"/>
                </v:shape>
                <v:shape id="Shape 224" o:spid="_x0000_s1147" style="position:absolute;left:21724;top:232;width:23;height:1082;visibility:visible;mso-wrap-style:square;v-text-anchor:top" coordsize="2286,1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" path="m2286,108204r-2286,l,,2286,r,108204xe" filled="f" strokecolor="red" strokeweight="1pt">
                  <v:path arrowok="t" textboxrect="0,0,2286,108204"/>
                </v:shape>
                <v:shape id="Shape 225" o:spid="_x0000_s1148" style="position:absolute;left:21724;top:43;width:0;height:30821;visibility:visible;mso-wrap-style:square;v-text-anchor:top" coordsize="0,308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" path="m,3082163l,e" filled="f" strokecolor="#d9d9d9">
                  <v:path arrowok="t" textboxrect="0,0,0,3082163"/>
                </v:shape>
                <w10:anchorlock/>
              </v:group>
            </w:pict>
          </mc:Fallback>
        </mc:AlternateContent>
      </w:r>
    </w:p>
    <w:p w14:paraId="432D73DB" w14:textId="77777777" w:rsidR="00921173" w:rsidRPr="00921173" w:rsidRDefault="00921173" w:rsidP="00921173">
      <w:pPr>
        <w:tabs>
          <w:tab w:val="center" w:pos="1398"/>
          <w:tab w:val="center" w:pos="2371"/>
          <w:tab w:val="center" w:pos="3342"/>
          <w:tab w:val="center" w:pos="4286"/>
          <w:tab w:val="center" w:pos="5180"/>
          <w:tab w:val="center" w:pos="6074"/>
          <w:tab w:val="center" w:pos="6968"/>
        </w:tabs>
        <w:spacing w:after="192"/>
        <w:rPr>
          <w:rFonts w:ascii="Times New Roman" w:eastAsia="Verdana" w:hAnsi="Times New Roman" w:cs="Times New Roman"/>
          <w:color w:val="000000"/>
          <w:sz w:val="20"/>
          <w:lang w:eastAsia="bg-BG"/>
        </w:rPr>
      </w:pPr>
      <w:r w:rsidRPr="00921173">
        <w:rPr>
          <w:rFonts w:ascii="Times New Roman" w:eastAsia="Verdana" w:hAnsi="Times New Roman" w:cs="Times New Roman"/>
          <w:color w:val="000000"/>
          <w:sz w:val="16"/>
          <w:lang w:eastAsia="bg-BG"/>
        </w:rPr>
        <w:t>300000</w:t>
      </w:r>
      <w:r w:rsidRPr="00921173">
        <w:rPr>
          <w:rFonts w:ascii="Times New Roman" w:eastAsia="Verdana" w:hAnsi="Times New Roman" w:cs="Times New Roman"/>
          <w:color w:val="000000"/>
          <w:sz w:val="16"/>
          <w:lang w:eastAsia="bg-BG"/>
        </w:rPr>
        <w:tab/>
        <w:t>200000</w:t>
      </w:r>
      <w:r w:rsidRPr="00921173">
        <w:rPr>
          <w:rFonts w:ascii="Times New Roman" w:eastAsia="Verdana" w:hAnsi="Times New Roman" w:cs="Times New Roman"/>
          <w:color w:val="000000"/>
          <w:sz w:val="16"/>
          <w:lang w:eastAsia="bg-BG"/>
        </w:rPr>
        <w:tab/>
        <w:t>100000</w:t>
      </w:r>
      <w:r w:rsidRPr="00921173">
        <w:rPr>
          <w:rFonts w:ascii="Times New Roman" w:eastAsia="Verdana" w:hAnsi="Times New Roman" w:cs="Times New Roman"/>
          <w:color w:val="000000"/>
          <w:sz w:val="16"/>
          <w:lang w:eastAsia="bg-BG"/>
        </w:rPr>
        <w:tab/>
        <w:t>0</w:t>
      </w:r>
      <w:r w:rsidRPr="00921173">
        <w:rPr>
          <w:rFonts w:ascii="Times New Roman" w:eastAsia="Verdana" w:hAnsi="Times New Roman" w:cs="Times New Roman"/>
          <w:color w:val="000000"/>
          <w:sz w:val="16"/>
          <w:lang w:eastAsia="bg-BG"/>
        </w:rPr>
        <w:tab/>
        <w:t>0</w:t>
      </w:r>
      <w:r w:rsidRPr="00921173">
        <w:rPr>
          <w:rFonts w:ascii="Times New Roman" w:eastAsia="Verdana" w:hAnsi="Times New Roman" w:cs="Times New Roman"/>
          <w:color w:val="000000"/>
          <w:sz w:val="16"/>
          <w:lang w:eastAsia="bg-BG"/>
        </w:rPr>
        <w:tab/>
        <w:t>100000</w:t>
      </w:r>
      <w:r w:rsidRPr="00921173">
        <w:rPr>
          <w:rFonts w:ascii="Times New Roman" w:eastAsia="Verdana" w:hAnsi="Times New Roman" w:cs="Times New Roman"/>
          <w:color w:val="000000"/>
          <w:sz w:val="16"/>
          <w:lang w:eastAsia="bg-BG"/>
        </w:rPr>
        <w:tab/>
        <w:t>200000</w:t>
      </w:r>
      <w:r w:rsidRPr="00921173">
        <w:rPr>
          <w:rFonts w:ascii="Times New Roman" w:eastAsia="Verdana" w:hAnsi="Times New Roman" w:cs="Times New Roman"/>
          <w:color w:val="000000"/>
          <w:sz w:val="16"/>
          <w:lang w:eastAsia="bg-BG"/>
        </w:rPr>
        <w:tab/>
        <w:t>300000</w:t>
      </w:r>
    </w:p>
    <w:p w14:paraId="41C272EC" w14:textId="77777777" w:rsidR="00921173" w:rsidRPr="00921173" w:rsidRDefault="00921173" w:rsidP="00921173">
      <w:pPr>
        <w:tabs>
          <w:tab w:val="center" w:pos="2830"/>
          <w:tab w:val="center" w:pos="4635"/>
        </w:tabs>
        <w:spacing w:after="82"/>
        <w:rPr>
          <w:rFonts w:ascii="Times New Roman" w:eastAsia="Verdana" w:hAnsi="Times New Roman" w:cs="Times New Roman"/>
          <w:color w:val="000000"/>
          <w:sz w:val="20"/>
          <w:lang w:eastAsia="bg-BG"/>
        </w:rPr>
      </w:pPr>
      <w:r w:rsidRPr="00921173">
        <w:rPr>
          <w:rFonts w:ascii="Times New Roman" w:eastAsia="Calibri" w:hAnsi="Times New Roman" w:cs="Times New Roman"/>
          <w:color w:val="000000"/>
          <w:lang w:eastAsia="bg-BG"/>
        </w:rPr>
        <w:tab/>
      </w:r>
      <w:r w:rsidRPr="00921173">
        <w:rPr>
          <w:rFonts w:ascii="Times New Roman" w:eastAsia="Verdana" w:hAnsi="Times New Roman" w:cs="Times New Roman"/>
          <w:color w:val="000000"/>
          <w:sz w:val="16"/>
          <w:lang w:eastAsia="bg-BG"/>
        </w:rPr>
        <w:t>Мъже</w:t>
      </w:r>
      <w:r w:rsidRPr="00921173">
        <w:rPr>
          <w:rFonts w:ascii="Times New Roman" w:eastAsia="Verdana" w:hAnsi="Times New Roman" w:cs="Times New Roman"/>
          <w:color w:val="000000"/>
          <w:sz w:val="16"/>
          <w:lang w:eastAsia="bg-BG"/>
        </w:rPr>
        <w:tab/>
        <w:t>Жени</w:t>
      </w:r>
    </w:p>
    <w:p w14:paraId="5BBFA3D2" w14:textId="77777777" w:rsidR="00921173" w:rsidRPr="00697E55" w:rsidRDefault="00921173" w:rsidP="00432FAD">
      <w:pPr>
        <w:spacing w:after="0" w:line="240" w:lineRule="auto"/>
        <w:jc w:val="right"/>
        <w:rPr>
          <w:rFonts w:ascii="Times New Roman" w:eastAsia="Calibri" w:hAnsi="Times New Roman" w:cs="Times New Roman"/>
          <w:i/>
          <w:sz w:val="20"/>
          <w:szCs w:val="20"/>
        </w:rPr>
      </w:pPr>
      <w:r w:rsidRPr="00697E55">
        <w:rPr>
          <w:rFonts w:ascii="Times New Roman" w:eastAsia="Calibri" w:hAnsi="Times New Roman" w:cs="Times New Roman"/>
          <w:i/>
          <w:sz w:val="20"/>
          <w:szCs w:val="20"/>
        </w:rPr>
        <w:t>Източник: НСИ</w:t>
      </w:r>
    </w:p>
    <w:p w14:paraId="61FC9231" w14:textId="77777777" w:rsidR="00A97432" w:rsidRDefault="00A97432" w:rsidP="00276299">
      <w:pPr>
        <w:spacing w:after="0" w:line="240" w:lineRule="auto"/>
        <w:jc w:val="both"/>
        <w:rPr>
          <w:rFonts w:ascii="Times New Roman" w:eastAsia="Times New Roman" w:hAnsi="Times New Roman" w:cs="Times New Roman"/>
          <w:color w:val="333333"/>
          <w:sz w:val="24"/>
          <w:szCs w:val="24"/>
        </w:rPr>
      </w:pPr>
    </w:p>
    <w:p w14:paraId="31815903" w14:textId="77777777" w:rsidR="00597D68" w:rsidRDefault="00276299" w:rsidP="00276299">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sidR="00921173" w:rsidRPr="00921173">
        <w:rPr>
          <w:rFonts w:ascii="Times New Roman" w:eastAsia="Times New Roman" w:hAnsi="Times New Roman" w:cs="Times New Roman"/>
          <w:b/>
          <w:bCs/>
          <w:color w:val="333333"/>
          <w:sz w:val="24"/>
          <w:szCs w:val="24"/>
        </w:rPr>
        <w:t xml:space="preserve">Продължава процесът на застаряване на населението </w:t>
      </w:r>
      <w:r w:rsidR="00921173" w:rsidRPr="00921173">
        <w:rPr>
          <w:rFonts w:ascii="Times New Roman" w:eastAsia="Times New Roman" w:hAnsi="Times New Roman" w:cs="Times New Roman"/>
          <w:color w:val="333333"/>
          <w:sz w:val="24"/>
          <w:szCs w:val="24"/>
        </w:rPr>
        <w:t>В края на 2024 г. лицата на 65 и повече навършени години са 1 544 245, или 24.0% от населението на страната. В регионален аспект делът на лицата на 65 и повече навършени години е най-висок в областите Видин (31.4%), Габрово (30.5%) и Смолян (30.0%). Най-нисък е делът на възрастното населен</w:t>
      </w:r>
      <w:r w:rsidR="00D64326">
        <w:rPr>
          <w:rFonts w:ascii="Times New Roman" w:eastAsia="Times New Roman" w:hAnsi="Times New Roman" w:cs="Times New Roman"/>
          <w:color w:val="333333"/>
          <w:sz w:val="24"/>
          <w:szCs w:val="24"/>
        </w:rPr>
        <w:t>ие в областите София (столица) – 19.2%, Варна – 21.6%, и Сливен –</w:t>
      </w:r>
      <w:r w:rsidR="00921173" w:rsidRPr="00921173">
        <w:rPr>
          <w:rFonts w:ascii="Times New Roman" w:eastAsia="Times New Roman" w:hAnsi="Times New Roman" w:cs="Times New Roman"/>
          <w:color w:val="333333"/>
          <w:sz w:val="24"/>
          <w:szCs w:val="24"/>
        </w:rPr>
        <w:t xml:space="preserve"> 22.5%.</w:t>
      </w:r>
    </w:p>
    <w:p w14:paraId="4A40A18E" w14:textId="77777777" w:rsidR="00B721B9" w:rsidRPr="00B721B9" w:rsidRDefault="00B721B9" w:rsidP="00276299">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sidRPr="00B721B9">
        <w:rPr>
          <w:rFonts w:ascii="Times New Roman" w:eastAsia="Times New Roman" w:hAnsi="Times New Roman" w:cs="Times New Roman"/>
          <w:color w:val="333333"/>
          <w:sz w:val="24"/>
          <w:szCs w:val="24"/>
        </w:rPr>
        <w:t>Към 31.12.2024 г.</w:t>
      </w:r>
      <w:r w:rsidRPr="00B721B9">
        <w:rPr>
          <w:rFonts w:ascii="Times New Roman" w:eastAsia="Times New Roman" w:hAnsi="Times New Roman" w:cs="Times New Roman"/>
          <w:b/>
          <w:color w:val="333333"/>
          <w:sz w:val="24"/>
          <w:szCs w:val="24"/>
        </w:rPr>
        <w:t xml:space="preserve"> общият коефициент на възрастова зависимост</w:t>
      </w:r>
      <w:r w:rsidRPr="00B721B9">
        <w:rPr>
          <w:rFonts w:ascii="Times New Roman" w:eastAsia="Times New Roman" w:hAnsi="Times New Roman" w:cs="Times New Roman"/>
          <w:b/>
          <w:color w:val="333333"/>
          <w:sz w:val="24"/>
          <w:szCs w:val="24"/>
          <w:vertAlign w:val="superscript"/>
        </w:rPr>
        <w:footnoteReference w:id="1"/>
      </w:r>
      <w:r w:rsidRPr="00B721B9">
        <w:rPr>
          <w:rFonts w:ascii="Times New Roman" w:eastAsia="Times New Roman" w:hAnsi="Times New Roman" w:cs="Times New Roman"/>
          <w:b/>
          <w:color w:val="333333"/>
          <w:sz w:val="24"/>
          <w:szCs w:val="24"/>
        </w:rPr>
        <w:t xml:space="preserve"> в България е 61.3%.</w:t>
      </w:r>
      <w:r w:rsidRPr="00B721B9">
        <w:rPr>
          <w:rFonts w:ascii="Times New Roman" w:eastAsia="Times New Roman" w:hAnsi="Times New Roman" w:cs="Times New Roman"/>
          <w:color w:val="333333"/>
          <w:sz w:val="24"/>
          <w:szCs w:val="24"/>
        </w:rPr>
        <w:t xml:space="preserve"> Най-ниска е стойността на</w:t>
      </w:r>
      <w:r w:rsidR="00720B00">
        <w:rPr>
          <w:rFonts w:ascii="Times New Roman" w:eastAsia="Times New Roman" w:hAnsi="Times New Roman" w:cs="Times New Roman"/>
          <w:color w:val="333333"/>
          <w:sz w:val="24"/>
          <w:szCs w:val="24"/>
        </w:rPr>
        <w:t xml:space="preserve"> коефициента в София (столица) –</w:t>
      </w:r>
      <w:r w:rsidRPr="00B721B9">
        <w:rPr>
          <w:rFonts w:ascii="Times New Roman" w:eastAsia="Times New Roman" w:hAnsi="Times New Roman" w:cs="Times New Roman"/>
          <w:color w:val="333333"/>
          <w:sz w:val="24"/>
          <w:szCs w:val="24"/>
        </w:rPr>
        <w:t xml:space="preserve"> 51.2%, а най-неблагоприятно </w:t>
      </w:r>
      <w:r w:rsidR="00720B00">
        <w:rPr>
          <w:rFonts w:ascii="Times New Roman" w:eastAsia="Times New Roman" w:hAnsi="Times New Roman" w:cs="Times New Roman"/>
          <w:color w:val="333333"/>
          <w:sz w:val="24"/>
          <w:szCs w:val="24"/>
        </w:rPr>
        <w:t>е съотношението в област Видин –</w:t>
      </w:r>
      <w:r w:rsidRPr="00B721B9">
        <w:rPr>
          <w:rFonts w:ascii="Times New Roman" w:eastAsia="Times New Roman" w:hAnsi="Times New Roman" w:cs="Times New Roman"/>
          <w:color w:val="333333"/>
          <w:sz w:val="24"/>
          <w:szCs w:val="24"/>
        </w:rPr>
        <w:t xml:space="preserve"> 74.9%.   </w:t>
      </w:r>
    </w:p>
    <w:p w14:paraId="2C8299C8" w14:textId="77777777" w:rsidR="00B721B9" w:rsidRDefault="00720B00" w:rsidP="00276299">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B721B9" w:rsidRPr="00B721B9">
        <w:rPr>
          <w:rFonts w:ascii="Times New Roman" w:eastAsia="Times New Roman" w:hAnsi="Times New Roman" w:cs="Times New Roman"/>
          <w:color w:val="333333"/>
          <w:sz w:val="24"/>
          <w:szCs w:val="24"/>
        </w:rPr>
        <w:t>Застаряването на населението през годините води до повишаване на неговата</w:t>
      </w:r>
      <w:r w:rsidR="00B721B9" w:rsidRPr="00B721B9">
        <w:rPr>
          <w:rFonts w:ascii="Times New Roman" w:eastAsia="Times New Roman" w:hAnsi="Times New Roman" w:cs="Times New Roman"/>
          <w:b/>
          <w:color w:val="333333"/>
          <w:sz w:val="24"/>
          <w:szCs w:val="24"/>
        </w:rPr>
        <w:t xml:space="preserve"> средна възраст</w:t>
      </w:r>
      <w:r w:rsidR="00B721B9" w:rsidRPr="00B721B9">
        <w:rPr>
          <w:rFonts w:ascii="Times New Roman" w:eastAsia="Times New Roman" w:hAnsi="Times New Roman" w:cs="Times New Roman"/>
          <w:color w:val="333333"/>
          <w:sz w:val="24"/>
          <w:szCs w:val="24"/>
        </w:rPr>
        <w:t xml:space="preserve">, която нараства до </w:t>
      </w:r>
      <w:r w:rsidR="00B721B9" w:rsidRPr="00B721B9">
        <w:rPr>
          <w:rFonts w:ascii="Times New Roman" w:eastAsia="Times New Roman" w:hAnsi="Times New Roman" w:cs="Times New Roman"/>
          <w:b/>
          <w:color w:val="333333"/>
          <w:sz w:val="24"/>
          <w:szCs w:val="24"/>
        </w:rPr>
        <w:t>45.3 години в края на 2024 година.</w:t>
      </w:r>
      <w:r w:rsidR="00B721B9" w:rsidRPr="00B721B9">
        <w:rPr>
          <w:rFonts w:ascii="Times New Roman" w:eastAsia="Times New Roman" w:hAnsi="Times New Roman" w:cs="Times New Roman"/>
          <w:color w:val="333333"/>
          <w:sz w:val="24"/>
          <w:szCs w:val="24"/>
        </w:rPr>
        <w:t xml:space="preserve"> Средната възраст на населението в градовете е 44.5 години, а в селата </w:t>
      </w:r>
      <w:r w:rsidR="00142BE4" w:rsidRPr="00142BE4">
        <w:rPr>
          <w:rFonts w:ascii="Times New Roman" w:eastAsia="Times New Roman" w:hAnsi="Times New Roman" w:cs="Times New Roman"/>
          <w:color w:val="333333"/>
          <w:sz w:val="24"/>
          <w:szCs w:val="24"/>
        </w:rPr>
        <w:t xml:space="preserve">– </w:t>
      </w:r>
      <w:r w:rsidR="00B721B9" w:rsidRPr="00B721B9">
        <w:rPr>
          <w:rFonts w:ascii="Times New Roman" w:eastAsia="Times New Roman" w:hAnsi="Times New Roman" w:cs="Times New Roman"/>
          <w:color w:val="333333"/>
          <w:sz w:val="24"/>
          <w:szCs w:val="24"/>
        </w:rPr>
        <w:t xml:space="preserve">47.6 години. </w:t>
      </w:r>
    </w:p>
    <w:p w14:paraId="2952554A" w14:textId="77777777" w:rsidR="00B721B9" w:rsidRDefault="00B721B9" w:rsidP="00B721B9">
      <w:pPr>
        <w:spacing w:after="0" w:line="240" w:lineRule="auto"/>
        <w:jc w:val="both"/>
        <w:rPr>
          <w:rFonts w:ascii="Times New Roman" w:eastAsia="Times New Roman" w:hAnsi="Times New Roman" w:cs="Times New Roman"/>
          <w:color w:val="333333"/>
          <w:sz w:val="24"/>
          <w:szCs w:val="24"/>
        </w:rPr>
      </w:pPr>
    </w:p>
    <w:p w14:paraId="569EC43C" w14:textId="77777777" w:rsidR="00F17C4E" w:rsidRDefault="00F17C4E" w:rsidP="00B721B9">
      <w:pPr>
        <w:keepNext/>
        <w:keepLines/>
        <w:spacing w:after="337" w:line="265" w:lineRule="auto"/>
        <w:ind w:left="10" w:right="511"/>
        <w:jc w:val="both"/>
        <w:outlineLvl w:val="0"/>
        <w:rPr>
          <w:rFonts w:ascii="Times New Roman" w:eastAsia="Verdana" w:hAnsi="Times New Roman" w:cs="Times New Roman"/>
          <w:b/>
          <w:color w:val="000000"/>
          <w:sz w:val="24"/>
          <w:szCs w:val="24"/>
          <w:lang w:eastAsia="bg-BG"/>
        </w:rPr>
      </w:pPr>
    </w:p>
    <w:p w14:paraId="23DB0F29" w14:textId="77777777" w:rsidR="00B721B9" w:rsidRDefault="00B721B9" w:rsidP="00B721B9">
      <w:pPr>
        <w:keepNext/>
        <w:keepLines/>
        <w:spacing w:after="337" w:line="265" w:lineRule="auto"/>
        <w:ind w:left="10" w:right="511"/>
        <w:jc w:val="both"/>
        <w:outlineLvl w:val="0"/>
        <w:rPr>
          <w:rFonts w:ascii="Times New Roman" w:eastAsia="Verdana" w:hAnsi="Times New Roman" w:cs="Times New Roman"/>
          <w:b/>
          <w:color w:val="000000"/>
          <w:sz w:val="24"/>
          <w:szCs w:val="24"/>
          <w:lang w:eastAsia="bg-BG"/>
        </w:rPr>
      </w:pPr>
      <w:r w:rsidRPr="00B721B9">
        <w:rPr>
          <w:rFonts w:ascii="Times New Roman" w:eastAsia="Verdana" w:hAnsi="Times New Roman" w:cs="Times New Roman"/>
          <w:b/>
          <w:color w:val="000000"/>
          <w:sz w:val="24"/>
          <w:szCs w:val="24"/>
          <w:lang w:eastAsia="bg-BG"/>
        </w:rPr>
        <w:t xml:space="preserve">Фиг. 2. Средна възраст на населението </w:t>
      </w:r>
    </w:p>
    <w:p w14:paraId="25E157CF" w14:textId="77777777" w:rsidR="00F17C4E" w:rsidRPr="00B721B9" w:rsidRDefault="00F17C4E" w:rsidP="00B721B9">
      <w:pPr>
        <w:keepNext/>
        <w:keepLines/>
        <w:spacing w:after="337" w:line="265" w:lineRule="auto"/>
        <w:ind w:left="10" w:right="511"/>
        <w:jc w:val="both"/>
        <w:outlineLvl w:val="0"/>
        <w:rPr>
          <w:rFonts w:ascii="Times New Roman" w:eastAsia="Verdana" w:hAnsi="Times New Roman" w:cs="Times New Roman"/>
          <w:b/>
          <w:color w:val="000000"/>
          <w:sz w:val="24"/>
          <w:szCs w:val="24"/>
          <w:lang w:eastAsia="bg-BG"/>
        </w:rPr>
      </w:pPr>
    </w:p>
    <w:p w14:paraId="50F277B7" w14:textId="77777777" w:rsidR="00B721B9" w:rsidRPr="00F17C4E" w:rsidRDefault="00B721B9" w:rsidP="00B721B9">
      <w:pPr>
        <w:spacing w:after="159"/>
        <w:ind w:left="124" w:right="750" w:hanging="10"/>
        <w:rPr>
          <w:rFonts w:ascii="Times New Roman" w:eastAsia="Verdana" w:hAnsi="Times New Roman" w:cs="Times New Roman"/>
          <w:color w:val="000000"/>
          <w:sz w:val="18"/>
          <w:szCs w:val="18"/>
          <w:lang w:eastAsia="bg-BG"/>
        </w:rPr>
      </w:pPr>
      <w:r w:rsidRPr="00F17C4E">
        <w:rPr>
          <w:rFonts w:ascii="Times New Roman" w:eastAsia="Verdana" w:hAnsi="Times New Roman" w:cs="Times New Roman"/>
          <w:color w:val="595959"/>
          <w:sz w:val="18"/>
          <w:szCs w:val="18"/>
          <w:lang w:eastAsia="bg-BG"/>
        </w:rPr>
        <w:t xml:space="preserve">Средна възраст </w:t>
      </w:r>
    </w:p>
    <w:tbl>
      <w:tblPr>
        <w:tblStyle w:val="TableGrid0"/>
        <w:tblpPr w:vertAnchor="text" w:tblpX="643" w:tblpY="-2"/>
        <w:tblOverlap w:val="never"/>
        <w:tblW w:w="8275" w:type="dxa"/>
        <w:tblInd w:w="0" w:type="dxa"/>
        <w:tblCellMar>
          <w:left w:w="62" w:type="dxa"/>
          <w:right w:w="58" w:type="dxa"/>
        </w:tblCellMar>
        <w:tblLook w:val="04A0" w:firstRow="1" w:lastRow="0" w:firstColumn="1" w:lastColumn="0" w:noHBand="0" w:noVBand="1"/>
      </w:tblPr>
      <w:tblGrid>
        <w:gridCol w:w="6857"/>
        <w:gridCol w:w="465"/>
        <w:gridCol w:w="488"/>
        <w:gridCol w:w="465"/>
      </w:tblGrid>
      <w:tr w:rsidR="00B721B9" w:rsidRPr="00B721B9" w14:paraId="1997FA62" w14:textId="77777777" w:rsidTr="00276299">
        <w:trPr>
          <w:trHeight w:val="68"/>
        </w:trPr>
        <w:tc>
          <w:tcPr>
            <w:tcW w:w="6857" w:type="dxa"/>
            <w:tcBorders>
              <w:top w:val="nil"/>
              <w:left w:val="nil"/>
              <w:bottom w:val="single" w:sz="6" w:space="0" w:color="D9D9D9"/>
              <w:right w:val="nil"/>
            </w:tcBorders>
          </w:tcPr>
          <w:p w14:paraId="00E78751" w14:textId="77777777" w:rsidR="00B721B9" w:rsidRPr="00B721B9" w:rsidRDefault="00B721B9" w:rsidP="00B721B9">
            <w:pPr>
              <w:rPr>
                <w:rFonts w:eastAsia="Verdana" w:cstheme="minorHAnsi"/>
                <w:color w:val="000000"/>
                <w:sz w:val="14"/>
                <w:szCs w:val="14"/>
              </w:rPr>
            </w:pPr>
          </w:p>
        </w:tc>
        <w:tc>
          <w:tcPr>
            <w:tcW w:w="465" w:type="dxa"/>
            <w:tcBorders>
              <w:top w:val="single" w:sz="28" w:space="0" w:color="E7E6E6"/>
              <w:left w:val="single" w:sz="16" w:space="0" w:color="E7E6E6"/>
              <w:bottom w:val="single" w:sz="6" w:space="0" w:color="D9D9D9"/>
              <w:right w:val="double" w:sz="16" w:space="0" w:color="E7E6E6"/>
            </w:tcBorders>
            <w:shd w:val="clear" w:color="auto" w:fill="FFFFFF"/>
          </w:tcPr>
          <w:p w14:paraId="4D3EEE1D" w14:textId="77777777" w:rsidR="00B721B9" w:rsidRPr="00B721B9" w:rsidRDefault="00B721B9" w:rsidP="00B721B9">
            <w:pPr>
              <w:rPr>
                <w:rFonts w:eastAsia="Verdana" w:cstheme="minorHAnsi"/>
                <w:color w:val="000000"/>
                <w:sz w:val="14"/>
                <w:szCs w:val="14"/>
              </w:rPr>
            </w:pPr>
          </w:p>
        </w:tc>
        <w:tc>
          <w:tcPr>
            <w:tcW w:w="488" w:type="dxa"/>
            <w:tcBorders>
              <w:top w:val="single" w:sz="28" w:space="0" w:color="E7E6E6"/>
              <w:left w:val="double" w:sz="16" w:space="0" w:color="E7E6E6"/>
              <w:bottom w:val="single" w:sz="6" w:space="0" w:color="D9D9D9"/>
              <w:right w:val="double" w:sz="16" w:space="0" w:color="E7E6E6"/>
            </w:tcBorders>
            <w:shd w:val="clear" w:color="auto" w:fill="FFFFFF"/>
          </w:tcPr>
          <w:p w14:paraId="0241B784" w14:textId="77777777" w:rsidR="00B721B9" w:rsidRPr="00B721B9" w:rsidRDefault="00B721B9" w:rsidP="00B721B9">
            <w:pPr>
              <w:rPr>
                <w:rFonts w:eastAsia="Verdana" w:cstheme="minorHAnsi"/>
                <w:color w:val="000000"/>
                <w:sz w:val="14"/>
                <w:szCs w:val="14"/>
              </w:rPr>
            </w:pPr>
          </w:p>
        </w:tc>
        <w:tc>
          <w:tcPr>
            <w:tcW w:w="465" w:type="dxa"/>
            <w:tcBorders>
              <w:top w:val="single" w:sz="28" w:space="0" w:color="E7E6E6"/>
              <w:left w:val="double" w:sz="16" w:space="0" w:color="E7E6E6"/>
              <w:bottom w:val="single" w:sz="6" w:space="0" w:color="D9D9D9"/>
              <w:right w:val="single" w:sz="16" w:space="0" w:color="E7E6E6"/>
            </w:tcBorders>
            <w:shd w:val="clear" w:color="auto" w:fill="FFFFFF"/>
          </w:tcPr>
          <w:p w14:paraId="2E29EDE3" w14:textId="77777777" w:rsidR="00B721B9" w:rsidRPr="00B721B9" w:rsidRDefault="00B721B9" w:rsidP="00B721B9">
            <w:pPr>
              <w:rPr>
                <w:rFonts w:eastAsia="Verdana" w:cstheme="minorHAnsi"/>
                <w:color w:val="000000"/>
                <w:sz w:val="14"/>
                <w:szCs w:val="14"/>
              </w:rPr>
            </w:pPr>
          </w:p>
        </w:tc>
      </w:tr>
      <w:tr w:rsidR="00B721B9" w:rsidRPr="00B721B9" w14:paraId="0736978E" w14:textId="77777777" w:rsidTr="00276299">
        <w:trPr>
          <w:trHeight w:val="159"/>
        </w:trPr>
        <w:tc>
          <w:tcPr>
            <w:tcW w:w="6857" w:type="dxa"/>
            <w:tcBorders>
              <w:top w:val="single" w:sz="6" w:space="0" w:color="D9D9D9"/>
              <w:left w:val="nil"/>
              <w:bottom w:val="nil"/>
              <w:right w:val="single" w:sz="16" w:space="0" w:color="E7E6E6"/>
            </w:tcBorders>
          </w:tcPr>
          <w:p w14:paraId="766D2EB5" w14:textId="77777777" w:rsidR="00B721B9" w:rsidRPr="00B721B9" w:rsidRDefault="00B721B9" w:rsidP="00B721B9">
            <w:pPr>
              <w:rPr>
                <w:rFonts w:eastAsia="Verdana" w:cstheme="minorHAnsi"/>
                <w:color w:val="000000"/>
                <w:sz w:val="14"/>
                <w:szCs w:val="14"/>
              </w:rPr>
            </w:pPr>
          </w:p>
        </w:tc>
        <w:tc>
          <w:tcPr>
            <w:tcW w:w="465" w:type="dxa"/>
            <w:tcBorders>
              <w:top w:val="single" w:sz="6" w:space="0" w:color="D9D9D9"/>
              <w:left w:val="single" w:sz="16" w:space="0" w:color="E7E6E6"/>
              <w:bottom w:val="single" w:sz="28" w:space="0" w:color="E7E6E6"/>
              <w:right w:val="double" w:sz="16" w:space="0" w:color="E7E6E6"/>
            </w:tcBorders>
            <w:shd w:val="clear" w:color="auto" w:fill="FFFFFF"/>
          </w:tcPr>
          <w:p w14:paraId="55A5BCEE" w14:textId="77777777" w:rsidR="00B721B9" w:rsidRPr="00B721B9" w:rsidRDefault="00B721B9" w:rsidP="00B721B9">
            <w:pPr>
              <w:rPr>
                <w:rFonts w:eastAsia="Verdana" w:cstheme="minorHAnsi"/>
                <w:color w:val="000000"/>
                <w:sz w:val="14"/>
                <w:szCs w:val="14"/>
              </w:rPr>
            </w:pPr>
            <w:r w:rsidRPr="00B721B9">
              <w:rPr>
                <w:rFonts w:eastAsia="Verdana" w:cstheme="minorHAnsi"/>
                <w:color w:val="404040"/>
                <w:sz w:val="14"/>
                <w:szCs w:val="14"/>
              </w:rPr>
              <w:t>45.2</w:t>
            </w:r>
          </w:p>
        </w:tc>
        <w:tc>
          <w:tcPr>
            <w:tcW w:w="488" w:type="dxa"/>
            <w:tcBorders>
              <w:top w:val="single" w:sz="6" w:space="0" w:color="D9D9D9"/>
              <w:left w:val="double" w:sz="16" w:space="0" w:color="E7E6E6"/>
              <w:bottom w:val="single" w:sz="28" w:space="0" w:color="E7E6E6"/>
              <w:right w:val="double" w:sz="16" w:space="0" w:color="E7E6E6"/>
            </w:tcBorders>
            <w:shd w:val="clear" w:color="auto" w:fill="FFFFFF"/>
          </w:tcPr>
          <w:p w14:paraId="524DD4F2" w14:textId="77777777" w:rsidR="00B721B9" w:rsidRPr="00B721B9" w:rsidRDefault="00B721B9" w:rsidP="00B721B9">
            <w:pPr>
              <w:ind w:left="23"/>
              <w:rPr>
                <w:rFonts w:eastAsia="Verdana" w:cstheme="minorHAnsi"/>
                <w:color w:val="000000"/>
                <w:sz w:val="14"/>
                <w:szCs w:val="14"/>
              </w:rPr>
            </w:pPr>
            <w:r w:rsidRPr="00B721B9">
              <w:rPr>
                <w:rFonts w:eastAsia="Verdana" w:cstheme="minorHAnsi"/>
                <w:color w:val="404040"/>
                <w:sz w:val="14"/>
                <w:szCs w:val="14"/>
              </w:rPr>
              <w:t>45.2</w:t>
            </w:r>
          </w:p>
        </w:tc>
        <w:tc>
          <w:tcPr>
            <w:tcW w:w="465" w:type="dxa"/>
            <w:tcBorders>
              <w:top w:val="single" w:sz="6" w:space="0" w:color="D9D9D9"/>
              <w:left w:val="double" w:sz="16" w:space="0" w:color="E7E6E6"/>
              <w:bottom w:val="single" w:sz="28" w:space="0" w:color="E7E6E6"/>
              <w:right w:val="single" w:sz="16" w:space="0" w:color="E7E6E6"/>
            </w:tcBorders>
            <w:shd w:val="clear" w:color="auto" w:fill="FFFFFF"/>
          </w:tcPr>
          <w:p w14:paraId="0EEF23A1" w14:textId="77777777" w:rsidR="00B721B9" w:rsidRPr="00B721B9" w:rsidRDefault="00B721B9" w:rsidP="00B721B9">
            <w:pPr>
              <w:ind w:left="23"/>
              <w:rPr>
                <w:rFonts w:eastAsia="Verdana" w:cstheme="minorHAnsi"/>
                <w:color w:val="000000"/>
                <w:sz w:val="14"/>
                <w:szCs w:val="14"/>
              </w:rPr>
            </w:pPr>
            <w:r w:rsidRPr="00B721B9">
              <w:rPr>
                <w:rFonts w:eastAsia="Verdana" w:cstheme="minorHAnsi"/>
                <w:color w:val="404040"/>
                <w:sz w:val="14"/>
                <w:szCs w:val="14"/>
              </w:rPr>
              <w:t>45.3</w:t>
            </w:r>
          </w:p>
        </w:tc>
      </w:tr>
    </w:tbl>
    <w:p w14:paraId="5460E1AD" w14:textId="77777777" w:rsidR="00B721B9" w:rsidRPr="00276299" w:rsidRDefault="00B721B9" w:rsidP="00276299">
      <w:pPr>
        <w:spacing w:after="0"/>
        <w:ind w:left="124" w:hanging="10"/>
        <w:rPr>
          <w:rFonts w:eastAsia="Verdana" w:cstheme="minorHAnsi"/>
          <w:color w:val="000000"/>
          <w:sz w:val="14"/>
          <w:szCs w:val="14"/>
          <w:lang w:eastAsia="bg-BG"/>
        </w:rPr>
      </w:pPr>
      <w:r w:rsidRPr="00B721B9">
        <w:rPr>
          <w:rFonts w:eastAsia="Verdana" w:cstheme="minorHAnsi"/>
          <w:color w:val="595959"/>
          <w:sz w:val="14"/>
          <w:szCs w:val="14"/>
          <w:lang w:eastAsia="bg-BG"/>
        </w:rPr>
        <w:t>46.0</w:t>
      </w:r>
    </w:p>
    <w:p w14:paraId="23BE8171" w14:textId="77777777" w:rsidR="00B721B9" w:rsidRPr="00F17C4E" w:rsidRDefault="00B721B9" w:rsidP="00B721B9">
      <w:pPr>
        <w:spacing w:after="56"/>
        <w:ind w:left="129"/>
        <w:rPr>
          <w:rFonts w:ascii="Times New Roman" w:eastAsia="Verdana" w:hAnsi="Times New Roman" w:cs="Times New Roman"/>
          <w:color w:val="000000"/>
          <w:sz w:val="18"/>
          <w:szCs w:val="18"/>
          <w:lang w:eastAsia="bg-BG"/>
        </w:rPr>
      </w:pPr>
      <w:r w:rsidRPr="00F17C4E">
        <w:rPr>
          <w:rFonts w:ascii="Times New Roman" w:eastAsia="Calibri" w:hAnsi="Times New Roman" w:cs="Times New Roman"/>
          <w:noProof/>
          <w:color w:val="000000"/>
          <w:sz w:val="18"/>
          <w:szCs w:val="18"/>
          <w:lang w:eastAsia="bg-BG"/>
        </w:rPr>
        <mc:AlternateContent>
          <mc:Choice Requires="wpg">
            <w:drawing>
              <wp:inline distT="0" distB="0" distL="0" distR="0" wp14:anchorId="1DE368F0" wp14:editId="383D8F36">
                <wp:extent cx="5537708" cy="1913325"/>
                <wp:effectExtent l="0" t="0" r="25400" b="0"/>
                <wp:docPr id="29359" name="Group 29359"/>
                <wp:cNvGraphicFramePr/>
                <a:graphic xmlns:a="http://schemas.openxmlformats.org/drawingml/2006/main">
                  <a:graphicData uri="http://schemas.microsoft.com/office/word/2010/wordprocessingGroup">
                    <wpg:wgp>
                      <wpg:cNvGrpSpPr/>
                      <wpg:grpSpPr>
                        <a:xfrm>
                          <a:off x="0" y="0"/>
                          <a:ext cx="5537708" cy="1913325"/>
                          <a:chOff x="0" y="0"/>
                          <a:chExt cx="5537708" cy="1640509"/>
                        </a:xfrm>
                      </wpg:grpSpPr>
                      <wps:wsp>
                        <wps:cNvPr id="521" name="Shape 521"/>
                        <wps:cNvSpPr/>
                        <wps:spPr>
                          <a:xfrm>
                            <a:off x="326390" y="1363980"/>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522" name="Shape 522"/>
                        <wps:cNvSpPr/>
                        <wps:spPr>
                          <a:xfrm>
                            <a:off x="326390" y="1176528"/>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523" name="Shape 523"/>
                        <wps:cNvSpPr/>
                        <wps:spPr>
                          <a:xfrm>
                            <a:off x="326390" y="990600"/>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524" name="Shape 524"/>
                        <wps:cNvSpPr/>
                        <wps:spPr>
                          <a:xfrm>
                            <a:off x="326390" y="803148"/>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525" name="Shape 525"/>
                        <wps:cNvSpPr/>
                        <wps:spPr>
                          <a:xfrm>
                            <a:off x="326390" y="615697"/>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526" name="Shape 526"/>
                        <wps:cNvSpPr/>
                        <wps:spPr>
                          <a:xfrm>
                            <a:off x="326390" y="429768"/>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527" name="Shape 527"/>
                        <wps:cNvSpPr/>
                        <wps:spPr>
                          <a:xfrm>
                            <a:off x="326390" y="242316"/>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528" name="Shape 528"/>
                        <wps:cNvSpPr/>
                        <wps:spPr>
                          <a:xfrm>
                            <a:off x="326390" y="54864"/>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33450" name="Shape 33450"/>
                        <wps:cNvSpPr/>
                        <wps:spPr>
                          <a:xfrm>
                            <a:off x="431292" y="914400"/>
                            <a:ext cx="96012" cy="636143"/>
                          </a:xfrm>
                          <a:custGeom>
                            <a:avLst/>
                            <a:gdLst/>
                            <a:ahLst/>
                            <a:cxnLst/>
                            <a:rect l="0" t="0" r="0" b="0"/>
                            <a:pathLst>
                              <a:path w="96012" h="636143">
                                <a:moveTo>
                                  <a:pt x="0" y="0"/>
                                </a:moveTo>
                                <a:lnTo>
                                  <a:pt x="96012" y="0"/>
                                </a:lnTo>
                                <a:lnTo>
                                  <a:pt x="96012" y="636143"/>
                                </a:lnTo>
                                <a:lnTo>
                                  <a:pt x="0" y="636143"/>
                                </a:lnTo>
                                <a:lnTo>
                                  <a:pt x="0" y="0"/>
                                </a:lnTo>
                              </a:path>
                            </a:pathLst>
                          </a:custGeom>
                          <a:solidFill>
                            <a:srgbClr val="4F81BD"/>
                          </a:solidFill>
                          <a:ln w="0" cap="flat">
                            <a:noFill/>
                            <a:round/>
                          </a:ln>
                          <a:effectLst/>
                        </wps:spPr>
                        <wps:bodyPr/>
                      </wps:wsp>
                      <wps:wsp>
                        <wps:cNvPr id="33451" name="Shape 33451"/>
                        <wps:cNvSpPr/>
                        <wps:spPr>
                          <a:xfrm>
                            <a:off x="737616" y="765048"/>
                            <a:ext cx="96012" cy="785495"/>
                          </a:xfrm>
                          <a:custGeom>
                            <a:avLst/>
                            <a:gdLst/>
                            <a:ahLst/>
                            <a:cxnLst/>
                            <a:rect l="0" t="0" r="0" b="0"/>
                            <a:pathLst>
                              <a:path w="96012" h="785495">
                                <a:moveTo>
                                  <a:pt x="0" y="0"/>
                                </a:moveTo>
                                <a:lnTo>
                                  <a:pt x="96012" y="0"/>
                                </a:lnTo>
                                <a:lnTo>
                                  <a:pt x="96012" y="785495"/>
                                </a:lnTo>
                                <a:lnTo>
                                  <a:pt x="0" y="785495"/>
                                </a:lnTo>
                                <a:lnTo>
                                  <a:pt x="0" y="0"/>
                                </a:lnTo>
                              </a:path>
                            </a:pathLst>
                          </a:custGeom>
                          <a:solidFill>
                            <a:srgbClr val="4F81BD"/>
                          </a:solidFill>
                          <a:ln w="0" cap="flat">
                            <a:noFill/>
                            <a:round/>
                          </a:ln>
                          <a:effectLst/>
                        </wps:spPr>
                        <wps:bodyPr/>
                      </wps:wsp>
                      <wps:wsp>
                        <wps:cNvPr id="33452" name="Shape 33452"/>
                        <wps:cNvSpPr/>
                        <wps:spPr>
                          <a:xfrm>
                            <a:off x="1045464" y="635509"/>
                            <a:ext cx="96012" cy="915035"/>
                          </a:xfrm>
                          <a:custGeom>
                            <a:avLst/>
                            <a:gdLst/>
                            <a:ahLst/>
                            <a:cxnLst/>
                            <a:rect l="0" t="0" r="0" b="0"/>
                            <a:pathLst>
                              <a:path w="96012" h="915035">
                                <a:moveTo>
                                  <a:pt x="0" y="0"/>
                                </a:moveTo>
                                <a:lnTo>
                                  <a:pt x="96012" y="0"/>
                                </a:lnTo>
                                <a:lnTo>
                                  <a:pt x="96012" y="915035"/>
                                </a:lnTo>
                                <a:lnTo>
                                  <a:pt x="0" y="915035"/>
                                </a:lnTo>
                                <a:lnTo>
                                  <a:pt x="0" y="0"/>
                                </a:lnTo>
                              </a:path>
                            </a:pathLst>
                          </a:custGeom>
                          <a:solidFill>
                            <a:srgbClr val="4F81BD"/>
                          </a:solidFill>
                          <a:ln w="0" cap="flat">
                            <a:noFill/>
                            <a:round/>
                          </a:ln>
                          <a:effectLst/>
                        </wps:spPr>
                        <wps:bodyPr/>
                      </wps:wsp>
                      <wps:wsp>
                        <wps:cNvPr id="33453" name="Shape 33453"/>
                        <wps:cNvSpPr/>
                        <wps:spPr>
                          <a:xfrm>
                            <a:off x="1351788" y="484632"/>
                            <a:ext cx="96012" cy="1065911"/>
                          </a:xfrm>
                          <a:custGeom>
                            <a:avLst/>
                            <a:gdLst/>
                            <a:ahLst/>
                            <a:cxnLst/>
                            <a:rect l="0" t="0" r="0" b="0"/>
                            <a:pathLst>
                              <a:path w="96012" h="1065911">
                                <a:moveTo>
                                  <a:pt x="0" y="0"/>
                                </a:moveTo>
                                <a:lnTo>
                                  <a:pt x="96012" y="0"/>
                                </a:lnTo>
                                <a:lnTo>
                                  <a:pt x="96012" y="1065911"/>
                                </a:lnTo>
                                <a:lnTo>
                                  <a:pt x="0" y="1065911"/>
                                </a:lnTo>
                                <a:lnTo>
                                  <a:pt x="0" y="0"/>
                                </a:lnTo>
                              </a:path>
                            </a:pathLst>
                          </a:custGeom>
                          <a:solidFill>
                            <a:srgbClr val="4F81BD"/>
                          </a:solidFill>
                          <a:ln w="0" cap="flat">
                            <a:noFill/>
                            <a:round/>
                          </a:ln>
                          <a:effectLst/>
                        </wps:spPr>
                        <wps:bodyPr/>
                      </wps:wsp>
                      <wps:wsp>
                        <wps:cNvPr id="33454" name="Shape 33454"/>
                        <wps:cNvSpPr/>
                        <wps:spPr>
                          <a:xfrm>
                            <a:off x="1658112" y="466344"/>
                            <a:ext cx="96012" cy="1084199"/>
                          </a:xfrm>
                          <a:custGeom>
                            <a:avLst/>
                            <a:gdLst/>
                            <a:ahLst/>
                            <a:cxnLst/>
                            <a:rect l="0" t="0" r="0" b="0"/>
                            <a:pathLst>
                              <a:path w="96012" h="1084199">
                                <a:moveTo>
                                  <a:pt x="0" y="0"/>
                                </a:moveTo>
                                <a:lnTo>
                                  <a:pt x="96012" y="0"/>
                                </a:lnTo>
                                <a:lnTo>
                                  <a:pt x="96012" y="1084199"/>
                                </a:lnTo>
                                <a:lnTo>
                                  <a:pt x="0" y="1084199"/>
                                </a:lnTo>
                                <a:lnTo>
                                  <a:pt x="0" y="0"/>
                                </a:lnTo>
                              </a:path>
                            </a:pathLst>
                          </a:custGeom>
                          <a:solidFill>
                            <a:srgbClr val="4F81BD"/>
                          </a:solidFill>
                          <a:ln w="0" cap="flat">
                            <a:noFill/>
                            <a:round/>
                          </a:ln>
                          <a:effectLst/>
                        </wps:spPr>
                        <wps:bodyPr/>
                      </wps:wsp>
                      <wps:wsp>
                        <wps:cNvPr id="33455" name="Shape 33455"/>
                        <wps:cNvSpPr/>
                        <wps:spPr>
                          <a:xfrm>
                            <a:off x="1964436" y="429768"/>
                            <a:ext cx="96012" cy="1120775"/>
                          </a:xfrm>
                          <a:custGeom>
                            <a:avLst/>
                            <a:gdLst/>
                            <a:ahLst/>
                            <a:cxnLst/>
                            <a:rect l="0" t="0" r="0" b="0"/>
                            <a:pathLst>
                              <a:path w="96012" h="1120775">
                                <a:moveTo>
                                  <a:pt x="0" y="0"/>
                                </a:moveTo>
                                <a:lnTo>
                                  <a:pt x="96012" y="0"/>
                                </a:lnTo>
                                <a:lnTo>
                                  <a:pt x="96012" y="1120775"/>
                                </a:lnTo>
                                <a:lnTo>
                                  <a:pt x="0" y="1120775"/>
                                </a:lnTo>
                                <a:lnTo>
                                  <a:pt x="0" y="0"/>
                                </a:lnTo>
                              </a:path>
                            </a:pathLst>
                          </a:custGeom>
                          <a:solidFill>
                            <a:srgbClr val="4F81BD"/>
                          </a:solidFill>
                          <a:ln w="0" cap="flat">
                            <a:noFill/>
                            <a:round/>
                          </a:ln>
                          <a:effectLst/>
                        </wps:spPr>
                        <wps:bodyPr/>
                      </wps:wsp>
                      <wps:wsp>
                        <wps:cNvPr id="33456" name="Shape 33456"/>
                        <wps:cNvSpPr/>
                        <wps:spPr>
                          <a:xfrm>
                            <a:off x="2270760" y="391668"/>
                            <a:ext cx="96012" cy="1158875"/>
                          </a:xfrm>
                          <a:custGeom>
                            <a:avLst/>
                            <a:gdLst/>
                            <a:ahLst/>
                            <a:cxnLst/>
                            <a:rect l="0" t="0" r="0" b="0"/>
                            <a:pathLst>
                              <a:path w="96012" h="1158875">
                                <a:moveTo>
                                  <a:pt x="0" y="0"/>
                                </a:moveTo>
                                <a:lnTo>
                                  <a:pt x="96012" y="0"/>
                                </a:lnTo>
                                <a:lnTo>
                                  <a:pt x="96012" y="1158875"/>
                                </a:lnTo>
                                <a:lnTo>
                                  <a:pt x="0" y="1158875"/>
                                </a:lnTo>
                                <a:lnTo>
                                  <a:pt x="0" y="0"/>
                                </a:lnTo>
                              </a:path>
                            </a:pathLst>
                          </a:custGeom>
                          <a:solidFill>
                            <a:srgbClr val="4F81BD"/>
                          </a:solidFill>
                          <a:ln w="0" cap="flat">
                            <a:noFill/>
                            <a:round/>
                          </a:ln>
                          <a:effectLst/>
                        </wps:spPr>
                        <wps:bodyPr/>
                      </wps:wsp>
                      <wps:wsp>
                        <wps:cNvPr id="33457" name="Shape 33457"/>
                        <wps:cNvSpPr/>
                        <wps:spPr>
                          <a:xfrm>
                            <a:off x="2577084" y="373380"/>
                            <a:ext cx="96012" cy="1177163"/>
                          </a:xfrm>
                          <a:custGeom>
                            <a:avLst/>
                            <a:gdLst/>
                            <a:ahLst/>
                            <a:cxnLst/>
                            <a:rect l="0" t="0" r="0" b="0"/>
                            <a:pathLst>
                              <a:path w="96012" h="1177163">
                                <a:moveTo>
                                  <a:pt x="0" y="0"/>
                                </a:moveTo>
                                <a:lnTo>
                                  <a:pt x="96012" y="0"/>
                                </a:lnTo>
                                <a:lnTo>
                                  <a:pt x="96012" y="1177163"/>
                                </a:lnTo>
                                <a:lnTo>
                                  <a:pt x="0" y="1177163"/>
                                </a:lnTo>
                                <a:lnTo>
                                  <a:pt x="0" y="0"/>
                                </a:lnTo>
                              </a:path>
                            </a:pathLst>
                          </a:custGeom>
                          <a:solidFill>
                            <a:srgbClr val="4F81BD"/>
                          </a:solidFill>
                          <a:ln w="0" cap="flat">
                            <a:noFill/>
                            <a:round/>
                          </a:ln>
                          <a:effectLst/>
                        </wps:spPr>
                        <wps:bodyPr/>
                      </wps:wsp>
                      <wps:wsp>
                        <wps:cNvPr id="33458" name="Shape 33458"/>
                        <wps:cNvSpPr/>
                        <wps:spPr>
                          <a:xfrm>
                            <a:off x="2883408" y="335280"/>
                            <a:ext cx="96012" cy="1215263"/>
                          </a:xfrm>
                          <a:custGeom>
                            <a:avLst/>
                            <a:gdLst/>
                            <a:ahLst/>
                            <a:cxnLst/>
                            <a:rect l="0" t="0" r="0" b="0"/>
                            <a:pathLst>
                              <a:path w="96012" h="1215263">
                                <a:moveTo>
                                  <a:pt x="0" y="0"/>
                                </a:moveTo>
                                <a:lnTo>
                                  <a:pt x="96012" y="0"/>
                                </a:lnTo>
                                <a:lnTo>
                                  <a:pt x="96012" y="1215263"/>
                                </a:lnTo>
                                <a:lnTo>
                                  <a:pt x="0" y="1215263"/>
                                </a:lnTo>
                                <a:lnTo>
                                  <a:pt x="0" y="0"/>
                                </a:lnTo>
                              </a:path>
                            </a:pathLst>
                          </a:custGeom>
                          <a:solidFill>
                            <a:srgbClr val="4F81BD"/>
                          </a:solidFill>
                          <a:ln w="0" cap="flat">
                            <a:noFill/>
                            <a:round/>
                          </a:ln>
                          <a:effectLst/>
                        </wps:spPr>
                        <wps:bodyPr/>
                      </wps:wsp>
                      <wps:wsp>
                        <wps:cNvPr id="33459" name="Shape 33459"/>
                        <wps:cNvSpPr/>
                        <wps:spPr>
                          <a:xfrm>
                            <a:off x="3191256" y="316992"/>
                            <a:ext cx="96012" cy="1233551"/>
                          </a:xfrm>
                          <a:custGeom>
                            <a:avLst/>
                            <a:gdLst/>
                            <a:ahLst/>
                            <a:cxnLst/>
                            <a:rect l="0" t="0" r="0" b="0"/>
                            <a:pathLst>
                              <a:path w="96012" h="1233551">
                                <a:moveTo>
                                  <a:pt x="0" y="0"/>
                                </a:moveTo>
                                <a:lnTo>
                                  <a:pt x="96012" y="0"/>
                                </a:lnTo>
                                <a:lnTo>
                                  <a:pt x="96012" y="1233551"/>
                                </a:lnTo>
                                <a:lnTo>
                                  <a:pt x="0" y="1233551"/>
                                </a:lnTo>
                                <a:lnTo>
                                  <a:pt x="0" y="0"/>
                                </a:lnTo>
                              </a:path>
                            </a:pathLst>
                          </a:custGeom>
                          <a:solidFill>
                            <a:srgbClr val="4F81BD"/>
                          </a:solidFill>
                          <a:ln w="0" cap="flat">
                            <a:noFill/>
                            <a:round/>
                          </a:ln>
                          <a:effectLst/>
                        </wps:spPr>
                        <wps:bodyPr/>
                      </wps:wsp>
                      <wps:wsp>
                        <wps:cNvPr id="33460" name="Shape 33460"/>
                        <wps:cNvSpPr/>
                        <wps:spPr>
                          <a:xfrm>
                            <a:off x="3497580" y="280416"/>
                            <a:ext cx="96012" cy="1270127"/>
                          </a:xfrm>
                          <a:custGeom>
                            <a:avLst/>
                            <a:gdLst/>
                            <a:ahLst/>
                            <a:cxnLst/>
                            <a:rect l="0" t="0" r="0" b="0"/>
                            <a:pathLst>
                              <a:path w="96012" h="1270127">
                                <a:moveTo>
                                  <a:pt x="0" y="0"/>
                                </a:moveTo>
                                <a:lnTo>
                                  <a:pt x="96012" y="0"/>
                                </a:lnTo>
                                <a:lnTo>
                                  <a:pt x="96012" y="1270127"/>
                                </a:lnTo>
                                <a:lnTo>
                                  <a:pt x="0" y="1270127"/>
                                </a:lnTo>
                                <a:lnTo>
                                  <a:pt x="0" y="0"/>
                                </a:lnTo>
                              </a:path>
                            </a:pathLst>
                          </a:custGeom>
                          <a:solidFill>
                            <a:srgbClr val="4F81BD"/>
                          </a:solidFill>
                          <a:ln w="0" cap="flat">
                            <a:noFill/>
                            <a:round/>
                          </a:ln>
                          <a:effectLst/>
                        </wps:spPr>
                        <wps:bodyPr/>
                      </wps:wsp>
                      <wps:wsp>
                        <wps:cNvPr id="33461" name="Shape 33461"/>
                        <wps:cNvSpPr/>
                        <wps:spPr>
                          <a:xfrm>
                            <a:off x="3803904" y="260604"/>
                            <a:ext cx="96012" cy="1289939"/>
                          </a:xfrm>
                          <a:custGeom>
                            <a:avLst/>
                            <a:gdLst/>
                            <a:ahLst/>
                            <a:cxnLst/>
                            <a:rect l="0" t="0" r="0" b="0"/>
                            <a:pathLst>
                              <a:path w="96012" h="1289939">
                                <a:moveTo>
                                  <a:pt x="0" y="0"/>
                                </a:moveTo>
                                <a:lnTo>
                                  <a:pt x="96012" y="0"/>
                                </a:lnTo>
                                <a:lnTo>
                                  <a:pt x="96012" y="1289939"/>
                                </a:lnTo>
                                <a:lnTo>
                                  <a:pt x="0" y="1289939"/>
                                </a:lnTo>
                                <a:lnTo>
                                  <a:pt x="0" y="0"/>
                                </a:lnTo>
                              </a:path>
                            </a:pathLst>
                          </a:custGeom>
                          <a:solidFill>
                            <a:srgbClr val="4F81BD"/>
                          </a:solidFill>
                          <a:ln w="0" cap="flat">
                            <a:noFill/>
                            <a:round/>
                          </a:ln>
                          <a:effectLst/>
                        </wps:spPr>
                        <wps:bodyPr/>
                      </wps:wsp>
                      <wps:wsp>
                        <wps:cNvPr id="33462" name="Shape 33462"/>
                        <wps:cNvSpPr/>
                        <wps:spPr>
                          <a:xfrm>
                            <a:off x="4110228" y="242316"/>
                            <a:ext cx="96012" cy="1308227"/>
                          </a:xfrm>
                          <a:custGeom>
                            <a:avLst/>
                            <a:gdLst/>
                            <a:ahLst/>
                            <a:cxnLst/>
                            <a:rect l="0" t="0" r="0" b="0"/>
                            <a:pathLst>
                              <a:path w="96012" h="1308227">
                                <a:moveTo>
                                  <a:pt x="0" y="0"/>
                                </a:moveTo>
                                <a:lnTo>
                                  <a:pt x="96012" y="0"/>
                                </a:lnTo>
                                <a:lnTo>
                                  <a:pt x="96012" y="1308227"/>
                                </a:lnTo>
                                <a:lnTo>
                                  <a:pt x="0" y="1308227"/>
                                </a:lnTo>
                                <a:lnTo>
                                  <a:pt x="0" y="0"/>
                                </a:lnTo>
                              </a:path>
                            </a:pathLst>
                          </a:custGeom>
                          <a:solidFill>
                            <a:srgbClr val="4F81BD"/>
                          </a:solidFill>
                          <a:ln w="0" cap="flat">
                            <a:noFill/>
                            <a:round/>
                          </a:ln>
                          <a:effectLst/>
                        </wps:spPr>
                        <wps:bodyPr/>
                      </wps:wsp>
                      <wps:wsp>
                        <wps:cNvPr id="33463" name="Shape 33463"/>
                        <wps:cNvSpPr/>
                        <wps:spPr>
                          <a:xfrm>
                            <a:off x="4416552" y="224028"/>
                            <a:ext cx="96012" cy="1326515"/>
                          </a:xfrm>
                          <a:custGeom>
                            <a:avLst/>
                            <a:gdLst/>
                            <a:ahLst/>
                            <a:cxnLst/>
                            <a:rect l="0" t="0" r="0" b="0"/>
                            <a:pathLst>
                              <a:path w="96012" h="1326515">
                                <a:moveTo>
                                  <a:pt x="0" y="0"/>
                                </a:moveTo>
                                <a:lnTo>
                                  <a:pt x="96012" y="0"/>
                                </a:lnTo>
                                <a:lnTo>
                                  <a:pt x="96012" y="1326515"/>
                                </a:lnTo>
                                <a:lnTo>
                                  <a:pt x="0" y="1326515"/>
                                </a:lnTo>
                                <a:lnTo>
                                  <a:pt x="0" y="0"/>
                                </a:lnTo>
                              </a:path>
                            </a:pathLst>
                          </a:custGeom>
                          <a:solidFill>
                            <a:srgbClr val="4F81BD"/>
                          </a:solidFill>
                          <a:ln w="0" cap="flat">
                            <a:noFill/>
                            <a:round/>
                          </a:ln>
                          <a:effectLst/>
                        </wps:spPr>
                        <wps:bodyPr/>
                      </wps:wsp>
                      <wps:wsp>
                        <wps:cNvPr id="33464" name="Shape 33464"/>
                        <wps:cNvSpPr/>
                        <wps:spPr>
                          <a:xfrm>
                            <a:off x="5029200" y="18288"/>
                            <a:ext cx="96012" cy="1532255"/>
                          </a:xfrm>
                          <a:custGeom>
                            <a:avLst/>
                            <a:gdLst/>
                            <a:ahLst/>
                            <a:cxnLst/>
                            <a:rect l="0" t="0" r="0" b="0"/>
                            <a:pathLst>
                              <a:path w="96012" h="1532255">
                                <a:moveTo>
                                  <a:pt x="0" y="0"/>
                                </a:moveTo>
                                <a:lnTo>
                                  <a:pt x="96012" y="0"/>
                                </a:lnTo>
                                <a:lnTo>
                                  <a:pt x="96012" y="1532255"/>
                                </a:lnTo>
                                <a:lnTo>
                                  <a:pt x="0" y="1532255"/>
                                </a:lnTo>
                                <a:lnTo>
                                  <a:pt x="0" y="0"/>
                                </a:lnTo>
                              </a:path>
                            </a:pathLst>
                          </a:custGeom>
                          <a:solidFill>
                            <a:srgbClr val="4F81BD"/>
                          </a:solidFill>
                          <a:ln w="0" cap="flat">
                            <a:noFill/>
                            <a:round/>
                          </a:ln>
                          <a:effectLst/>
                        </wps:spPr>
                        <wps:bodyPr/>
                      </wps:wsp>
                      <wps:wsp>
                        <wps:cNvPr id="33465" name="Shape 33465"/>
                        <wps:cNvSpPr/>
                        <wps:spPr>
                          <a:xfrm>
                            <a:off x="4722876" y="18288"/>
                            <a:ext cx="96012" cy="1532255"/>
                          </a:xfrm>
                          <a:custGeom>
                            <a:avLst/>
                            <a:gdLst/>
                            <a:ahLst/>
                            <a:cxnLst/>
                            <a:rect l="0" t="0" r="0" b="0"/>
                            <a:pathLst>
                              <a:path w="96012" h="1532255">
                                <a:moveTo>
                                  <a:pt x="0" y="0"/>
                                </a:moveTo>
                                <a:lnTo>
                                  <a:pt x="96012" y="0"/>
                                </a:lnTo>
                                <a:lnTo>
                                  <a:pt x="96012" y="1532255"/>
                                </a:lnTo>
                                <a:lnTo>
                                  <a:pt x="0" y="1532255"/>
                                </a:lnTo>
                                <a:lnTo>
                                  <a:pt x="0" y="0"/>
                                </a:lnTo>
                              </a:path>
                            </a:pathLst>
                          </a:custGeom>
                          <a:solidFill>
                            <a:srgbClr val="4F81BD"/>
                          </a:solidFill>
                          <a:ln w="0" cap="flat">
                            <a:noFill/>
                            <a:round/>
                          </a:ln>
                          <a:effectLst/>
                        </wps:spPr>
                        <wps:bodyPr/>
                      </wps:wsp>
                      <wps:wsp>
                        <wps:cNvPr id="33466" name="Shape 33466"/>
                        <wps:cNvSpPr/>
                        <wps:spPr>
                          <a:xfrm>
                            <a:off x="5337048" y="0"/>
                            <a:ext cx="96012" cy="1550543"/>
                          </a:xfrm>
                          <a:custGeom>
                            <a:avLst/>
                            <a:gdLst/>
                            <a:ahLst/>
                            <a:cxnLst/>
                            <a:rect l="0" t="0" r="0" b="0"/>
                            <a:pathLst>
                              <a:path w="96012" h="1550543">
                                <a:moveTo>
                                  <a:pt x="0" y="0"/>
                                </a:moveTo>
                                <a:lnTo>
                                  <a:pt x="96012" y="0"/>
                                </a:lnTo>
                                <a:lnTo>
                                  <a:pt x="96012" y="1550543"/>
                                </a:lnTo>
                                <a:lnTo>
                                  <a:pt x="0" y="1550543"/>
                                </a:lnTo>
                                <a:lnTo>
                                  <a:pt x="0" y="0"/>
                                </a:lnTo>
                              </a:path>
                            </a:pathLst>
                          </a:custGeom>
                          <a:solidFill>
                            <a:srgbClr val="4F81BD"/>
                          </a:solidFill>
                          <a:ln w="0" cap="flat">
                            <a:noFill/>
                            <a:round/>
                          </a:ln>
                          <a:effectLst/>
                        </wps:spPr>
                        <wps:bodyPr/>
                      </wps:wsp>
                      <wps:wsp>
                        <wps:cNvPr id="547" name="Shape 547"/>
                        <wps:cNvSpPr/>
                        <wps:spPr>
                          <a:xfrm>
                            <a:off x="326390" y="1550543"/>
                            <a:ext cx="5211318" cy="0"/>
                          </a:xfrm>
                          <a:custGeom>
                            <a:avLst/>
                            <a:gdLst/>
                            <a:ahLst/>
                            <a:cxnLst/>
                            <a:rect l="0" t="0" r="0" b="0"/>
                            <a:pathLst>
                              <a:path w="5211318">
                                <a:moveTo>
                                  <a:pt x="0" y="0"/>
                                </a:moveTo>
                                <a:lnTo>
                                  <a:pt x="5211318" y="0"/>
                                </a:lnTo>
                              </a:path>
                            </a:pathLst>
                          </a:custGeom>
                          <a:noFill/>
                          <a:ln w="9525" cap="flat" cmpd="sng" algn="ctr">
                            <a:solidFill>
                              <a:srgbClr val="D9D9D9"/>
                            </a:solidFill>
                            <a:prstDash val="solid"/>
                            <a:round/>
                          </a:ln>
                          <a:effectLst/>
                        </wps:spPr>
                        <wps:bodyPr/>
                      </wps:wsp>
                      <wps:wsp>
                        <wps:cNvPr id="33467" name="Shape 33467"/>
                        <wps:cNvSpPr/>
                        <wps:spPr>
                          <a:xfrm>
                            <a:off x="340614" y="730885"/>
                            <a:ext cx="278066" cy="146177"/>
                          </a:xfrm>
                          <a:custGeom>
                            <a:avLst/>
                            <a:gdLst/>
                            <a:ahLst/>
                            <a:cxnLst/>
                            <a:rect l="0" t="0" r="0" b="0"/>
                            <a:pathLst>
                              <a:path w="278066" h="146177">
                                <a:moveTo>
                                  <a:pt x="0" y="0"/>
                                </a:moveTo>
                                <a:lnTo>
                                  <a:pt x="278066" y="0"/>
                                </a:lnTo>
                                <a:lnTo>
                                  <a:pt x="278066" y="146177"/>
                                </a:lnTo>
                                <a:lnTo>
                                  <a:pt x="0" y="146177"/>
                                </a:lnTo>
                                <a:lnTo>
                                  <a:pt x="0" y="0"/>
                                </a:lnTo>
                              </a:path>
                            </a:pathLst>
                          </a:custGeom>
                          <a:solidFill>
                            <a:srgbClr val="FFFFFF"/>
                          </a:solidFill>
                          <a:ln w="0" cap="flat">
                            <a:noFill/>
                            <a:round/>
                          </a:ln>
                          <a:effectLst/>
                        </wps:spPr>
                        <wps:bodyPr/>
                      </wps:wsp>
                      <wps:wsp>
                        <wps:cNvPr id="549" name="Shape 549"/>
                        <wps:cNvSpPr/>
                        <wps:spPr>
                          <a:xfrm>
                            <a:off x="340614" y="730885"/>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50" name="Rectangle 550"/>
                        <wps:cNvSpPr/>
                        <wps:spPr>
                          <a:xfrm>
                            <a:off x="379441" y="772537"/>
                            <a:ext cx="267452" cy="119927"/>
                          </a:xfrm>
                          <a:prstGeom prst="rect">
                            <a:avLst/>
                          </a:prstGeom>
                          <a:ln>
                            <a:noFill/>
                          </a:ln>
                        </wps:spPr>
                        <wps:txbx>
                          <w:txbxContent>
                            <w:p w14:paraId="1E2980C4" w14:textId="77777777" w:rsidR="00B302CF" w:rsidRPr="00276299" w:rsidRDefault="00B302CF" w:rsidP="00B721B9">
                              <w:pPr>
                                <w:rPr>
                                  <w:sz w:val="14"/>
                                  <w:szCs w:val="14"/>
                                </w:rPr>
                              </w:pPr>
                              <w:r w:rsidRPr="00276299">
                                <w:rPr>
                                  <w:color w:val="404040"/>
                                  <w:sz w:val="14"/>
                                  <w:szCs w:val="14"/>
                                </w:rPr>
                                <w:t>40.4</w:t>
                              </w:r>
                            </w:p>
                          </w:txbxContent>
                        </wps:txbx>
                        <wps:bodyPr horzOverflow="overflow" vert="horz" lIns="0" tIns="0" rIns="0" bIns="0" rtlCol="0">
                          <a:noAutofit/>
                        </wps:bodyPr>
                      </wps:wsp>
                      <wps:wsp>
                        <wps:cNvPr id="33468" name="Shape 33468"/>
                        <wps:cNvSpPr/>
                        <wps:spPr>
                          <a:xfrm>
                            <a:off x="647192" y="581406"/>
                            <a:ext cx="278067" cy="146177"/>
                          </a:xfrm>
                          <a:custGeom>
                            <a:avLst/>
                            <a:gdLst/>
                            <a:ahLst/>
                            <a:cxnLst/>
                            <a:rect l="0" t="0" r="0" b="0"/>
                            <a:pathLst>
                              <a:path w="278067" h="146177">
                                <a:moveTo>
                                  <a:pt x="0" y="0"/>
                                </a:moveTo>
                                <a:lnTo>
                                  <a:pt x="278067" y="0"/>
                                </a:lnTo>
                                <a:lnTo>
                                  <a:pt x="278067" y="146177"/>
                                </a:lnTo>
                                <a:lnTo>
                                  <a:pt x="0" y="146177"/>
                                </a:lnTo>
                                <a:lnTo>
                                  <a:pt x="0" y="0"/>
                                </a:lnTo>
                              </a:path>
                            </a:pathLst>
                          </a:custGeom>
                          <a:solidFill>
                            <a:srgbClr val="FFFFFF"/>
                          </a:solidFill>
                          <a:ln w="0" cap="flat">
                            <a:noFill/>
                            <a:round/>
                          </a:ln>
                          <a:effectLst/>
                        </wps:spPr>
                        <wps:bodyPr/>
                      </wps:wsp>
                      <wps:wsp>
                        <wps:cNvPr id="552" name="Shape 552"/>
                        <wps:cNvSpPr/>
                        <wps:spPr>
                          <a:xfrm>
                            <a:off x="647192" y="581406"/>
                            <a:ext cx="278067" cy="146177"/>
                          </a:xfrm>
                          <a:custGeom>
                            <a:avLst/>
                            <a:gdLst/>
                            <a:ahLst/>
                            <a:cxnLst/>
                            <a:rect l="0" t="0" r="0" b="0"/>
                            <a:pathLst>
                              <a:path w="278067" h="146177">
                                <a:moveTo>
                                  <a:pt x="0" y="146177"/>
                                </a:moveTo>
                                <a:lnTo>
                                  <a:pt x="278067" y="146177"/>
                                </a:lnTo>
                                <a:lnTo>
                                  <a:pt x="278067" y="0"/>
                                </a:lnTo>
                                <a:lnTo>
                                  <a:pt x="0" y="0"/>
                                </a:lnTo>
                                <a:close/>
                              </a:path>
                            </a:pathLst>
                          </a:custGeom>
                          <a:noFill/>
                          <a:ln w="25400" cap="flat" cmpd="sng" algn="ctr">
                            <a:solidFill>
                              <a:srgbClr val="E7E6E6"/>
                            </a:solidFill>
                            <a:prstDash val="solid"/>
                            <a:round/>
                          </a:ln>
                          <a:effectLst/>
                        </wps:spPr>
                        <wps:bodyPr/>
                      </wps:wsp>
                      <wps:wsp>
                        <wps:cNvPr id="553" name="Rectangle 553"/>
                        <wps:cNvSpPr/>
                        <wps:spPr>
                          <a:xfrm>
                            <a:off x="686054" y="623419"/>
                            <a:ext cx="267452" cy="114576"/>
                          </a:xfrm>
                          <a:prstGeom prst="rect">
                            <a:avLst/>
                          </a:prstGeom>
                          <a:ln>
                            <a:noFill/>
                          </a:ln>
                        </wps:spPr>
                        <wps:txbx>
                          <w:txbxContent>
                            <w:p w14:paraId="0A05D0D4" w14:textId="77777777" w:rsidR="00B302CF" w:rsidRPr="00276299" w:rsidRDefault="00B302CF" w:rsidP="00B721B9">
                              <w:pPr>
                                <w:rPr>
                                  <w:sz w:val="14"/>
                                  <w:szCs w:val="14"/>
                                </w:rPr>
                              </w:pPr>
                              <w:r w:rsidRPr="00276299">
                                <w:rPr>
                                  <w:color w:val="404040"/>
                                  <w:sz w:val="14"/>
                                  <w:szCs w:val="14"/>
                                </w:rPr>
                                <w:t>41.2</w:t>
                              </w:r>
                            </w:p>
                          </w:txbxContent>
                        </wps:txbx>
                        <wps:bodyPr horzOverflow="overflow" vert="horz" lIns="0" tIns="0" rIns="0" bIns="0" rtlCol="0">
                          <a:noAutofit/>
                        </wps:bodyPr>
                      </wps:wsp>
                      <wps:wsp>
                        <wps:cNvPr id="556" name="Rectangle 556"/>
                        <wps:cNvSpPr/>
                        <wps:spPr>
                          <a:xfrm>
                            <a:off x="953157" y="428340"/>
                            <a:ext cx="531828" cy="206854"/>
                          </a:xfrm>
                          <a:prstGeom prst="rect">
                            <a:avLst/>
                          </a:prstGeom>
                          <a:ln>
                            <a:noFill/>
                          </a:ln>
                        </wps:spPr>
                        <wps:txbx>
                          <w:txbxContent>
                            <w:p w14:paraId="6AEA55F4" w14:textId="77777777" w:rsidR="00B302CF" w:rsidRDefault="00B302CF" w:rsidP="00B721B9">
                              <w:r>
                                <w:rPr>
                                  <w:color w:val="404040"/>
                                  <w:sz w:val="14"/>
                                  <w:bdr w:val="single" w:sz="32" w:space="0" w:color="E7E6E6"/>
                                </w:rPr>
                                <w:t>41.9</w:t>
                              </w:r>
                            </w:p>
                          </w:txbxContent>
                        </wps:txbx>
                        <wps:bodyPr horzOverflow="overflow" vert="horz" lIns="0" tIns="0" rIns="0" bIns="0" rtlCol="0">
                          <a:noAutofit/>
                        </wps:bodyPr>
                      </wps:wsp>
                      <wps:wsp>
                        <wps:cNvPr id="33469" name="Shape 33469"/>
                        <wps:cNvSpPr/>
                        <wps:spPr>
                          <a:xfrm>
                            <a:off x="1260221" y="300990"/>
                            <a:ext cx="278067" cy="146177"/>
                          </a:xfrm>
                          <a:custGeom>
                            <a:avLst/>
                            <a:gdLst/>
                            <a:ahLst/>
                            <a:cxnLst/>
                            <a:rect l="0" t="0" r="0" b="0"/>
                            <a:pathLst>
                              <a:path w="278067" h="146177">
                                <a:moveTo>
                                  <a:pt x="0" y="0"/>
                                </a:moveTo>
                                <a:lnTo>
                                  <a:pt x="278067" y="0"/>
                                </a:lnTo>
                                <a:lnTo>
                                  <a:pt x="278067" y="146177"/>
                                </a:lnTo>
                                <a:lnTo>
                                  <a:pt x="0" y="146177"/>
                                </a:lnTo>
                                <a:lnTo>
                                  <a:pt x="0" y="0"/>
                                </a:lnTo>
                              </a:path>
                            </a:pathLst>
                          </a:custGeom>
                          <a:solidFill>
                            <a:srgbClr val="FFFFFF"/>
                          </a:solidFill>
                          <a:ln w="0" cap="flat">
                            <a:noFill/>
                            <a:round/>
                          </a:ln>
                          <a:effectLst/>
                        </wps:spPr>
                        <wps:bodyPr/>
                      </wps:wsp>
                      <wps:wsp>
                        <wps:cNvPr id="558" name="Shape 558"/>
                        <wps:cNvSpPr/>
                        <wps:spPr>
                          <a:xfrm>
                            <a:off x="1260221" y="300990"/>
                            <a:ext cx="278067" cy="146177"/>
                          </a:xfrm>
                          <a:custGeom>
                            <a:avLst/>
                            <a:gdLst/>
                            <a:ahLst/>
                            <a:cxnLst/>
                            <a:rect l="0" t="0" r="0" b="0"/>
                            <a:pathLst>
                              <a:path w="278067" h="146177">
                                <a:moveTo>
                                  <a:pt x="0" y="146177"/>
                                </a:moveTo>
                                <a:lnTo>
                                  <a:pt x="278067" y="146177"/>
                                </a:lnTo>
                                <a:lnTo>
                                  <a:pt x="278067" y="0"/>
                                </a:lnTo>
                                <a:lnTo>
                                  <a:pt x="0" y="0"/>
                                </a:lnTo>
                                <a:close/>
                              </a:path>
                            </a:pathLst>
                          </a:custGeom>
                          <a:noFill/>
                          <a:ln w="25400" cap="flat" cmpd="sng" algn="ctr">
                            <a:solidFill>
                              <a:srgbClr val="E7E6E6"/>
                            </a:solidFill>
                            <a:prstDash val="solid"/>
                            <a:round/>
                          </a:ln>
                          <a:effectLst/>
                        </wps:spPr>
                        <wps:bodyPr/>
                      </wps:wsp>
                      <wps:wsp>
                        <wps:cNvPr id="559" name="Rectangle 559"/>
                        <wps:cNvSpPr/>
                        <wps:spPr>
                          <a:xfrm>
                            <a:off x="1299337" y="343002"/>
                            <a:ext cx="267452" cy="114576"/>
                          </a:xfrm>
                          <a:prstGeom prst="rect">
                            <a:avLst/>
                          </a:prstGeom>
                          <a:ln>
                            <a:noFill/>
                          </a:ln>
                        </wps:spPr>
                        <wps:txbx>
                          <w:txbxContent>
                            <w:p w14:paraId="355A9C7F" w14:textId="77777777" w:rsidR="00B302CF" w:rsidRDefault="00B302CF" w:rsidP="00B721B9">
                              <w:r>
                                <w:rPr>
                                  <w:color w:val="404040"/>
                                  <w:sz w:val="14"/>
                                </w:rPr>
                                <w:t>42.7</w:t>
                              </w:r>
                            </w:p>
                          </w:txbxContent>
                        </wps:txbx>
                        <wps:bodyPr horzOverflow="overflow" vert="horz" lIns="0" tIns="0" rIns="0" bIns="0" rtlCol="0">
                          <a:noAutofit/>
                        </wps:bodyPr>
                      </wps:wsp>
                      <wps:wsp>
                        <wps:cNvPr id="561" name="Shape 561"/>
                        <wps:cNvSpPr/>
                        <wps:spPr>
                          <a:xfrm>
                            <a:off x="1566799" y="282321"/>
                            <a:ext cx="278067" cy="146177"/>
                          </a:xfrm>
                          <a:custGeom>
                            <a:avLst/>
                            <a:gdLst/>
                            <a:ahLst/>
                            <a:cxnLst/>
                            <a:rect l="0" t="0" r="0" b="0"/>
                            <a:pathLst>
                              <a:path w="278067" h="146177">
                                <a:moveTo>
                                  <a:pt x="0" y="146177"/>
                                </a:moveTo>
                                <a:lnTo>
                                  <a:pt x="278067" y="146177"/>
                                </a:lnTo>
                                <a:lnTo>
                                  <a:pt x="278067" y="0"/>
                                </a:lnTo>
                                <a:lnTo>
                                  <a:pt x="0" y="0"/>
                                </a:lnTo>
                                <a:close/>
                              </a:path>
                            </a:pathLst>
                          </a:custGeom>
                          <a:noFill/>
                          <a:ln w="25400" cap="flat" cmpd="sng" algn="ctr">
                            <a:solidFill>
                              <a:srgbClr val="E7E6E6"/>
                            </a:solidFill>
                            <a:prstDash val="solid"/>
                            <a:round/>
                          </a:ln>
                          <a:effectLst/>
                        </wps:spPr>
                        <wps:bodyPr/>
                      </wps:wsp>
                      <wps:wsp>
                        <wps:cNvPr id="562" name="Rectangle 562"/>
                        <wps:cNvSpPr/>
                        <wps:spPr>
                          <a:xfrm>
                            <a:off x="1606042" y="324334"/>
                            <a:ext cx="267452" cy="114576"/>
                          </a:xfrm>
                          <a:prstGeom prst="rect">
                            <a:avLst/>
                          </a:prstGeom>
                          <a:ln>
                            <a:noFill/>
                          </a:ln>
                        </wps:spPr>
                        <wps:txbx>
                          <w:txbxContent>
                            <w:p w14:paraId="5B55C5D5" w14:textId="77777777" w:rsidR="00B302CF" w:rsidRDefault="00B302CF" w:rsidP="00B721B9">
                              <w:r>
                                <w:rPr>
                                  <w:color w:val="404040"/>
                                  <w:sz w:val="14"/>
                                </w:rPr>
                                <w:t>42.8</w:t>
                              </w:r>
                            </w:p>
                          </w:txbxContent>
                        </wps:txbx>
                        <wps:bodyPr horzOverflow="overflow" vert="horz" lIns="0" tIns="0" rIns="0" bIns="0" rtlCol="0">
                          <a:noAutofit/>
                        </wps:bodyPr>
                      </wps:wsp>
                      <wps:wsp>
                        <wps:cNvPr id="564" name="Shape 564"/>
                        <wps:cNvSpPr/>
                        <wps:spPr>
                          <a:xfrm>
                            <a:off x="1873377" y="244983"/>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65" name="Rectangle 565"/>
                        <wps:cNvSpPr/>
                        <wps:spPr>
                          <a:xfrm>
                            <a:off x="1912620" y="286869"/>
                            <a:ext cx="267452" cy="114576"/>
                          </a:xfrm>
                          <a:prstGeom prst="rect">
                            <a:avLst/>
                          </a:prstGeom>
                          <a:ln>
                            <a:noFill/>
                          </a:ln>
                        </wps:spPr>
                        <wps:txbx>
                          <w:txbxContent>
                            <w:p w14:paraId="24622861" w14:textId="77777777" w:rsidR="00B302CF" w:rsidRDefault="00B302CF" w:rsidP="00B721B9">
                              <w:r>
                                <w:rPr>
                                  <w:color w:val="404040"/>
                                  <w:sz w:val="14"/>
                                </w:rPr>
                                <w:t>43.0</w:t>
                              </w:r>
                            </w:p>
                          </w:txbxContent>
                        </wps:txbx>
                        <wps:bodyPr horzOverflow="overflow" vert="horz" lIns="0" tIns="0" rIns="0" bIns="0" rtlCol="0">
                          <a:noAutofit/>
                        </wps:bodyPr>
                      </wps:wsp>
                      <wps:wsp>
                        <wps:cNvPr id="33470" name="Shape 33470"/>
                        <wps:cNvSpPr/>
                        <wps:spPr>
                          <a:xfrm>
                            <a:off x="2179955" y="207645"/>
                            <a:ext cx="278066" cy="146177"/>
                          </a:xfrm>
                          <a:custGeom>
                            <a:avLst/>
                            <a:gdLst/>
                            <a:ahLst/>
                            <a:cxnLst/>
                            <a:rect l="0" t="0" r="0" b="0"/>
                            <a:pathLst>
                              <a:path w="278066" h="146177">
                                <a:moveTo>
                                  <a:pt x="0" y="0"/>
                                </a:moveTo>
                                <a:lnTo>
                                  <a:pt x="278066" y="0"/>
                                </a:lnTo>
                                <a:lnTo>
                                  <a:pt x="278066" y="146177"/>
                                </a:lnTo>
                                <a:lnTo>
                                  <a:pt x="0" y="146177"/>
                                </a:lnTo>
                                <a:lnTo>
                                  <a:pt x="0" y="0"/>
                                </a:lnTo>
                              </a:path>
                            </a:pathLst>
                          </a:custGeom>
                          <a:solidFill>
                            <a:srgbClr val="FFFFFF"/>
                          </a:solidFill>
                          <a:ln w="0" cap="flat">
                            <a:noFill/>
                            <a:round/>
                          </a:ln>
                          <a:effectLst/>
                        </wps:spPr>
                        <wps:bodyPr/>
                      </wps:wsp>
                      <wps:wsp>
                        <wps:cNvPr id="567" name="Shape 567"/>
                        <wps:cNvSpPr/>
                        <wps:spPr>
                          <a:xfrm>
                            <a:off x="2179955" y="207645"/>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68" name="Rectangle 568"/>
                        <wps:cNvSpPr/>
                        <wps:spPr>
                          <a:xfrm>
                            <a:off x="2218944" y="249403"/>
                            <a:ext cx="267452" cy="114576"/>
                          </a:xfrm>
                          <a:prstGeom prst="rect">
                            <a:avLst/>
                          </a:prstGeom>
                          <a:ln>
                            <a:noFill/>
                          </a:ln>
                        </wps:spPr>
                        <wps:txbx>
                          <w:txbxContent>
                            <w:p w14:paraId="6165DCF1" w14:textId="77777777" w:rsidR="00B302CF" w:rsidRDefault="00B302CF" w:rsidP="00B721B9">
                              <w:r>
                                <w:rPr>
                                  <w:color w:val="404040"/>
                                  <w:sz w:val="14"/>
                                </w:rPr>
                                <w:t>43.2</w:t>
                              </w:r>
                            </w:p>
                          </w:txbxContent>
                        </wps:txbx>
                        <wps:bodyPr horzOverflow="overflow" vert="horz" lIns="0" tIns="0" rIns="0" bIns="0" rtlCol="0">
                          <a:noAutofit/>
                        </wps:bodyPr>
                      </wps:wsp>
                      <wps:wsp>
                        <wps:cNvPr id="33471" name="Shape 33471"/>
                        <wps:cNvSpPr/>
                        <wps:spPr>
                          <a:xfrm>
                            <a:off x="2486406" y="188976"/>
                            <a:ext cx="278066" cy="146177"/>
                          </a:xfrm>
                          <a:custGeom>
                            <a:avLst/>
                            <a:gdLst/>
                            <a:ahLst/>
                            <a:cxnLst/>
                            <a:rect l="0" t="0" r="0" b="0"/>
                            <a:pathLst>
                              <a:path w="278066" h="146177">
                                <a:moveTo>
                                  <a:pt x="0" y="0"/>
                                </a:moveTo>
                                <a:lnTo>
                                  <a:pt x="278066" y="0"/>
                                </a:lnTo>
                                <a:lnTo>
                                  <a:pt x="278066" y="146177"/>
                                </a:lnTo>
                                <a:lnTo>
                                  <a:pt x="0" y="146177"/>
                                </a:lnTo>
                                <a:lnTo>
                                  <a:pt x="0" y="0"/>
                                </a:lnTo>
                              </a:path>
                            </a:pathLst>
                          </a:custGeom>
                          <a:solidFill>
                            <a:srgbClr val="FFFFFF"/>
                          </a:solidFill>
                          <a:ln w="0" cap="flat">
                            <a:noFill/>
                            <a:round/>
                          </a:ln>
                          <a:effectLst/>
                        </wps:spPr>
                        <wps:bodyPr/>
                      </wps:wsp>
                      <wps:wsp>
                        <wps:cNvPr id="570" name="Shape 570"/>
                        <wps:cNvSpPr/>
                        <wps:spPr>
                          <a:xfrm>
                            <a:off x="2486406" y="188976"/>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71" name="Rectangle 571"/>
                        <wps:cNvSpPr/>
                        <wps:spPr>
                          <a:xfrm>
                            <a:off x="2525522" y="230861"/>
                            <a:ext cx="267452" cy="114576"/>
                          </a:xfrm>
                          <a:prstGeom prst="rect">
                            <a:avLst/>
                          </a:prstGeom>
                          <a:ln>
                            <a:noFill/>
                          </a:ln>
                        </wps:spPr>
                        <wps:txbx>
                          <w:txbxContent>
                            <w:p w14:paraId="13176C6E" w14:textId="77777777" w:rsidR="00B302CF" w:rsidRDefault="00B302CF" w:rsidP="00B721B9">
                              <w:r>
                                <w:rPr>
                                  <w:color w:val="404040"/>
                                  <w:sz w:val="14"/>
                                </w:rPr>
                                <w:t>43.3</w:t>
                              </w:r>
                            </w:p>
                          </w:txbxContent>
                        </wps:txbx>
                        <wps:bodyPr horzOverflow="overflow" vert="horz" lIns="0" tIns="0" rIns="0" bIns="0" rtlCol="0">
                          <a:noAutofit/>
                        </wps:bodyPr>
                      </wps:wsp>
                      <wps:wsp>
                        <wps:cNvPr id="33472" name="Shape 33472"/>
                        <wps:cNvSpPr/>
                        <wps:spPr>
                          <a:xfrm>
                            <a:off x="2792984" y="151511"/>
                            <a:ext cx="278066" cy="146177"/>
                          </a:xfrm>
                          <a:custGeom>
                            <a:avLst/>
                            <a:gdLst/>
                            <a:ahLst/>
                            <a:cxnLst/>
                            <a:rect l="0" t="0" r="0" b="0"/>
                            <a:pathLst>
                              <a:path w="278066" h="146177">
                                <a:moveTo>
                                  <a:pt x="0" y="0"/>
                                </a:moveTo>
                                <a:lnTo>
                                  <a:pt x="278066" y="0"/>
                                </a:lnTo>
                                <a:lnTo>
                                  <a:pt x="278066" y="146177"/>
                                </a:lnTo>
                                <a:lnTo>
                                  <a:pt x="0" y="146177"/>
                                </a:lnTo>
                                <a:lnTo>
                                  <a:pt x="0" y="0"/>
                                </a:lnTo>
                              </a:path>
                            </a:pathLst>
                          </a:custGeom>
                          <a:solidFill>
                            <a:srgbClr val="FFFFFF"/>
                          </a:solidFill>
                          <a:ln w="0" cap="flat">
                            <a:noFill/>
                            <a:round/>
                          </a:ln>
                          <a:effectLst/>
                        </wps:spPr>
                        <wps:bodyPr/>
                      </wps:wsp>
                      <wps:wsp>
                        <wps:cNvPr id="573" name="Shape 573"/>
                        <wps:cNvSpPr/>
                        <wps:spPr>
                          <a:xfrm>
                            <a:off x="2792984" y="151511"/>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74" name="Rectangle 574"/>
                        <wps:cNvSpPr/>
                        <wps:spPr>
                          <a:xfrm>
                            <a:off x="2832227" y="193270"/>
                            <a:ext cx="267452" cy="114576"/>
                          </a:xfrm>
                          <a:prstGeom prst="rect">
                            <a:avLst/>
                          </a:prstGeom>
                          <a:ln>
                            <a:noFill/>
                          </a:ln>
                        </wps:spPr>
                        <wps:txbx>
                          <w:txbxContent>
                            <w:p w14:paraId="29245315" w14:textId="77777777" w:rsidR="00B302CF" w:rsidRDefault="00B302CF" w:rsidP="00B721B9">
                              <w:r>
                                <w:rPr>
                                  <w:color w:val="404040"/>
                                  <w:sz w:val="14"/>
                                </w:rPr>
                                <w:t>43.5</w:t>
                              </w:r>
                            </w:p>
                          </w:txbxContent>
                        </wps:txbx>
                        <wps:bodyPr horzOverflow="overflow" vert="horz" lIns="0" tIns="0" rIns="0" bIns="0" rtlCol="0">
                          <a:noAutofit/>
                        </wps:bodyPr>
                      </wps:wsp>
                      <wps:wsp>
                        <wps:cNvPr id="33473" name="Shape 33473"/>
                        <wps:cNvSpPr/>
                        <wps:spPr>
                          <a:xfrm>
                            <a:off x="3099562" y="132842"/>
                            <a:ext cx="278066" cy="146177"/>
                          </a:xfrm>
                          <a:custGeom>
                            <a:avLst/>
                            <a:gdLst/>
                            <a:ahLst/>
                            <a:cxnLst/>
                            <a:rect l="0" t="0" r="0" b="0"/>
                            <a:pathLst>
                              <a:path w="278066" h="146177">
                                <a:moveTo>
                                  <a:pt x="0" y="0"/>
                                </a:moveTo>
                                <a:lnTo>
                                  <a:pt x="278066" y="0"/>
                                </a:lnTo>
                                <a:lnTo>
                                  <a:pt x="278066" y="146177"/>
                                </a:lnTo>
                                <a:lnTo>
                                  <a:pt x="0" y="146177"/>
                                </a:lnTo>
                                <a:lnTo>
                                  <a:pt x="0" y="0"/>
                                </a:lnTo>
                              </a:path>
                            </a:pathLst>
                          </a:custGeom>
                          <a:solidFill>
                            <a:srgbClr val="FFFFFF"/>
                          </a:solidFill>
                          <a:ln w="0" cap="flat">
                            <a:noFill/>
                            <a:round/>
                          </a:ln>
                          <a:effectLst/>
                        </wps:spPr>
                        <wps:bodyPr/>
                      </wps:wsp>
                      <wps:wsp>
                        <wps:cNvPr id="576" name="Shape 576"/>
                        <wps:cNvSpPr/>
                        <wps:spPr>
                          <a:xfrm>
                            <a:off x="3099562" y="132842"/>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77" name="Rectangle 577"/>
                        <wps:cNvSpPr/>
                        <wps:spPr>
                          <a:xfrm>
                            <a:off x="3138805" y="174727"/>
                            <a:ext cx="267452" cy="114576"/>
                          </a:xfrm>
                          <a:prstGeom prst="rect">
                            <a:avLst/>
                          </a:prstGeom>
                          <a:ln>
                            <a:noFill/>
                          </a:ln>
                        </wps:spPr>
                        <wps:txbx>
                          <w:txbxContent>
                            <w:p w14:paraId="56EE90CE" w14:textId="77777777" w:rsidR="00B302CF" w:rsidRDefault="00B302CF" w:rsidP="00B721B9">
                              <w:r>
                                <w:rPr>
                                  <w:color w:val="404040"/>
                                  <w:sz w:val="14"/>
                                </w:rPr>
                                <w:t>43.6</w:t>
                              </w:r>
                            </w:p>
                          </w:txbxContent>
                        </wps:txbx>
                        <wps:bodyPr horzOverflow="overflow" vert="horz" lIns="0" tIns="0" rIns="0" bIns="0" rtlCol="0">
                          <a:noAutofit/>
                        </wps:bodyPr>
                      </wps:wsp>
                      <wps:wsp>
                        <wps:cNvPr id="579" name="Shape 579"/>
                        <wps:cNvSpPr/>
                        <wps:spPr>
                          <a:xfrm>
                            <a:off x="3406140" y="95504"/>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80" name="Rectangle 580"/>
                        <wps:cNvSpPr/>
                        <wps:spPr>
                          <a:xfrm>
                            <a:off x="3445510" y="137262"/>
                            <a:ext cx="267452" cy="114576"/>
                          </a:xfrm>
                          <a:prstGeom prst="rect">
                            <a:avLst/>
                          </a:prstGeom>
                          <a:ln>
                            <a:noFill/>
                          </a:ln>
                        </wps:spPr>
                        <wps:txbx>
                          <w:txbxContent>
                            <w:p w14:paraId="4B9E0800" w14:textId="77777777" w:rsidR="00B302CF" w:rsidRPr="00276299" w:rsidRDefault="00B302CF" w:rsidP="00B721B9">
                              <w:pPr>
                                <w:rPr>
                                  <w:sz w:val="14"/>
                                  <w:szCs w:val="14"/>
                                </w:rPr>
                              </w:pPr>
                              <w:r w:rsidRPr="00276299">
                                <w:rPr>
                                  <w:color w:val="404040"/>
                                  <w:sz w:val="14"/>
                                  <w:szCs w:val="14"/>
                                </w:rPr>
                                <w:t>43.8</w:t>
                              </w:r>
                            </w:p>
                          </w:txbxContent>
                        </wps:txbx>
                        <wps:bodyPr horzOverflow="overflow" vert="horz" lIns="0" tIns="0" rIns="0" bIns="0" rtlCol="0">
                          <a:noAutofit/>
                        </wps:bodyPr>
                      </wps:wsp>
                      <wps:wsp>
                        <wps:cNvPr id="583" name="Rectangle 583"/>
                        <wps:cNvSpPr/>
                        <wps:spPr>
                          <a:xfrm>
                            <a:off x="3751400" y="39357"/>
                            <a:ext cx="306894" cy="193764"/>
                          </a:xfrm>
                          <a:prstGeom prst="rect">
                            <a:avLst/>
                          </a:prstGeom>
                          <a:ln>
                            <a:noFill/>
                          </a:ln>
                        </wps:spPr>
                        <wps:txbx>
                          <w:txbxContent>
                            <w:p w14:paraId="57F37ED5" w14:textId="77777777" w:rsidR="00B302CF" w:rsidRPr="00276299" w:rsidRDefault="00B302CF" w:rsidP="00B721B9">
                              <w:pPr>
                                <w:rPr>
                                  <w:sz w:val="14"/>
                                  <w:szCs w:val="14"/>
                                </w:rPr>
                              </w:pPr>
                              <w:r w:rsidRPr="00276299">
                                <w:rPr>
                                  <w:color w:val="404040"/>
                                  <w:sz w:val="14"/>
                                  <w:szCs w:val="14"/>
                                  <w:bdr w:val="single" w:sz="32" w:space="0" w:color="E7E6E6"/>
                                </w:rPr>
                                <w:t>43.9</w:t>
                              </w:r>
                            </w:p>
                          </w:txbxContent>
                        </wps:txbx>
                        <wps:bodyPr horzOverflow="overflow" vert="horz" lIns="0" tIns="0" rIns="0" bIns="0" rtlCol="0">
                          <a:noAutofit/>
                        </wps:bodyPr>
                      </wps:wsp>
                      <wps:wsp>
                        <wps:cNvPr id="585" name="Shape 585"/>
                        <wps:cNvSpPr/>
                        <wps:spPr>
                          <a:xfrm>
                            <a:off x="4019169" y="58166"/>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86" name="Rectangle 586"/>
                        <wps:cNvSpPr/>
                        <wps:spPr>
                          <a:xfrm>
                            <a:off x="4058666" y="100051"/>
                            <a:ext cx="267452" cy="114576"/>
                          </a:xfrm>
                          <a:prstGeom prst="rect">
                            <a:avLst/>
                          </a:prstGeom>
                          <a:ln>
                            <a:noFill/>
                          </a:ln>
                        </wps:spPr>
                        <wps:txbx>
                          <w:txbxContent>
                            <w:p w14:paraId="739CB715" w14:textId="77777777" w:rsidR="00B302CF" w:rsidRPr="00276299" w:rsidRDefault="00B302CF" w:rsidP="00B721B9">
                              <w:pPr>
                                <w:rPr>
                                  <w:sz w:val="14"/>
                                  <w:szCs w:val="14"/>
                                </w:rPr>
                              </w:pPr>
                              <w:r w:rsidRPr="00276299">
                                <w:rPr>
                                  <w:color w:val="404040"/>
                                  <w:sz w:val="14"/>
                                  <w:szCs w:val="14"/>
                                </w:rPr>
                                <w:t>44.0</w:t>
                              </w:r>
                            </w:p>
                          </w:txbxContent>
                        </wps:txbx>
                        <wps:bodyPr horzOverflow="overflow" vert="horz" lIns="0" tIns="0" rIns="0" bIns="0" rtlCol="0">
                          <a:noAutofit/>
                        </wps:bodyPr>
                      </wps:wsp>
                      <wps:wsp>
                        <wps:cNvPr id="33474" name="Shape 33474"/>
                        <wps:cNvSpPr/>
                        <wps:spPr>
                          <a:xfrm>
                            <a:off x="4325747" y="39370"/>
                            <a:ext cx="278066" cy="146177"/>
                          </a:xfrm>
                          <a:custGeom>
                            <a:avLst/>
                            <a:gdLst/>
                            <a:ahLst/>
                            <a:cxnLst/>
                            <a:rect l="0" t="0" r="0" b="0"/>
                            <a:pathLst>
                              <a:path w="278066" h="146177">
                                <a:moveTo>
                                  <a:pt x="0" y="0"/>
                                </a:moveTo>
                                <a:lnTo>
                                  <a:pt x="278066" y="0"/>
                                </a:lnTo>
                                <a:lnTo>
                                  <a:pt x="278066" y="146177"/>
                                </a:lnTo>
                                <a:lnTo>
                                  <a:pt x="0" y="146177"/>
                                </a:lnTo>
                                <a:lnTo>
                                  <a:pt x="0" y="0"/>
                                </a:lnTo>
                              </a:path>
                            </a:pathLst>
                          </a:custGeom>
                          <a:solidFill>
                            <a:srgbClr val="FFFFFF"/>
                          </a:solidFill>
                          <a:ln w="0" cap="flat">
                            <a:noFill/>
                            <a:round/>
                          </a:ln>
                          <a:effectLst/>
                        </wps:spPr>
                        <wps:bodyPr/>
                      </wps:wsp>
                      <wps:wsp>
                        <wps:cNvPr id="588" name="Shape 588"/>
                        <wps:cNvSpPr/>
                        <wps:spPr>
                          <a:xfrm>
                            <a:off x="4325747" y="39370"/>
                            <a:ext cx="278066" cy="146177"/>
                          </a:xfrm>
                          <a:custGeom>
                            <a:avLst/>
                            <a:gdLst/>
                            <a:ahLst/>
                            <a:cxnLst/>
                            <a:rect l="0" t="0" r="0" b="0"/>
                            <a:pathLst>
                              <a:path w="278066" h="146177">
                                <a:moveTo>
                                  <a:pt x="0" y="146177"/>
                                </a:moveTo>
                                <a:lnTo>
                                  <a:pt x="278066" y="146177"/>
                                </a:lnTo>
                                <a:lnTo>
                                  <a:pt x="278066" y="0"/>
                                </a:lnTo>
                                <a:lnTo>
                                  <a:pt x="0" y="0"/>
                                </a:lnTo>
                                <a:close/>
                              </a:path>
                            </a:pathLst>
                          </a:custGeom>
                          <a:noFill/>
                          <a:ln w="25400" cap="flat" cmpd="sng" algn="ctr">
                            <a:solidFill>
                              <a:srgbClr val="E7E6E6"/>
                            </a:solidFill>
                            <a:prstDash val="solid"/>
                            <a:round/>
                          </a:ln>
                          <a:effectLst/>
                        </wps:spPr>
                        <wps:bodyPr/>
                      </wps:wsp>
                      <wps:wsp>
                        <wps:cNvPr id="589" name="Rectangle 589"/>
                        <wps:cNvSpPr/>
                        <wps:spPr>
                          <a:xfrm>
                            <a:off x="4365371" y="81128"/>
                            <a:ext cx="267452" cy="114576"/>
                          </a:xfrm>
                          <a:prstGeom prst="rect">
                            <a:avLst/>
                          </a:prstGeom>
                          <a:ln>
                            <a:noFill/>
                          </a:ln>
                        </wps:spPr>
                        <wps:txbx>
                          <w:txbxContent>
                            <w:p w14:paraId="55FFB086" w14:textId="77777777" w:rsidR="00B302CF" w:rsidRPr="00276299" w:rsidRDefault="00B302CF" w:rsidP="00B721B9">
                              <w:pPr>
                                <w:rPr>
                                  <w:sz w:val="14"/>
                                  <w:szCs w:val="14"/>
                                </w:rPr>
                              </w:pPr>
                              <w:r w:rsidRPr="00276299">
                                <w:rPr>
                                  <w:color w:val="404040"/>
                                  <w:sz w:val="14"/>
                                  <w:szCs w:val="14"/>
                                </w:rPr>
                                <w:t>44.1</w:t>
                              </w:r>
                            </w:p>
                          </w:txbxContent>
                        </wps:txbx>
                        <wps:bodyPr horzOverflow="overflow" vert="horz" lIns="0" tIns="0" rIns="0" bIns="0" rtlCol="0">
                          <a:noAutofit/>
                        </wps:bodyPr>
                      </wps:wsp>
                      <wps:wsp>
                        <wps:cNvPr id="599" name="Rectangle 599"/>
                        <wps:cNvSpPr/>
                        <wps:spPr>
                          <a:xfrm>
                            <a:off x="0" y="1508154"/>
                            <a:ext cx="307188" cy="132355"/>
                          </a:xfrm>
                          <a:prstGeom prst="rect">
                            <a:avLst/>
                          </a:prstGeom>
                          <a:ln>
                            <a:noFill/>
                          </a:ln>
                        </wps:spPr>
                        <wps:txbx>
                          <w:txbxContent>
                            <w:p w14:paraId="75BD333C" w14:textId="77777777" w:rsidR="00B302CF" w:rsidRDefault="00B302CF" w:rsidP="00B721B9">
                              <w:r w:rsidRPr="00F17C4E">
                                <w:rPr>
                                  <w:rFonts w:ascii="Times New Roman" w:hAnsi="Times New Roman" w:cs="Times New Roman"/>
                                  <w:color w:val="595959"/>
                                  <w:sz w:val="16"/>
                                </w:rPr>
                                <w:t>37</w:t>
                              </w:r>
                              <w:r>
                                <w:rPr>
                                  <w:color w:val="595959"/>
                                  <w:sz w:val="16"/>
                                </w:rPr>
                                <w:t>.0</w:t>
                              </w:r>
                            </w:p>
                          </w:txbxContent>
                        </wps:txbx>
                        <wps:bodyPr horzOverflow="overflow" vert="horz" lIns="0" tIns="0" rIns="0" bIns="0" rtlCol="0">
                          <a:noAutofit/>
                        </wps:bodyPr>
                      </wps:wsp>
                      <wps:wsp>
                        <wps:cNvPr id="600" name="Rectangle 600"/>
                        <wps:cNvSpPr/>
                        <wps:spPr>
                          <a:xfrm>
                            <a:off x="0" y="1321210"/>
                            <a:ext cx="307188" cy="132355"/>
                          </a:xfrm>
                          <a:prstGeom prst="rect">
                            <a:avLst/>
                          </a:prstGeom>
                          <a:ln>
                            <a:noFill/>
                          </a:ln>
                        </wps:spPr>
                        <wps:txbx>
                          <w:txbxContent>
                            <w:p w14:paraId="5F90E9BF" w14:textId="77777777" w:rsidR="00B302CF" w:rsidRDefault="00B302CF" w:rsidP="00B721B9">
                              <w:r>
                                <w:rPr>
                                  <w:color w:val="595959"/>
                                  <w:sz w:val="16"/>
                                </w:rPr>
                                <w:t>38.0</w:t>
                              </w:r>
                            </w:p>
                          </w:txbxContent>
                        </wps:txbx>
                        <wps:bodyPr horzOverflow="overflow" vert="horz" lIns="0" tIns="0" rIns="0" bIns="0" rtlCol="0">
                          <a:noAutofit/>
                        </wps:bodyPr>
                      </wps:wsp>
                      <wps:wsp>
                        <wps:cNvPr id="601" name="Rectangle 601"/>
                        <wps:cNvSpPr/>
                        <wps:spPr>
                          <a:xfrm>
                            <a:off x="0" y="1134139"/>
                            <a:ext cx="307188" cy="132355"/>
                          </a:xfrm>
                          <a:prstGeom prst="rect">
                            <a:avLst/>
                          </a:prstGeom>
                          <a:ln>
                            <a:noFill/>
                          </a:ln>
                        </wps:spPr>
                        <wps:txbx>
                          <w:txbxContent>
                            <w:p w14:paraId="00DC3B39" w14:textId="77777777" w:rsidR="00B302CF" w:rsidRDefault="00B302CF" w:rsidP="00B721B9">
                              <w:r>
                                <w:rPr>
                                  <w:color w:val="595959"/>
                                  <w:sz w:val="16"/>
                                </w:rPr>
                                <w:t>39.0</w:t>
                              </w:r>
                            </w:p>
                          </w:txbxContent>
                        </wps:txbx>
                        <wps:bodyPr horzOverflow="overflow" vert="horz" lIns="0" tIns="0" rIns="0" bIns="0" rtlCol="0">
                          <a:noAutofit/>
                        </wps:bodyPr>
                      </wps:wsp>
                      <wps:wsp>
                        <wps:cNvPr id="602" name="Rectangle 602"/>
                        <wps:cNvSpPr/>
                        <wps:spPr>
                          <a:xfrm>
                            <a:off x="0" y="947322"/>
                            <a:ext cx="307188" cy="132355"/>
                          </a:xfrm>
                          <a:prstGeom prst="rect">
                            <a:avLst/>
                          </a:prstGeom>
                          <a:ln>
                            <a:noFill/>
                          </a:ln>
                        </wps:spPr>
                        <wps:txbx>
                          <w:txbxContent>
                            <w:p w14:paraId="637B6A1B" w14:textId="77777777" w:rsidR="00B302CF" w:rsidRDefault="00B302CF" w:rsidP="00B721B9">
                              <w:r>
                                <w:rPr>
                                  <w:color w:val="595959"/>
                                  <w:sz w:val="16"/>
                                </w:rPr>
                                <w:t>40.0</w:t>
                              </w:r>
                            </w:p>
                          </w:txbxContent>
                        </wps:txbx>
                        <wps:bodyPr horzOverflow="overflow" vert="horz" lIns="0" tIns="0" rIns="0" bIns="0" rtlCol="0">
                          <a:noAutofit/>
                        </wps:bodyPr>
                      </wps:wsp>
                      <wps:wsp>
                        <wps:cNvPr id="603" name="Rectangle 603"/>
                        <wps:cNvSpPr/>
                        <wps:spPr>
                          <a:xfrm>
                            <a:off x="0" y="760378"/>
                            <a:ext cx="307188" cy="132355"/>
                          </a:xfrm>
                          <a:prstGeom prst="rect">
                            <a:avLst/>
                          </a:prstGeom>
                          <a:ln>
                            <a:noFill/>
                          </a:ln>
                        </wps:spPr>
                        <wps:txbx>
                          <w:txbxContent>
                            <w:p w14:paraId="44FFC3F4" w14:textId="77777777" w:rsidR="00B302CF" w:rsidRDefault="00B302CF" w:rsidP="00B721B9">
                              <w:r>
                                <w:rPr>
                                  <w:color w:val="595959"/>
                                  <w:sz w:val="16"/>
                                </w:rPr>
                                <w:t>41.0</w:t>
                              </w:r>
                            </w:p>
                          </w:txbxContent>
                        </wps:txbx>
                        <wps:bodyPr horzOverflow="overflow" vert="horz" lIns="0" tIns="0" rIns="0" bIns="0" rtlCol="0">
                          <a:noAutofit/>
                        </wps:bodyPr>
                      </wps:wsp>
                      <wps:wsp>
                        <wps:cNvPr id="604" name="Rectangle 604"/>
                        <wps:cNvSpPr/>
                        <wps:spPr>
                          <a:xfrm>
                            <a:off x="0" y="573560"/>
                            <a:ext cx="307188" cy="132356"/>
                          </a:xfrm>
                          <a:prstGeom prst="rect">
                            <a:avLst/>
                          </a:prstGeom>
                          <a:ln>
                            <a:noFill/>
                          </a:ln>
                        </wps:spPr>
                        <wps:txbx>
                          <w:txbxContent>
                            <w:p w14:paraId="4E6D9F2A" w14:textId="77777777" w:rsidR="00B302CF" w:rsidRDefault="00B302CF" w:rsidP="00B721B9">
                              <w:r>
                                <w:rPr>
                                  <w:color w:val="595959"/>
                                  <w:sz w:val="16"/>
                                </w:rPr>
                                <w:t>42.0</w:t>
                              </w:r>
                            </w:p>
                          </w:txbxContent>
                        </wps:txbx>
                        <wps:bodyPr horzOverflow="overflow" vert="horz" lIns="0" tIns="0" rIns="0" bIns="0" rtlCol="0">
                          <a:noAutofit/>
                        </wps:bodyPr>
                      </wps:wsp>
                      <wps:wsp>
                        <wps:cNvPr id="605" name="Rectangle 605"/>
                        <wps:cNvSpPr/>
                        <wps:spPr>
                          <a:xfrm>
                            <a:off x="0" y="386256"/>
                            <a:ext cx="307424" cy="132751"/>
                          </a:xfrm>
                          <a:prstGeom prst="rect">
                            <a:avLst/>
                          </a:prstGeom>
                          <a:ln>
                            <a:noFill/>
                          </a:ln>
                        </wps:spPr>
                        <wps:txbx>
                          <w:txbxContent>
                            <w:p w14:paraId="6ECC3829" w14:textId="77777777" w:rsidR="00B302CF" w:rsidRDefault="00B302CF" w:rsidP="00B721B9">
                              <w:r>
                                <w:rPr>
                                  <w:color w:val="595959"/>
                                  <w:sz w:val="16"/>
                                </w:rPr>
                                <w:t>43.0</w:t>
                              </w:r>
                            </w:p>
                          </w:txbxContent>
                        </wps:txbx>
                        <wps:bodyPr horzOverflow="overflow" vert="horz" lIns="0" tIns="0" rIns="0" bIns="0" rtlCol="0">
                          <a:noAutofit/>
                        </wps:bodyPr>
                      </wps:wsp>
                      <wps:wsp>
                        <wps:cNvPr id="606" name="Rectangle 606"/>
                        <wps:cNvSpPr/>
                        <wps:spPr>
                          <a:xfrm>
                            <a:off x="0" y="199546"/>
                            <a:ext cx="307188" cy="132356"/>
                          </a:xfrm>
                          <a:prstGeom prst="rect">
                            <a:avLst/>
                          </a:prstGeom>
                          <a:ln>
                            <a:noFill/>
                          </a:ln>
                        </wps:spPr>
                        <wps:txbx>
                          <w:txbxContent>
                            <w:p w14:paraId="53BA3F42" w14:textId="77777777" w:rsidR="00B302CF" w:rsidRDefault="00B302CF" w:rsidP="00B721B9">
                              <w:r>
                                <w:rPr>
                                  <w:color w:val="595959"/>
                                  <w:sz w:val="16"/>
                                </w:rPr>
                                <w:t>44.0</w:t>
                              </w:r>
                            </w:p>
                          </w:txbxContent>
                        </wps:txbx>
                        <wps:bodyPr horzOverflow="overflow" vert="horz" lIns="0" tIns="0" rIns="0" bIns="0" rtlCol="0">
                          <a:noAutofit/>
                        </wps:bodyPr>
                      </wps:wsp>
                      <wps:wsp>
                        <wps:cNvPr id="607" name="Rectangle 607"/>
                        <wps:cNvSpPr/>
                        <wps:spPr>
                          <a:xfrm>
                            <a:off x="0" y="12729"/>
                            <a:ext cx="307188" cy="132356"/>
                          </a:xfrm>
                          <a:prstGeom prst="rect">
                            <a:avLst/>
                          </a:prstGeom>
                          <a:ln>
                            <a:noFill/>
                          </a:ln>
                        </wps:spPr>
                        <wps:txbx>
                          <w:txbxContent>
                            <w:p w14:paraId="15267677" w14:textId="77777777" w:rsidR="00B302CF" w:rsidRDefault="00B302CF" w:rsidP="00B721B9">
                              <w:r>
                                <w:rPr>
                                  <w:color w:val="595959"/>
                                  <w:sz w:val="16"/>
                                </w:rPr>
                                <w:t>45.0</w:t>
                              </w:r>
                            </w:p>
                          </w:txbxContent>
                        </wps:txbx>
                        <wps:bodyPr horzOverflow="overflow" vert="horz" lIns="0" tIns="0" rIns="0" bIns="0" rtlCol="0">
                          <a:noAutofit/>
                        </wps:bodyPr>
                      </wps:wsp>
                    </wpg:wgp>
                  </a:graphicData>
                </a:graphic>
              </wp:inline>
            </w:drawing>
          </mc:Choice>
          <mc:Fallback>
            <w:pict>
              <v:group w14:anchorId="7EB89186" id="Group 29359" o:spid="_x0000_s1149" style="width:436.05pt;height:150.65pt;mso-position-horizontal-relative:char;mso-position-vertical-relative:line" coordsize="55377,16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">
                <v:shape id="Shape 521" o:spid="_x0000_s1150" style="position:absolute;left:3263;top:13639;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" path="m,l5211318,e" filled="f" strokecolor="#d9d9d9">
                  <v:path arrowok="t" textboxrect="0,0,5211318,0"/>
                </v:shape>
                <v:shape id="Shape 522" o:spid="_x0000_s1151" style="position:absolute;left:3263;top:11765;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" path="m,l5211318,e" filled="f" strokecolor="#d9d9d9">
                  <v:path arrowok="t" textboxrect="0,0,5211318,0"/>
                </v:shape>
                <v:shape id="Shape 523" o:spid="_x0000_s1152" style="position:absolute;left:3263;top:9906;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" path="m,l5211318,e" filled="f" strokecolor="#d9d9d9">
                  <v:path arrowok="t" textboxrect="0,0,5211318,0"/>
                </v:shape>
                <v:shape id="Shape 524" o:spid="_x0000_s1153" style="position:absolute;left:3263;top:8031;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" path="m,l5211318,e" filled="f" strokecolor="#d9d9d9">
                  <v:path arrowok="t" textboxrect="0,0,5211318,0"/>
                </v:shape>
                <v:shape id="Shape 525" o:spid="_x0000_s1154" style="position:absolute;left:3263;top:6156;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" path="m,l5211318,e" filled="f" strokecolor="#d9d9d9">
                  <v:path arrowok="t" textboxrect="0,0,5211318,0"/>
                </v:shape>
                <v:shape id="Shape 526" o:spid="_x0000_s1155" style="position:absolute;left:3263;top:4297;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" path="m,l5211318,e" filled="f" strokecolor="#d9d9d9">
                  <v:path arrowok="t" textboxrect="0,0,5211318,0"/>
                </v:shape>
                <v:shape id="Shape 527" o:spid="_x0000_s1156" style="position:absolute;left:3263;top:2423;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" path="m,l5211318,e" filled="f" strokecolor="#d9d9d9">
                  <v:path arrowok="t" textboxrect="0,0,5211318,0"/>
                </v:shape>
                <v:shape id="Shape 528" o:spid="_x0000_s1157" style="position:absolute;left:3263;top:548;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" path="m,l5211318,e" filled="f" strokecolor="#d9d9d9">
                  <v:path arrowok="t" textboxrect="0,0,5211318,0"/>
                </v:shape>
                <v:shape id="Shape 33450" o:spid="_x0000_s1158" style="position:absolute;left:4312;top:9144;width:961;height:6361;visibility:visible;mso-wrap-style:square;v-text-anchor:top" coordsize="96012,636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" path="m,l96012,r,636143l,636143,,e" fillcolor="#4f81bd" stroked="f" strokeweight="0">
                  <v:path arrowok="t" textboxrect="0,0,96012,636143"/>
                </v:shape>
                <v:shape id="Shape 33451" o:spid="_x0000_s1159" style="position:absolute;left:7376;top:7650;width:960;height:7855;visibility:visible;mso-wrap-style:square;v-text-anchor:top" coordsize="96012,78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" path="m,l96012,r,785495l,785495,,e" fillcolor="#4f81bd" stroked="f" strokeweight="0">
                  <v:path arrowok="t" textboxrect="0,0,96012,785495"/>
                </v:shape>
                <v:shape id="Shape 33452" o:spid="_x0000_s1160" style="position:absolute;left:10454;top:6355;width:960;height:9150;visibility:visible;mso-wrap-style:square;v-text-anchor:top" coordsize="96012,91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" path="m,l96012,r,915035l,915035,,e" fillcolor="#4f81bd" stroked="f" strokeweight="0">
                  <v:path arrowok="t" textboxrect="0,0,96012,915035"/>
                </v:shape>
                <v:shape id="Shape 33453" o:spid="_x0000_s1161" style="position:absolute;left:13517;top:4846;width:961;height:10659;visibility:visible;mso-wrap-style:square;v-text-anchor:top" coordsize="96012,106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" path="m,l96012,r,1065911l,1065911,,e" fillcolor="#4f81bd" stroked="f" strokeweight="0">
                  <v:path arrowok="t" textboxrect="0,0,96012,1065911"/>
                </v:shape>
                <v:shape id="Shape 33454" o:spid="_x0000_s1162" style="position:absolute;left:16581;top:4663;width:960;height:10842;visibility:visible;mso-wrap-style:square;v-text-anchor:top" coordsize="96012,1084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" path="m,l96012,r,1084199l,1084199,,e" fillcolor="#4f81bd" stroked="f" strokeweight="0">
                  <v:path arrowok="t" textboxrect="0,0,96012,1084199"/>
                </v:shape>
                <v:shape id="Shape 33455" o:spid="_x0000_s1163" style="position:absolute;left:19644;top:4297;width:960;height:11208;visibility:visible;mso-wrap-style:square;v-text-anchor:top" coordsize="96012,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" path="m,l96012,r,1120775l,1120775,,e" fillcolor="#4f81bd" stroked="f" strokeweight="0">
                  <v:path arrowok="t" textboxrect="0,0,96012,1120775"/>
                </v:shape>
                <v:shape id="Shape 33456" o:spid="_x0000_s1164" style="position:absolute;left:22707;top:3916;width:960;height:11589;visibility:visible;mso-wrap-style:square;v-text-anchor:top" coordsize="96012,115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" path="m,l96012,r,1158875l,1158875,,e" fillcolor="#4f81bd" stroked="f" strokeweight="0">
                  <v:path arrowok="t" textboxrect="0,0,96012,1158875"/>
                </v:shape>
                <v:shape id="Shape 33457" o:spid="_x0000_s1165" style="position:absolute;left:25770;top:3733;width:960;height:11772;visibility:visible;mso-wrap-style:square;v-text-anchor:top" coordsize="96012,117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" path="m,l96012,r,1177163l,1177163,,e" fillcolor="#4f81bd" stroked="f" strokeweight="0">
                  <v:path arrowok="t" textboxrect="0,0,96012,1177163"/>
                </v:shape>
                <v:shape id="Shape 33458" o:spid="_x0000_s1166" style="position:absolute;left:28834;top:3352;width:960;height:12153;visibility:visible;mso-wrap-style:square;v-text-anchor:top" coordsize="96012,1215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" path="m,l96012,r,1215263l,1215263,,e" fillcolor="#4f81bd" stroked="f" strokeweight="0">
                  <v:path arrowok="t" textboxrect="0,0,96012,1215263"/>
                </v:shape>
                <v:shape id="Shape 33459" o:spid="_x0000_s1167" style="position:absolute;left:31912;top:3169;width:960;height:12336;visibility:visible;mso-wrap-style:square;v-text-anchor:top" coordsize="96012,123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" path="m,l96012,r,1233551l,1233551,,e" fillcolor="#4f81bd" stroked="f" strokeweight="0">
                  <v:path arrowok="t" textboxrect="0,0,96012,1233551"/>
                </v:shape>
                <v:shape id="Shape 33460" o:spid="_x0000_s1168" style="position:absolute;left:34975;top:2804;width:960;height:12701;visibility:visible;mso-wrap-style:square;v-text-anchor:top" coordsize="96012,127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" path="m,l96012,r,1270127l,1270127,,e" fillcolor="#4f81bd" stroked="f" strokeweight="0">
                  <v:path arrowok="t" textboxrect="0,0,96012,1270127"/>
                </v:shape>
                <v:shape id="Shape 33461" o:spid="_x0000_s1169" style="position:absolute;left:38039;top:2606;width:960;height:12899;visibility:visible;mso-wrap-style:square;v-text-anchor:top" coordsize="96012,128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" path="m,l96012,r,1289939l,1289939,,e" fillcolor="#4f81bd" stroked="f" strokeweight="0">
                  <v:path arrowok="t" textboxrect="0,0,96012,1289939"/>
                </v:shape>
                <v:shape id="Shape 33462" o:spid="_x0000_s1170" style="position:absolute;left:41102;top:2423;width:960;height:13082;visibility:visible;mso-wrap-style:square;v-text-anchor:top" coordsize="96012,130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" path="m,l96012,r,1308227l,1308227,,e" fillcolor="#4f81bd" stroked="f" strokeweight="0">
                  <v:path arrowok="t" textboxrect="0,0,96012,1308227"/>
                </v:shape>
                <v:shape id="Shape 33463" o:spid="_x0000_s1171" style="position:absolute;left:44165;top:2240;width:960;height:13265;visibility:visible;mso-wrap-style:square;v-text-anchor:top" coordsize="96012,132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" path="m,l96012,r,1326515l,1326515,,e" fillcolor="#4f81bd" stroked="f" strokeweight="0">
                  <v:path arrowok="t" textboxrect="0,0,96012,1326515"/>
                </v:shape>
                <v:shape id="Shape 33464" o:spid="_x0000_s1172" style="position:absolute;left:50292;top:182;width:960;height:15323;visibility:visible;mso-wrap-style:square;v-text-anchor:top" coordsize="96012,153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" path="m,l96012,r,1532255l,1532255,,e" fillcolor="#4f81bd" stroked="f" strokeweight="0">
                  <v:path arrowok="t" textboxrect="0,0,96012,1532255"/>
                </v:shape>
                <v:shape id="Shape 33465" o:spid="_x0000_s1173" style="position:absolute;left:47228;top:182;width:960;height:15323;visibility:visible;mso-wrap-style:square;v-text-anchor:top" coordsize="96012,153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" path="m,l96012,r,1532255l,1532255,,e" fillcolor="#4f81bd" stroked="f" strokeweight="0">
                  <v:path arrowok="t" textboxrect="0,0,96012,1532255"/>
                </v:shape>
                <v:shape id="Shape 33466" o:spid="_x0000_s1174" style="position:absolute;left:53370;width:960;height:15505;visibility:visible;mso-wrap-style:square;v-text-anchor:top" coordsize="96012,1550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" path="m,l96012,r,1550543l,1550543,,e" fillcolor="#4f81bd" stroked="f" strokeweight="0">
                  <v:path arrowok="t" textboxrect="0,0,96012,1550543"/>
                </v:shape>
                <v:shape id="Shape 547" o:spid="_x0000_s1175" style="position:absolute;left:3263;top:15505;width:52114;height:0;visibility:visible;mso-wrap-style:square;v-text-anchor:top" coordsize="5211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" path="m,l5211318,e" filled="f" strokecolor="#d9d9d9">
                  <v:path arrowok="t" textboxrect="0,0,5211318,0"/>
                </v:shape>
                <v:shape id="Shape 33467" o:spid="_x0000_s1176" style="position:absolute;left:3406;top:7308;width:2780;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" path="m,l278066,r,146177l,146177,,e" stroked="f" strokeweight="0">
                  <v:path arrowok="t" textboxrect="0,0,278066,146177"/>
                </v:shape>
                <v:shape id="Shape 549" o:spid="_x0000_s1177" style="position:absolute;left:3406;top:7308;width:2780;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" path="m,146177r278066,l278066,,,,,146177xe" filled="f" strokecolor="#e7e6e6" strokeweight="2pt">
                  <v:path arrowok="t" textboxrect="0,0,278066,146177"/>
                </v:shape>
                <v:rect id="Rectangle 550" o:spid="_x0000_s1178" style="position:absolute;left:3794;top:7725;width:2674;height:1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rsidR="00B302CF" w:rsidRPr="00276299" w:rsidRDefault="00B302CF" w:rsidP="00B721B9">
                        <w:pPr>
                          <w:rPr>
                            <w:sz w:val="14"/>
                            <w:szCs w:val="14"/>
                          </w:rPr>
                        </w:pPr>
                        <w:r w:rsidRPr="00276299">
                          <w:rPr>
                            <w:color w:val="404040"/>
                            <w:sz w:val="14"/>
                            <w:szCs w:val="14"/>
                          </w:rPr>
                          <w:t>40.4</w:t>
                        </w:r>
                      </w:p>
                    </w:txbxContent>
                  </v:textbox>
                </v:rect>
                <v:shape id="Shape 33468" o:spid="_x0000_s1179" style="position:absolute;left:6471;top:5814;width:2781;height:1461;visibility:visible;mso-wrap-style:square;v-text-anchor:top" coordsize="278067,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" path="m,l278067,r,146177l,146177,,e" stroked="f" strokeweight="0">
                  <v:path arrowok="t" textboxrect="0,0,278067,146177"/>
                </v:shape>
                <v:shape id="Shape 552" o:spid="_x0000_s1180" style="position:absolute;left:6471;top:5814;width:2781;height:1461;visibility:visible;mso-wrap-style:square;v-text-anchor:top" coordsize="278067,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" path="m,146177r278067,l278067,,,,,146177xe" filled="f" strokecolor="#e7e6e6" strokeweight="2pt">
                  <v:path arrowok="t" textboxrect="0,0,278067,146177"/>
                </v:shape>
                <v:rect id="Rectangle 553" o:spid="_x0000_s1181" style="position:absolute;left:6860;top:6234;width:2675;height: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rsidR="00B302CF" w:rsidRPr="00276299" w:rsidRDefault="00B302CF" w:rsidP="00B721B9">
                        <w:pPr>
                          <w:rPr>
                            <w:sz w:val="14"/>
                            <w:szCs w:val="14"/>
                          </w:rPr>
                        </w:pPr>
                        <w:r w:rsidRPr="00276299">
                          <w:rPr>
                            <w:color w:val="404040"/>
                            <w:sz w:val="14"/>
                            <w:szCs w:val="14"/>
                          </w:rPr>
                          <w:t>41.2</w:t>
                        </w:r>
                      </w:p>
                    </w:txbxContent>
                  </v:textbox>
                </v:rect>
                <v:rect id="Rectangle 556" o:spid="_x0000_s1182" style="position:absolute;left:9531;top:4283;width:5318;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rsidR="00B302CF" w:rsidRDefault="00B302CF" w:rsidP="00B721B9">
                        <w:r>
                          <w:rPr>
                            <w:color w:val="404040"/>
                            <w:sz w:val="14"/>
                            <w:bdr w:val="single" w:sz="32" w:space="0" w:color="E7E6E6"/>
                          </w:rPr>
                          <w:t>41.9</w:t>
                        </w:r>
                      </w:p>
                    </w:txbxContent>
                  </v:textbox>
                </v:rect>
                <v:shape id="Shape 33469" o:spid="_x0000_s1183" style="position:absolute;left:12602;top:3009;width:2780;height:1462;visibility:visible;mso-wrap-style:square;v-text-anchor:top" coordsize="278067,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" path="m,l278067,r,146177l,146177,,e" stroked="f" strokeweight="0">
                  <v:path arrowok="t" textboxrect="0,0,278067,146177"/>
                </v:shape>
                <v:shape id="Shape 558" o:spid="_x0000_s1184" style="position:absolute;left:12602;top:3009;width:2780;height:1462;visibility:visible;mso-wrap-style:square;v-text-anchor:top" coordsize="278067,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" path="m,146177r278067,l278067,,,,,146177xe" filled="f" strokecolor="#e7e6e6" strokeweight="2pt">
                  <v:path arrowok="t" textboxrect="0,0,278067,146177"/>
                </v:shape>
                <v:rect id="Rectangle 559" o:spid="_x0000_s1185" style="position:absolute;left:12993;top:3430;width:2674;height: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rsidR="00B302CF" w:rsidRDefault="00B302CF" w:rsidP="00B721B9">
                        <w:r>
                          <w:rPr>
                            <w:color w:val="404040"/>
                            <w:sz w:val="14"/>
                          </w:rPr>
                          <w:t>42.7</w:t>
                        </w:r>
                      </w:p>
                    </w:txbxContent>
                  </v:textbox>
                </v:rect>
                <v:shape id="Shape 561" o:spid="_x0000_s1186" style="position:absolute;left:15667;top:2823;width:2781;height:1461;visibility:visible;mso-wrap-style:square;v-text-anchor:top" coordsize="278067,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" path="m,146177r278067,l278067,,,,,146177xe" filled="f" strokecolor="#e7e6e6" strokeweight="2pt">
                  <v:path arrowok="t" textboxrect="0,0,278067,146177"/>
                </v:shape>
                <v:rect id="Rectangle 562" o:spid="_x0000_s1187" style="position:absolute;left:16060;top:3243;width:267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rsidR="00B302CF" w:rsidRDefault="00B302CF" w:rsidP="00B721B9">
                        <w:r>
                          <w:rPr>
                            <w:color w:val="404040"/>
                            <w:sz w:val="14"/>
                          </w:rPr>
                          <w:t>42.8</w:t>
                        </w:r>
                      </w:p>
                    </w:txbxContent>
                  </v:textbox>
                </v:rect>
                <v:shape id="Shape 564" o:spid="_x0000_s1188" style="position:absolute;left:18733;top:2449;width:2781;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" path="m,146177r278066,l278066,,,,,146177xe" filled="f" strokecolor="#e7e6e6" strokeweight="2pt">
                  <v:path arrowok="t" textboxrect="0,0,278066,146177"/>
                </v:shape>
                <v:rect id="Rectangle 565" o:spid="_x0000_s1189" style="position:absolute;left:19126;top:2868;width:267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rsidR="00B302CF" w:rsidRDefault="00B302CF" w:rsidP="00B721B9">
                        <w:r>
                          <w:rPr>
                            <w:color w:val="404040"/>
                            <w:sz w:val="14"/>
                          </w:rPr>
                          <w:t>43.0</w:t>
                        </w:r>
                      </w:p>
                    </w:txbxContent>
                  </v:textbox>
                </v:rect>
                <v:shape id="Shape 33470" o:spid="_x0000_s1190" style="position:absolute;left:21799;top:2076;width:2781;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" path="m,l278066,r,146177l,146177,,e" stroked="f" strokeweight="0">
                  <v:path arrowok="t" textboxrect="0,0,278066,146177"/>
                </v:shape>
                <v:shape id="Shape 567" o:spid="_x0000_s1191" style="position:absolute;left:21799;top:2076;width:2781;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" path="m,146177r278066,l278066,,,,,146177xe" filled="f" strokecolor="#e7e6e6" strokeweight="2pt">
                  <v:path arrowok="t" textboxrect="0,0,278066,146177"/>
                </v:shape>
                <v:rect id="Rectangle 568" o:spid="_x0000_s1192" style="position:absolute;left:22189;top:2494;width:2674;height: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rsidR="00B302CF" w:rsidRDefault="00B302CF" w:rsidP="00B721B9">
                        <w:r>
                          <w:rPr>
                            <w:color w:val="404040"/>
                            <w:sz w:val="14"/>
                          </w:rPr>
                          <w:t>43.2</w:t>
                        </w:r>
                      </w:p>
                    </w:txbxContent>
                  </v:textbox>
                </v:rect>
                <v:shape id="Shape 33471" o:spid="_x0000_s1193" style="position:absolute;left:24864;top:1889;width:2780;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" path="m,l278066,r,146177l,146177,,e" stroked="f" strokeweight="0">
                  <v:path arrowok="t" textboxrect="0,0,278066,146177"/>
                </v:shape>
                <v:shape id="Shape 570" o:spid="_x0000_s1194" style="position:absolute;left:24864;top:1889;width:2780;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" path="m,146177r278066,l278066,,,,,146177xe" filled="f" strokecolor="#e7e6e6" strokeweight="2pt">
                  <v:path arrowok="t" textboxrect="0,0,278066,146177"/>
                </v:shape>
                <v:rect id="Rectangle 571" o:spid="_x0000_s1195" style="position:absolute;left:25255;top:2308;width:267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rsidR="00B302CF" w:rsidRDefault="00B302CF" w:rsidP="00B721B9">
                        <w:r>
                          <w:rPr>
                            <w:color w:val="404040"/>
                            <w:sz w:val="14"/>
                          </w:rPr>
                          <w:t>43.3</w:t>
                        </w:r>
                      </w:p>
                    </w:txbxContent>
                  </v:textbox>
                </v:rect>
                <v:shape id="Shape 33472" o:spid="_x0000_s1196" style="position:absolute;left:27929;top:1515;width:2781;height:1461;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" path="m,l278066,r,146177l,146177,,e" stroked="f" strokeweight="0">
                  <v:path arrowok="t" textboxrect="0,0,278066,146177"/>
                </v:shape>
                <v:shape id="Shape 573" o:spid="_x0000_s1197" style="position:absolute;left:27929;top:1515;width:2781;height:1461;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" path="m,146177r278066,l278066,,,,,146177xe" filled="f" strokecolor="#e7e6e6" strokeweight="2pt">
                  <v:path arrowok="t" textboxrect="0,0,278066,146177"/>
                </v:shape>
                <v:rect id="Rectangle 574" o:spid="_x0000_s1198" style="position:absolute;left:28322;top:1932;width:267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rsidR="00B302CF" w:rsidRDefault="00B302CF" w:rsidP="00B721B9">
                        <w:r>
                          <w:rPr>
                            <w:color w:val="404040"/>
                            <w:sz w:val="14"/>
                          </w:rPr>
                          <w:t>43.5</w:t>
                        </w:r>
                      </w:p>
                    </w:txbxContent>
                  </v:textbox>
                </v:rect>
                <v:shape id="Shape 33473" o:spid="_x0000_s1199" style="position:absolute;left:30995;top:1328;width:2781;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" path="m,l278066,r,146177l,146177,,e" stroked="f" strokeweight="0">
                  <v:path arrowok="t" textboxrect="0,0,278066,146177"/>
                </v:shape>
                <v:shape id="Shape 576" o:spid="_x0000_s1200" style="position:absolute;left:30995;top:1328;width:2781;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" path="m,146177r278066,l278066,,,,,146177xe" filled="f" strokecolor="#e7e6e6" strokeweight="2pt">
                  <v:path arrowok="t" textboxrect="0,0,278066,146177"/>
                </v:shape>
                <v:rect id="Rectangle 577" o:spid="_x0000_s1201" style="position:absolute;left:31388;top:1747;width:267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rsidR="00B302CF" w:rsidRDefault="00B302CF" w:rsidP="00B721B9">
                        <w:r>
                          <w:rPr>
                            <w:color w:val="404040"/>
                            <w:sz w:val="14"/>
                          </w:rPr>
                          <w:t>43.6</w:t>
                        </w:r>
                      </w:p>
                    </w:txbxContent>
                  </v:textbox>
                </v:rect>
                <v:shape id="Shape 579" o:spid="_x0000_s1202" style="position:absolute;left:34061;top:955;width:2781;height:1461;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" path="m,146177r278066,l278066,,,,,146177xe" filled="f" strokecolor="#e7e6e6" strokeweight="2pt">
                  <v:path arrowok="t" textboxrect="0,0,278066,146177"/>
                </v:shape>
                <v:rect id="Rectangle 580" o:spid="_x0000_s1203" style="position:absolute;left:34455;top:1372;width:2674;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rsidR="00B302CF" w:rsidRPr="00276299" w:rsidRDefault="00B302CF" w:rsidP="00B721B9">
                        <w:pPr>
                          <w:rPr>
                            <w:sz w:val="14"/>
                            <w:szCs w:val="14"/>
                          </w:rPr>
                        </w:pPr>
                        <w:r w:rsidRPr="00276299">
                          <w:rPr>
                            <w:color w:val="404040"/>
                            <w:sz w:val="14"/>
                            <w:szCs w:val="14"/>
                          </w:rPr>
                          <w:t>43.8</w:t>
                        </w:r>
                      </w:p>
                    </w:txbxContent>
                  </v:textbox>
                </v:rect>
                <v:rect id="Rectangle 583" o:spid="_x0000_s1204" style="position:absolute;left:37514;top:393;width:3068;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rsidR="00B302CF" w:rsidRPr="00276299" w:rsidRDefault="00B302CF" w:rsidP="00B721B9">
                        <w:pPr>
                          <w:rPr>
                            <w:sz w:val="14"/>
                            <w:szCs w:val="14"/>
                          </w:rPr>
                        </w:pPr>
                        <w:r w:rsidRPr="00276299">
                          <w:rPr>
                            <w:color w:val="404040"/>
                            <w:sz w:val="14"/>
                            <w:szCs w:val="14"/>
                            <w:bdr w:val="single" w:sz="32" w:space="0" w:color="E7E6E6"/>
                          </w:rPr>
                          <w:t>43.9</w:t>
                        </w:r>
                      </w:p>
                    </w:txbxContent>
                  </v:textbox>
                </v:rect>
                <v:shape id="Shape 585" o:spid="_x0000_s1205" style="position:absolute;left:40191;top:581;width:2781;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" path="m,146177r278066,l278066,,,,,146177xe" filled="f" strokecolor="#e7e6e6" strokeweight="2pt">
                  <v:path arrowok="t" textboxrect="0,0,278066,146177"/>
                </v:shape>
                <v:rect id="Rectangle 586" o:spid="_x0000_s1206" style="position:absolute;left:40586;top:1000;width:2675;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rsidR="00B302CF" w:rsidRPr="00276299" w:rsidRDefault="00B302CF" w:rsidP="00B721B9">
                        <w:pPr>
                          <w:rPr>
                            <w:sz w:val="14"/>
                            <w:szCs w:val="14"/>
                          </w:rPr>
                        </w:pPr>
                        <w:r w:rsidRPr="00276299">
                          <w:rPr>
                            <w:color w:val="404040"/>
                            <w:sz w:val="14"/>
                            <w:szCs w:val="14"/>
                          </w:rPr>
                          <w:t>44.0</w:t>
                        </w:r>
                      </w:p>
                    </w:txbxContent>
                  </v:textbox>
                </v:rect>
                <v:shape id="Shape 33474" o:spid="_x0000_s1207" style="position:absolute;left:43257;top:393;width:2781;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" path="m,l278066,r,146177l,146177,,e" stroked="f" strokeweight="0">
                  <v:path arrowok="t" textboxrect="0,0,278066,146177"/>
                </v:shape>
                <v:shape id="Shape 588" o:spid="_x0000_s1208" style="position:absolute;left:43257;top:393;width:2781;height:1462;visibility:visible;mso-wrap-style:square;v-text-anchor:top" coordsize="278066,14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" path="m,146177r278066,l278066,,,,,146177xe" filled="f" strokecolor="#e7e6e6" strokeweight="2pt">
                  <v:path arrowok="t" textboxrect="0,0,278066,146177"/>
                </v:shape>
                <v:rect id="Rectangle 589" o:spid="_x0000_s1209" style="position:absolute;left:43653;top:811;width:2675;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rsidR="00B302CF" w:rsidRPr="00276299" w:rsidRDefault="00B302CF" w:rsidP="00B721B9">
                        <w:pPr>
                          <w:rPr>
                            <w:sz w:val="14"/>
                            <w:szCs w:val="14"/>
                          </w:rPr>
                        </w:pPr>
                        <w:r w:rsidRPr="00276299">
                          <w:rPr>
                            <w:color w:val="404040"/>
                            <w:sz w:val="14"/>
                            <w:szCs w:val="14"/>
                          </w:rPr>
                          <w:t>44.1</w:t>
                        </w:r>
                      </w:p>
                    </w:txbxContent>
                  </v:textbox>
                </v:rect>
                <v:rect id="Rectangle 599" o:spid="_x0000_s1210" style="position:absolute;top:15081;width:30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rsidR="00B302CF" w:rsidRDefault="00B302CF" w:rsidP="00B721B9">
                        <w:r w:rsidRPr="00F17C4E">
                          <w:rPr>
                            <w:rFonts w:ascii="Times New Roman" w:hAnsi="Times New Roman" w:cs="Times New Roman"/>
                            <w:color w:val="595959"/>
                            <w:sz w:val="16"/>
                          </w:rPr>
                          <w:t>37</w:t>
                        </w:r>
                        <w:r>
                          <w:rPr>
                            <w:color w:val="595959"/>
                            <w:sz w:val="16"/>
                          </w:rPr>
                          <w:t>.0</w:t>
                        </w:r>
                      </w:p>
                    </w:txbxContent>
                  </v:textbox>
                </v:rect>
                <v:rect id="Rectangle 600" o:spid="_x0000_s1211" style="position:absolute;top:13212;width:30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rsidR="00B302CF" w:rsidRDefault="00B302CF" w:rsidP="00B721B9">
                        <w:r>
                          <w:rPr>
                            <w:color w:val="595959"/>
                            <w:sz w:val="16"/>
                          </w:rPr>
                          <w:t>38.0</w:t>
                        </w:r>
                      </w:p>
                    </w:txbxContent>
                  </v:textbox>
                </v:rect>
                <v:rect id="Rectangle 601" o:spid="_x0000_s1212" style="position:absolute;top:11341;width:30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rsidR="00B302CF" w:rsidRDefault="00B302CF" w:rsidP="00B721B9">
                        <w:r>
                          <w:rPr>
                            <w:color w:val="595959"/>
                            <w:sz w:val="16"/>
                          </w:rPr>
                          <w:t>39.0</w:t>
                        </w:r>
                      </w:p>
                    </w:txbxContent>
                  </v:textbox>
                </v:rect>
                <v:rect id="Rectangle 602" o:spid="_x0000_s1213" style="position:absolute;top:9473;width:30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rsidR="00B302CF" w:rsidRDefault="00B302CF" w:rsidP="00B721B9">
                        <w:r>
                          <w:rPr>
                            <w:color w:val="595959"/>
                            <w:sz w:val="16"/>
                          </w:rPr>
                          <w:t>40.0</w:t>
                        </w:r>
                      </w:p>
                    </w:txbxContent>
                  </v:textbox>
                </v:rect>
                <v:rect id="Rectangle 603" o:spid="_x0000_s1214" style="position:absolute;top:7603;width:30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rsidR="00B302CF" w:rsidRDefault="00B302CF" w:rsidP="00B721B9">
                        <w:r>
                          <w:rPr>
                            <w:color w:val="595959"/>
                            <w:sz w:val="16"/>
                          </w:rPr>
                          <w:t>41.0</w:t>
                        </w:r>
                      </w:p>
                    </w:txbxContent>
                  </v:textbox>
                </v:rect>
                <v:rect id="Rectangle 604" o:spid="_x0000_s1215" style="position:absolute;top:5735;width:30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rsidR="00B302CF" w:rsidRDefault="00B302CF" w:rsidP="00B721B9">
                        <w:r>
                          <w:rPr>
                            <w:color w:val="595959"/>
                            <w:sz w:val="16"/>
                          </w:rPr>
                          <w:t>42.0</w:t>
                        </w:r>
                      </w:p>
                    </w:txbxContent>
                  </v:textbox>
                </v:rect>
                <v:rect id="Rectangle 605" o:spid="_x0000_s1216" style="position:absolute;top:3862;width:3074;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rsidR="00B302CF" w:rsidRDefault="00B302CF" w:rsidP="00B721B9">
                        <w:r>
                          <w:rPr>
                            <w:color w:val="595959"/>
                            <w:sz w:val="16"/>
                          </w:rPr>
                          <w:t>43.0</w:t>
                        </w:r>
                      </w:p>
                    </w:txbxContent>
                  </v:textbox>
                </v:rect>
                <v:rect id="Rectangle 606" o:spid="_x0000_s1217" style="position:absolute;top:1995;width:307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rsidR="00B302CF" w:rsidRDefault="00B302CF" w:rsidP="00B721B9">
                        <w:r>
                          <w:rPr>
                            <w:color w:val="595959"/>
                            <w:sz w:val="16"/>
                          </w:rPr>
                          <w:t>44.0</w:t>
                        </w:r>
                      </w:p>
                    </w:txbxContent>
                  </v:textbox>
                </v:rect>
                <v:rect id="Rectangle 607" o:spid="_x0000_s1218" style="position:absolute;top:127;width:307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" filled="f" stroked="f">
                  <v:textbox inset="0,0,0,0">
                    <w:txbxContent>
                      <w:p w:rsidR="00B302CF" w:rsidRDefault="00B302CF" w:rsidP="00B721B9">
                        <w:r>
                          <w:rPr>
                            <w:color w:val="595959"/>
                            <w:sz w:val="16"/>
                          </w:rPr>
                          <w:t>45.0</w:t>
                        </w:r>
                      </w:p>
                    </w:txbxContent>
                  </v:textbox>
                </v:rect>
                <w10:anchorlock/>
              </v:group>
            </w:pict>
          </mc:Fallback>
        </mc:AlternateContent>
      </w:r>
    </w:p>
    <w:p w14:paraId="5E788C7D" w14:textId="77777777" w:rsidR="00B721B9" w:rsidRPr="00F17C4E" w:rsidRDefault="00B721B9" w:rsidP="00276299">
      <w:pPr>
        <w:spacing w:after="0"/>
        <w:ind w:left="692" w:hanging="10"/>
        <w:rPr>
          <w:rFonts w:ascii="Times New Roman" w:eastAsia="Verdana" w:hAnsi="Times New Roman" w:cs="Times New Roman"/>
          <w:color w:val="000000"/>
          <w:sz w:val="18"/>
          <w:szCs w:val="18"/>
          <w:lang w:eastAsia="bg-BG"/>
        </w:rPr>
      </w:pPr>
      <w:r w:rsidRPr="00F17C4E">
        <w:rPr>
          <w:rFonts w:ascii="Times New Roman" w:eastAsia="Verdana" w:hAnsi="Times New Roman" w:cs="Times New Roman"/>
          <w:color w:val="595959"/>
          <w:sz w:val="18"/>
          <w:szCs w:val="18"/>
          <w:lang w:eastAsia="bg-BG"/>
        </w:rPr>
        <w:t xml:space="preserve">2001   2005   2010  2011  2012  2013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 xml:space="preserve">2014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 xml:space="preserve">2015  2016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2017</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 xml:space="preserve">2018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 xml:space="preserve">2019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 xml:space="preserve">2020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 xml:space="preserve">2021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 xml:space="preserve">2022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 xml:space="preserve">2023  </w:t>
      </w:r>
      <w:r w:rsidR="00276299" w:rsidRPr="00F17C4E">
        <w:rPr>
          <w:rFonts w:ascii="Times New Roman" w:eastAsia="Verdana" w:hAnsi="Times New Roman" w:cs="Times New Roman"/>
          <w:color w:val="595959"/>
          <w:sz w:val="18"/>
          <w:szCs w:val="18"/>
          <w:lang w:eastAsia="bg-BG"/>
        </w:rPr>
        <w:t xml:space="preserve"> </w:t>
      </w:r>
      <w:r w:rsidRPr="00F17C4E">
        <w:rPr>
          <w:rFonts w:ascii="Times New Roman" w:eastAsia="Verdana" w:hAnsi="Times New Roman" w:cs="Times New Roman"/>
          <w:color w:val="595959"/>
          <w:sz w:val="18"/>
          <w:szCs w:val="18"/>
          <w:lang w:eastAsia="bg-BG"/>
        </w:rPr>
        <w:t>2024</w:t>
      </w:r>
    </w:p>
    <w:p w14:paraId="51B27957" w14:textId="77777777" w:rsidR="00276299" w:rsidRPr="00276299" w:rsidRDefault="00276299" w:rsidP="00276299">
      <w:pPr>
        <w:spacing w:after="0"/>
        <w:ind w:left="692" w:hanging="10"/>
        <w:rPr>
          <w:rFonts w:ascii="Verdana" w:eastAsia="Verdana" w:hAnsi="Verdana" w:cs="Verdana"/>
          <w:color w:val="000000"/>
          <w:sz w:val="14"/>
          <w:szCs w:val="14"/>
          <w:lang w:eastAsia="bg-BG"/>
        </w:rPr>
      </w:pPr>
    </w:p>
    <w:p w14:paraId="46E5E7F4" w14:textId="77777777" w:rsidR="00276299" w:rsidRPr="00720B00" w:rsidRDefault="00276299" w:rsidP="00276299">
      <w:pPr>
        <w:spacing w:after="0" w:line="240" w:lineRule="auto"/>
        <w:jc w:val="right"/>
        <w:rPr>
          <w:rFonts w:ascii="Times New Roman" w:eastAsia="Calibri" w:hAnsi="Times New Roman" w:cs="Times New Roman"/>
          <w:i/>
          <w:sz w:val="20"/>
          <w:szCs w:val="20"/>
        </w:rPr>
      </w:pPr>
      <w:r w:rsidRPr="00720B00">
        <w:rPr>
          <w:rFonts w:ascii="Times New Roman" w:eastAsia="Calibri" w:hAnsi="Times New Roman" w:cs="Times New Roman"/>
          <w:i/>
          <w:sz w:val="20"/>
          <w:szCs w:val="20"/>
        </w:rPr>
        <w:t>Източник: НСИ</w:t>
      </w:r>
    </w:p>
    <w:p w14:paraId="7D006450" w14:textId="77777777" w:rsidR="00276299" w:rsidRPr="00B721B9" w:rsidRDefault="00276299" w:rsidP="00276299">
      <w:pPr>
        <w:spacing w:after="0" w:line="240" w:lineRule="auto"/>
        <w:jc w:val="right"/>
        <w:rPr>
          <w:rFonts w:ascii="Times New Roman" w:eastAsia="Calibri" w:hAnsi="Times New Roman" w:cs="Times New Roman"/>
          <w:sz w:val="20"/>
          <w:szCs w:val="20"/>
        </w:rPr>
      </w:pPr>
    </w:p>
    <w:p w14:paraId="131547C1" w14:textId="77777777" w:rsidR="00F17C4E" w:rsidRDefault="00276299" w:rsidP="00276299">
      <w:pPr>
        <w:spacing w:after="0" w:line="240" w:lineRule="auto"/>
        <w:ind w:left="-17" w:firstLine="17"/>
        <w:jc w:val="both"/>
        <w:rPr>
          <w:rFonts w:ascii="Times New Roman" w:eastAsia="Verdana" w:hAnsi="Times New Roman" w:cs="Times New Roman"/>
          <w:color w:val="000000"/>
          <w:sz w:val="24"/>
          <w:szCs w:val="24"/>
          <w:lang w:eastAsia="bg-BG"/>
        </w:rPr>
      </w:pPr>
      <w:r>
        <w:rPr>
          <w:rFonts w:ascii="Times New Roman" w:eastAsia="Verdana" w:hAnsi="Times New Roman" w:cs="Times New Roman"/>
          <w:color w:val="000000"/>
          <w:sz w:val="24"/>
          <w:szCs w:val="24"/>
          <w:lang w:eastAsia="bg-BG"/>
        </w:rPr>
        <w:tab/>
      </w:r>
    </w:p>
    <w:p w14:paraId="326E5FCD" w14:textId="77777777" w:rsidR="00276299" w:rsidRPr="00276299" w:rsidRDefault="00B721B9" w:rsidP="00F17C4E">
      <w:pPr>
        <w:spacing w:after="0" w:line="240" w:lineRule="auto"/>
        <w:ind w:left="-17" w:firstLine="726"/>
        <w:jc w:val="both"/>
        <w:rPr>
          <w:rFonts w:ascii="Times New Roman" w:eastAsia="Verdana" w:hAnsi="Times New Roman" w:cs="Times New Roman"/>
          <w:color w:val="000000"/>
          <w:sz w:val="24"/>
          <w:szCs w:val="24"/>
          <w:lang w:eastAsia="bg-BG"/>
        </w:rPr>
      </w:pPr>
      <w:r w:rsidRPr="00B721B9">
        <w:rPr>
          <w:rFonts w:ascii="Times New Roman" w:eastAsia="Verdana" w:hAnsi="Times New Roman" w:cs="Times New Roman"/>
          <w:color w:val="000000"/>
          <w:sz w:val="24"/>
          <w:szCs w:val="24"/>
          <w:lang w:eastAsia="bg-BG"/>
        </w:rPr>
        <w:t xml:space="preserve">През годините се променят броят и относителният дял на населението </w:t>
      </w:r>
      <w:r w:rsidRPr="00B721B9">
        <w:rPr>
          <w:rFonts w:ascii="Times New Roman" w:eastAsia="Verdana" w:hAnsi="Times New Roman" w:cs="Times New Roman"/>
          <w:b/>
          <w:color w:val="000000"/>
          <w:sz w:val="24"/>
          <w:szCs w:val="24"/>
          <w:lang w:eastAsia="bg-BG"/>
        </w:rPr>
        <w:t>под, във и над трудоспособна възраст.</w:t>
      </w:r>
      <w:r w:rsidRPr="00B721B9">
        <w:rPr>
          <w:rFonts w:ascii="Times New Roman" w:eastAsia="Verdana" w:hAnsi="Times New Roman" w:cs="Times New Roman"/>
          <w:color w:val="000000"/>
          <w:sz w:val="24"/>
          <w:szCs w:val="24"/>
          <w:lang w:eastAsia="bg-BG"/>
        </w:rPr>
        <w:t xml:space="preserve"> Влияние върху съвкупностите на населението във и над трудоспособна възраст оказват както застаряването на населението, така и законодателните промени</w:t>
      </w:r>
      <w:r w:rsidRPr="00B721B9">
        <w:rPr>
          <w:rFonts w:ascii="Times New Roman" w:eastAsia="Verdana" w:hAnsi="Times New Roman" w:cs="Times New Roman"/>
          <w:color w:val="000000"/>
          <w:sz w:val="24"/>
          <w:szCs w:val="24"/>
          <w:vertAlign w:val="superscript"/>
          <w:lang w:eastAsia="bg-BG"/>
        </w:rPr>
        <w:footnoteReference w:id="2"/>
      </w:r>
      <w:r w:rsidRPr="00B721B9">
        <w:rPr>
          <w:rFonts w:ascii="Times New Roman" w:eastAsia="Verdana" w:hAnsi="Times New Roman" w:cs="Times New Roman"/>
          <w:color w:val="000000"/>
          <w:sz w:val="24"/>
          <w:szCs w:val="24"/>
          <w:lang w:eastAsia="bg-BG"/>
        </w:rPr>
        <w:t xml:space="preserve"> при определянето на възрастовите граници за пенсиониране. </w:t>
      </w:r>
      <w:r w:rsidR="00276299" w:rsidRPr="00276299">
        <w:rPr>
          <w:rFonts w:ascii="Times New Roman" w:eastAsia="Verdana" w:hAnsi="Times New Roman" w:cs="Times New Roman"/>
          <w:color w:val="000000"/>
          <w:sz w:val="24"/>
          <w:szCs w:val="24"/>
          <w:lang w:eastAsia="bg-BG"/>
        </w:rPr>
        <w:t xml:space="preserve">За 2024 г. тези граници за населението в трудоспособна възраст са до навършването на </w:t>
      </w:r>
      <w:r w:rsidR="00276299" w:rsidRPr="00720B00">
        <w:rPr>
          <w:rFonts w:ascii="Times New Roman" w:eastAsia="Verdana" w:hAnsi="Times New Roman" w:cs="Times New Roman"/>
          <w:b/>
          <w:color w:val="000000"/>
          <w:sz w:val="24"/>
          <w:szCs w:val="24"/>
          <w:lang w:eastAsia="bg-BG"/>
        </w:rPr>
        <w:t>62 години и 2 месеца за жените</w:t>
      </w:r>
      <w:r w:rsidR="00276299" w:rsidRPr="00276299">
        <w:rPr>
          <w:rFonts w:ascii="Times New Roman" w:eastAsia="Verdana" w:hAnsi="Times New Roman" w:cs="Times New Roman"/>
          <w:color w:val="000000"/>
          <w:sz w:val="24"/>
          <w:szCs w:val="24"/>
          <w:lang w:eastAsia="bg-BG"/>
        </w:rPr>
        <w:t xml:space="preserve"> и </w:t>
      </w:r>
      <w:r w:rsidR="00276299" w:rsidRPr="00720B00">
        <w:rPr>
          <w:rFonts w:ascii="Times New Roman" w:eastAsia="Verdana" w:hAnsi="Times New Roman" w:cs="Times New Roman"/>
          <w:b/>
          <w:color w:val="000000"/>
          <w:sz w:val="24"/>
          <w:szCs w:val="24"/>
          <w:lang w:eastAsia="bg-BG"/>
        </w:rPr>
        <w:t>64 години и 7 месеца за мъжете</w:t>
      </w:r>
      <w:r w:rsidR="00276299">
        <w:rPr>
          <w:rFonts w:ascii="Times New Roman" w:eastAsia="Verdana" w:hAnsi="Times New Roman" w:cs="Times New Roman"/>
          <w:color w:val="000000"/>
          <w:sz w:val="24"/>
          <w:szCs w:val="24"/>
          <w:lang w:eastAsia="bg-BG"/>
        </w:rPr>
        <w:t xml:space="preserve">. </w:t>
      </w:r>
    </w:p>
    <w:p w14:paraId="4F5E0726" w14:textId="77777777" w:rsidR="00276299" w:rsidRDefault="00276299" w:rsidP="00720B00">
      <w:pPr>
        <w:spacing w:after="0" w:line="240" w:lineRule="auto"/>
        <w:ind w:left="-17" w:firstLine="17"/>
        <w:jc w:val="both"/>
        <w:rPr>
          <w:rFonts w:ascii="Times New Roman" w:eastAsia="Verdana" w:hAnsi="Times New Roman" w:cs="Times New Roman"/>
          <w:color w:val="000000"/>
          <w:sz w:val="24"/>
          <w:szCs w:val="24"/>
          <w:lang w:eastAsia="bg-BG"/>
        </w:rPr>
      </w:pPr>
      <w:r>
        <w:rPr>
          <w:rFonts w:ascii="Times New Roman" w:eastAsia="Verdana" w:hAnsi="Times New Roman" w:cs="Times New Roman"/>
          <w:b/>
          <w:color w:val="000000"/>
          <w:sz w:val="24"/>
          <w:szCs w:val="24"/>
          <w:lang w:eastAsia="bg-BG"/>
        </w:rPr>
        <w:tab/>
      </w:r>
      <w:r w:rsidRPr="00276299">
        <w:rPr>
          <w:rFonts w:ascii="Times New Roman" w:eastAsia="Verdana" w:hAnsi="Times New Roman" w:cs="Times New Roman"/>
          <w:b/>
          <w:color w:val="000000"/>
          <w:sz w:val="24"/>
          <w:szCs w:val="24"/>
          <w:lang w:eastAsia="bg-BG"/>
        </w:rPr>
        <w:t xml:space="preserve">Населението в трудоспособна възраст към 31.12.2024 г. е 3 765 хил. души, или 58.5% </w:t>
      </w:r>
      <w:r w:rsidRPr="00276299">
        <w:rPr>
          <w:rFonts w:ascii="Times New Roman" w:eastAsia="Verdana" w:hAnsi="Times New Roman" w:cs="Times New Roman"/>
          <w:color w:val="000000"/>
          <w:sz w:val="24"/>
          <w:szCs w:val="24"/>
          <w:lang w:eastAsia="bg-BG"/>
        </w:rPr>
        <w:t>от населението на страната, като</w:t>
      </w:r>
      <w:r w:rsidR="00720B00">
        <w:rPr>
          <w:rFonts w:ascii="Times New Roman" w:eastAsia="Verdana" w:hAnsi="Times New Roman" w:cs="Times New Roman"/>
          <w:color w:val="000000"/>
          <w:sz w:val="24"/>
          <w:szCs w:val="24"/>
          <w:lang w:eastAsia="bg-BG"/>
        </w:rPr>
        <w:t xml:space="preserve"> мъжете са 1 970 хил., а жените</w:t>
      </w:r>
      <w:r w:rsidR="00720B00">
        <w:rPr>
          <w:rFonts w:ascii="Times New Roman" w:eastAsia="Times New Roman" w:hAnsi="Times New Roman" w:cs="Times New Roman"/>
          <w:color w:val="333333"/>
          <w:sz w:val="24"/>
          <w:szCs w:val="24"/>
        </w:rPr>
        <w:t xml:space="preserve"> –</w:t>
      </w:r>
      <w:r w:rsidR="00720B00" w:rsidRPr="00B721B9">
        <w:rPr>
          <w:rFonts w:ascii="Times New Roman" w:eastAsia="Times New Roman" w:hAnsi="Times New Roman" w:cs="Times New Roman"/>
          <w:color w:val="333333"/>
          <w:sz w:val="24"/>
          <w:szCs w:val="24"/>
        </w:rPr>
        <w:t xml:space="preserve"> </w:t>
      </w:r>
      <w:r w:rsidRPr="00276299">
        <w:rPr>
          <w:rFonts w:ascii="Times New Roman" w:eastAsia="Verdana" w:hAnsi="Times New Roman" w:cs="Times New Roman"/>
          <w:color w:val="000000"/>
          <w:sz w:val="24"/>
          <w:szCs w:val="24"/>
          <w:lang w:eastAsia="bg-BG"/>
        </w:rPr>
        <w:t>1 795 хиляди. Към края на 2024 г. над трудоспособна възраст са 1 701 хил. души, или 26.</w:t>
      </w:r>
      <w:r w:rsidR="00720B00">
        <w:rPr>
          <w:rFonts w:ascii="Times New Roman" w:eastAsia="Verdana" w:hAnsi="Times New Roman" w:cs="Times New Roman"/>
          <w:color w:val="000000"/>
          <w:sz w:val="24"/>
          <w:szCs w:val="24"/>
          <w:lang w:eastAsia="bg-BG"/>
        </w:rPr>
        <w:t>4%, а под трудоспособна възраст</w:t>
      </w:r>
      <w:r w:rsidR="00720B00">
        <w:rPr>
          <w:rFonts w:ascii="Times New Roman" w:eastAsia="Times New Roman" w:hAnsi="Times New Roman" w:cs="Times New Roman"/>
          <w:color w:val="333333"/>
          <w:sz w:val="24"/>
          <w:szCs w:val="24"/>
        </w:rPr>
        <w:t xml:space="preserve"> –</w:t>
      </w:r>
      <w:r w:rsidR="00720B00" w:rsidRPr="00B721B9">
        <w:rPr>
          <w:rFonts w:ascii="Times New Roman" w:eastAsia="Times New Roman" w:hAnsi="Times New Roman" w:cs="Times New Roman"/>
          <w:color w:val="333333"/>
          <w:sz w:val="24"/>
          <w:szCs w:val="24"/>
        </w:rPr>
        <w:t xml:space="preserve"> </w:t>
      </w:r>
      <w:r w:rsidRPr="00276299">
        <w:rPr>
          <w:rFonts w:ascii="Times New Roman" w:eastAsia="Verdana" w:hAnsi="Times New Roman" w:cs="Times New Roman"/>
          <w:color w:val="000000"/>
          <w:sz w:val="24"/>
          <w:szCs w:val="24"/>
          <w:lang w:eastAsia="bg-BG"/>
        </w:rPr>
        <w:t xml:space="preserve">971 хил. души, или 15.1% от населението на страната. </w:t>
      </w:r>
    </w:p>
    <w:p w14:paraId="6545282D" w14:textId="77777777" w:rsidR="00F17C4E" w:rsidRPr="00276299" w:rsidRDefault="00F17C4E" w:rsidP="00720B00">
      <w:pPr>
        <w:spacing w:after="0" w:line="240" w:lineRule="auto"/>
        <w:ind w:left="-17" w:firstLine="17"/>
        <w:jc w:val="both"/>
        <w:rPr>
          <w:rFonts w:ascii="Times New Roman" w:eastAsia="Verdana" w:hAnsi="Times New Roman" w:cs="Times New Roman"/>
          <w:color w:val="000000"/>
          <w:sz w:val="24"/>
          <w:szCs w:val="24"/>
          <w:lang w:eastAsia="bg-BG"/>
        </w:rPr>
      </w:pPr>
    </w:p>
    <w:p w14:paraId="29232B5A" w14:textId="77777777" w:rsidR="004253DB" w:rsidRPr="004253DB" w:rsidRDefault="00F17C4E" w:rsidP="004253DB">
      <w:pPr>
        <w:keepNext/>
        <w:keepLines/>
        <w:spacing w:after="337" w:line="265" w:lineRule="auto"/>
        <w:ind w:left="10" w:right="511"/>
        <w:jc w:val="both"/>
        <w:outlineLvl w:val="0"/>
        <w:rPr>
          <w:rFonts w:ascii="Times New Roman" w:eastAsia="Verdana" w:hAnsi="Times New Roman" w:cs="Times New Roman"/>
          <w:b/>
          <w:color w:val="000000"/>
          <w:sz w:val="24"/>
          <w:szCs w:val="24"/>
          <w:lang w:eastAsia="bg-BG"/>
        </w:rPr>
      </w:pPr>
      <w:r w:rsidRPr="00B721B9">
        <w:rPr>
          <w:rFonts w:ascii="Times New Roman" w:eastAsia="Verdana" w:hAnsi="Times New Roman" w:cs="Times New Roman"/>
          <w:b/>
          <w:color w:val="000000"/>
          <w:sz w:val="24"/>
          <w:szCs w:val="24"/>
          <w:lang w:eastAsia="bg-BG"/>
        </w:rPr>
        <w:lastRenderedPageBreak/>
        <w:t xml:space="preserve">Фиг. </w:t>
      </w:r>
      <w:r>
        <w:rPr>
          <w:rFonts w:ascii="Times New Roman" w:eastAsia="Verdana" w:hAnsi="Times New Roman" w:cs="Times New Roman"/>
          <w:b/>
          <w:color w:val="000000"/>
          <w:sz w:val="24"/>
          <w:szCs w:val="24"/>
          <w:lang w:val="en-US" w:eastAsia="bg-BG"/>
        </w:rPr>
        <w:t>3</w:t>
      </w:r>
      <w:r w:rsidRPr="00B721B9">
        <w:rPr>
          <w:rFonts w:ascii="Times New Roman" w:eastAsia="Verdana" w:hAnsi="Times New Roman" w:cs="Times New Roman"/>
          <w:b/>
          <w:color w:val="000000"/>
          <w:sz w:val="24"/>
          <w:szCs w:val="24"/>
          <w:lang w:eastAsia="bg-BG"/>
        </w:rPr>
        <w:t xml:space="preserve">. </w:t>
      </w:r>
      <w:r>
        <w:rPr>
          <w:rFonts w:ascii="Times New Roman" w:eastAsia="Verdana" w:hAnsi="Times New Roman" w:cs="Times New Roman"/>
          <w:b/>
          <w:color w:val="000000"/>
          <w:sz w:val="24"/>
          <w:szCs w:val="24"/>
          <w:lang w:eastAsia="bg-BG"/>
        </w:rPr>
        <w:t xml:space="preserve">Население под, във и над трудоспособна възраст към 31.12. </w:t>
      </w:r>
      <w:r w:rsidRPr="00B721B9">
        <w:rPr>
          <w:rFonts w:ascii="Times New Roman" w:eastAsia="Verdana" w:hAnsi="Times New Roman" w:cs="Times New Roman"/>
          <w:b/>
          <w:color w:val="000000"/>
          <w:sz w:val="24"/>
          <w:szCs w:val="24"/>
          <w:lang w:eastAsia="bg-BG"/>
        </w:rPr>
        <w:t xml:space="preserve"> </w:t>
      </w:r>
    </w:p>
    <w:p w14:paraId="4542EFD7" w14:textId="77777777" w:rsidR="004253DB" w:rsidRDefault="004253DB" w:rsidP="004253DB">
      <w:r>
        <w:rPr>
          <w:noProof/>
          <w:lang w:eastAsia="bg-BG"/>
        </w:rPr>
        <w:drawing>
          <wp:inline distT="0" distB="0" distL="0" distR="0" wp14:anchorId="2CABE428" wp14:editId="595CAEB1">
            <wp:extent cx="5760720" cy="3458210"/>
            <wp:effectExtent l="0" t="0" r="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F7E445" w14:textId="77777777" w:rsidR="00F17C4E" w:rsidRPr="004253DB" w:rsidRDefault="004253DB" w:rsidP="00D35597">
      <w:pPr>
        <w:autoSpaceDE w:val="0"/>
        <w:autoSpaceDN w:val="0"/>
        <w:adjustRightInd w:val="0"/>
        <w:spacing w:after="0" w:line="240" w:lineRule="auto"/>
        <w:ind w:firstLine="567"/>
        <w:jc w:val="right"/>
        <w:rPr>
          <w:rFonts w:ascii="Times New Roman" w:eastAsia="Verdana" w:hAnsi="Times New Roman" w:cs="Times New Roman"/>
          <w:i/>
          <w:color w:val="000000"/>
          <w:sz w:val="20"/>
          <w:szCs w:val="20"/>
          <w:lang w:eastAsia="bg-BG"/>
        </w:rPr>
      </w:pPr>
      <w:r>
        <w:rPr>
          <w:rFonts w:ascii="Times New Roman" w:eastAsia="Verdana" w:hAnsi="Times New Roman" w:cs="Times New Roman"/>
          <w:color w:val="000000"/>
          <w:sz w:val="24"/>
          <w:szCs w:val="24"/>
          <w:lang w:eastAsia="bg-BG"/>
        </w:rPr>
        <w:tab/>
      </w:r>
      <w:r>
        <w:rPr>
          <w:rFonts w:ascii="Times New Roman" w:eastAsia="Verdana" w:hAnsi="Times New Roman" w:cs="Times New Roman"/>
          <w:color w:val="000000"/>
          <w:sz w:val="24"/>
          <w:szCs w:val="24"/>
          <w:lang w:eastAsia="bg-BG"/>
        </w:rPr>
        <w:tab/>
      </w:r>
      <w:r>
        <w:rPr>
          <w:rFonts w:ascii="Times New Roman" w:eastAsia="Verdana" w:hAnsi="Times New Roman" w:cs="Times New Roman"/>
          <w:color w:val="000000"/>
          <w:sz w:val="24"/>
          <w:szCs w:val="24"/>
          <w:lang w:eastAsia="bg-BG"/>
        </w:rPr>
        <w:tab/>
      </w:r>
      <w:r>
        <w:rPr>
          <w:rFonts w:ascii="Times New Roman" w:eastAsia="Verdana" w:hAnsi="Times New Roman" w:cs="Times New Roman"/>
          <w:color w:val="000000"/>
          <w:sz w:val="24"/>
          <w:szCs w:val="24"/>
          <w:lang w:eastAsia="bg-BG"/>
        </w:rPr>
        <w:tab/>
      </w:r>
      <w:r>
        <w:rPr>
          <w:rFonts w:ascii="Times New Roman" w:eastAsia="Verdana" w:hAnsi="Times New Roman" w:cs="Times New Roman"/>
          <w:color w:val="000000"/>
          <w:sz w:val="24"/>
          <w:szCs w:val="24"/>
          <w:lang w:eastAsia="bg-BG"/>
        </w:rPr>
        <w:tab/>
      </w:r>
      <w:r>
        <w:rPr>
          <w:rFonts w:ascii="Times New Roman" w:eastAsia="Verdana" w:hAnsi="Times New Roman" w:cs="Times New Roman"/>
          <w:color w:val="000000"/>
          <w:sz w:val="24"/>
          <w:szCs w:val="24"/>
          <w:lang w:eastAsia="bg-BG"/>
        </w:rPr>
        <w:tab/>
      </w:r>
      <w:r>
        <w:rPr>
          <w:rFonts w:ascii="Times New Roman" w:eastAsia="Verdana" w:hAnsi="Times New Roman" w:cs="Times New Roman"/>
          <w:color w:val="000000"/>
          <w:sz w:val="24"/>
          <w:szCs w:val="24"/>
          <w:lang w:eastAsia="bg-BG"/>
        </w:rPr>
        <w:tab/>
      </w:r>
      <w:r>
        <w:rPr>
          <w:rFonts w:ascii="Times New Roman" w:eastAsia="Verdana" w:hAnsi="Times New Roman" w:cs="Times New Roman"/>
          <w:color w:val="000000"/>
          <w:sz w:val="24"/>
          <w:szCs w:val="24"/>
          <w:lang w:eastAsia="bg-BG"/>
        </w:rPr>
        <w:tab/>
      </w:r>
      <w:r>
        <w:rPr>
          <w:rFonts w:ascii="Times New Roman" w:eastAsia="Verdana" w:hAnsi="Times New Roman" w:cs="Times New Roman"/>
          <w:color w:val="000000"/>
          <w:sz w:val="24"/>
          <w:szCs w:val="24"/>
          <w:lang w:eastAsia="bg-BG"/>
        </w:rPr>
        <w:tab/>
        <w:t xml:space="preserve">  </w:t>
      </w:r>
      <w:r w:rsidRPr="004253DB">
        <w:rPr>
          <w:rFonts w:ascii="Times New Roman" w:eastAsia="Verdana" w:hAnsi="Times New Roman" w:cs="Times New Roman"/>
          <w:i/>
          <w:color w:val="000000"/>
          <w:sz w:val="20"/>
          <w:szCs w:val="20"/>
          <w:lang w:eastAsia="bg-BG"/>
        </w:rPr>
        <w:t>Източник: НСИ/МТСП</w:t>
      </w:r>
    </w:p>
    <w:p w14:paraId="47FD0AC0" w14:textId="77777777" w:rsidR="00F17C4E" w:rsidRPr="004253DB" w:rsidRDefault="00F17C4E" w:rsidP="00F17C4E">
      <w:pPr>
        <w:autoSpaceDE w:val="0"/>
        <w:autoSpaceDN w:val="0"/>
        <w:adjustRightInd w:val="0"/>
        <w:spacing w:after="0" w:line="240" w:lineRule="auto"/>
        <w:jc w:val="both"/>
        <w:rPr>
          <w:rFonts w:ascii="Times New Roman" w:eastAsia="Verdana" w:hAnsi="Times New Roman" w:cs="Times New Roman"/>
          <w:color w:val="000000"/>
          <w:sz w:val="24"/>
          <w:szCs w:val="24"/>
          <w:lang w:eastAsia="bg-BG"/>
        </w:rPr>
      </w:pPr>
    </w:p>
    <w:p w14:paraId="51923FDD" w14:textId="77777777" w:rsidR="00F17C4E" w:rsidRDefault="00F17C4E" w:rsidP="00487C33">
      <w:pPr>
        <w:autoSpaceDE w:val="0"/>
        <w:autoSpaceDN w:val="0"/>
        <w:adjustRightInd w:val="0"/>
        <w:spacing w:after="0" w:line="240" w:lineRule="auto"/>
        <w:ind w:firstLine="567"/>
        <w:jc w:val="both"/>
        <w:rPr>
          <w:rFonts w:ascii="Times New Roman" w:eastAsia="Verdana" w:hAnsi="Times New Roman" w:cs="Times New Roman"/>
          <w:color w:val="000000"/>
          <w:sz w:val="24"/>
          <w:szCs w:val="24"/>
          <w:lang w:eastAsia="bg-BG"/>
        </w:rPr>
      </w:pPr>
    </w:p>
    <w:p w14:paraId="72A8F280" w14:textId="77777777" w:rsidR="00487C33" w:rsidRPr="00487C33" w:rsidRDefault="00487C33" w:rsidP="00487C33">
      <w:pPr>
        <w:autoSpaceDE w:val="0"/>
        <w:autoSpaceDN w:val="0"/>
        <w:adjustRightInd w:val="0"/>
        <w:spacing w:after="0" w:line="240" w:lineRule="auto"/>
        <w:ind w:firstLine="567"/>
        <w:jc w:val="both"/>
        <w:rPr>
          <w:rFonts w:ascii="Times New Roman" w:eastAsia="Times New Roman" w:hAnsi="Times New Roman" w:cs="Times New Roman"/>
          <w:sz w:val="24"/>
          <w:szCs w:val="24"/>
          <w:lang w:eastAsia="bg-BG"/>
        </w:rPr>
      </w:pPr>
      <w:r w:rsidRPr="00487C33">
        <w:rPr>
          <w:rFonts w:ascii="Times New Roman" w:eastAsia="Times New Roman" w:hAnsi="Times New Roman" w:cs="Times New Roman"/>
          <w:b/>
          <w:sz w:val="24"/>
          <w:szCs w:val="24"/>
          <w:lang w:eastAsia="bg-BG"/>
        </w:rPr>
        <w:t>Показателят за преждевременна смъртност</w:t>
      </w:r>
      <w:r w:rsidRPr="00487C33">
        <w:rPr>
          <w:rFonts w:ascii="Times New Roman" w:eastAsia="Times New Roman" w:hAnsi="Times New Roman" w:cs="Times New Roman"/>
          <w:b/>
          <w:sz w:val="24"/>
          <w:szCs w:val="24"/>
          <w:vertAlign w:val="superscript"/>
          <w:lang w:eastAsia="bg-BG"/>
        </w:rPr>
        <w:footnoteReference w:id="3"/>
      </w:r>
      <w:r w:rsidRPr="00487C33">
        <w:rPr>
          <w:rFonts w:ascii="Times New Roman" w:eastAsia="Times New Roman" w:hAnsi="Times New Roman" w:cs="Times New Roman"/>
          <w:b/>
          <w:sz w:val="24"/>
          <w:szCs w:val="24"/>
          <w:lang w:eastAsia="bg-BG"/>
        </w:rPr>
        <w:t xml:space="preserve"> през 2024 г</w:t>
      </w:r>
      <w:r w:rsidRPr="00487C33">
        <w:rPr>
          <w:rFonts w:ascii="Times New Roman" w:eastAsia="Times New Roman" w:hAnsi="Times New Roman" w:cs="Times New Roman"/>
          <w:sz w:val="24"/>
          <w:szCs w:val="24"/>
          <w:lang w:eastAsia="bg-BG"/>
        </w:rPr>
        <w:t>. е 20.2% и леко се увеличава спрямо предходната 2023 година (20.1%). В стойностите на показателя за преждевременна смъртност има разлики по пол. Умрелите жени на възраст под 65 години са 13.0% от всички умрели жени, докато при мъжете е 27.0%.</w:t>
      </w:r>
    </w:p>
    <w:p w14:paraId="566C03F2" w14:textId="77777777" w:rsidR="00B721B9" w:rsidRDefault="00B721B9" w:rsidP="00720B00">
      <w:pPr>
        <w:spacing w:after="0" w:line="240" w:lineRule="auto"/>
        <w:ind w:left="-15" w:firstLine="15"/>
        <w:jc w:val="both"/>
        <w:rPr>
          <w:rFonts w:ascii="Times New Roman" w:eastAsia="Verdana" w:hAnsi="Times New Roman" w:cs="Times New Roman"/>
          <w:color w:val="000000"/>
          <w:sz w:val="24"/>
          <w:szCs w:val="24"/>
          <w:lang w:eastAsia="bg-BG"/>
        </w:rPr>
      </w:pPr>
    </w:p>
    <w:p w14:paraId="08E0470A" w14:textId="77777777" w:rsidR="00D64326" w:rsidRPr="00D64326" w:rsidRDefault="00D64326" w:rsidP="00720B00">
      <w:pPr>
        <w:spacing w:after="0" w:line="240" w:lineRule="auto"/>
        <w:ind w:left="-17" w:firstLine="17"/>
        <w:jc w:val="both"/>
        <w:rPr>
          <w:rFonts w:ascii="Times New Roman" w:eastAsia="Verdana" w:hAnsi="Times New Roman" w:cs="Times New Roman"/>
          <w:b/>
          <w:color w:val="000000"/>
          <w:sz w:val="24"/>
          <w:szCs w:val="24"/>
          <w:lang w:eastAsia="bg-BG"/>
        </w:rPr>
      </w:pPr>
      <w:r>
        <w:rPr>
          <w:rFonts w:ascii="Times New Roman" w:eastAsia="Verdana" w:hAnsi="Times New Roman" w:cs="Times New Roman"/>
          <w:color w:val="000000"/>
          <w:sz w:val="24"/>
          <w:szCs w:val="24"/>
          <w:lang w:eastAsia="bg-BG"/>
        </w:rPr>
        <w:tab/>
      </w:r>
      <w:r w:rsidRPr="00D64326">
        <w:rPr>
          <w:rFonts w:ascii="Times New Roman" w:eastAsia="Verdana" w:hAnsi="Times New Roman" w:cs="Times New Roman"/>
          <w:b/>
          <w:color w:val="000000"/>
          <w:sz w:val="24"/>
          <w:szCs w:val="24"/>
          <w:lang w:eastAsia="bg-BG"/>
        </w:rPr>
        <w:t>Вътрешна миграция</w:t>
      </w:r>
    </w:p>
    <w:p w14:paraId="1F12023B" w14:textId="77777777" w:rsidR="00F17C4E" w:rsidRDefault="00D64326" w:rsidP="00D64326">
      <w:pPr>
        <w:spacing w:after="0" w:line="240" w:lineRule="auto"/>
        <w:ind w:left="-17" w:firstLine="17"/>
        <w:jc w:val="both"/>
        <w:rPr>
          <w:rFonts w:ascii="Times New Roman" w:eastAsia="Verdana" w:hAnsi="Times New Roman" w:cs="Times New Roman"/>
          <w:color w:val="000000"/>
          <w:sz w:val="24"/>
          <w:szCs w:val="24"/>
          <w:lang w:eastAsia="bg-BG"/>
        </w:rPr>
      </w:pPr>
      <w:r>
        <w:rPr>
          <w:rFonts w:ascii="Times New Roman" w:eastAsia="Verdana" w:hAnsi="Times New Roman" w:cs="Times New Roman"/>
          <w:color w:val="000000"/>
          <w:sz w:val="24"/>
          <w:szCs w:val="24"/>
          <w:lang w:eastAsia="bg-BG"/>
        </w:rPr>
        <w:tab/>
      </w:r>
    </w:p>
    <w:p w14:paraId="10EC62BC" w14:textId="77777777" w:rsidR="00D64326" w:rsidRDefault="00D64326" w:rsidP="00C871C1">
      <w:pPr>
        <w:spacing w:after="0" w:line="240" w:lineRule="auto"/>
        <w:ind w:left="-17" w:firstLine="726"/>
        <w:jc w:val="both"/>
        <w:rPr>
          <w:rFonts w:ascii="Verdana" w:hAnsi="Verdana" w:cs="Verdana"/>
          <w:color w:val="000000"/>
        </w:rPr>
      </w:pPr>
      <w:r w:rsidRPr="00D64326">
        <w:rPr>
          <w:rFonts w:ascii="Times New Roman" w:eastAsia="Verdana" w:hAnsi="Times New Roman" w:cs="Times New Roman"/>
          <w:color w:val="000000"/>
          <w:sz w:val="24"/>
          <w:szCs w:val="24"/>
          <w:lang w:eastAsia="bg-BG"/>
        </w:rPr>
        <w:t xml:space="preserve">През 2024 г. в преселванията между населените места в страната са участвали 96 833 лица. От всички, които са променили своето обичайно местоживеене вътре в </w:t>
      </w:r>
      <w:r w:rsidR="00720B00">
        <w:rPr>
          <w:rFonts w:ascii="Times New Roman" w:eastAsia="Verdana" w:hAnsi="Times New Roman" w:cs="Times New Roman"/>
          <w:color w:val="000000"/>
          <w:sz w:val="24"/>
          <w:szCs w:val="24"/>
          <w:lang w:eastAsia="bg-BG"/>
        </w:rPr>
        <w:t>страната, 44.6% са мъже и 55.4%</w:t>
      </w:r>
      <w:r w:rsidR="00720B00">
        <w:rPr>
          <w:rFonts w:ascii="Times New Roman" w:eastAsia="Times New Roman" w:hAnsi="Times New Roman" w:cs="Times New Roman"/>
          <w:color w:val="333333"/>
          <w:sz w:val="24"/>
          <w:szCs w:val="24"/>
        </w:rPr>
        <w:t xml:space="preserve"> –</w:t>
      </w:r>
      <w:r w:rsidR="00720B00" w:rsidRPr="00B721B9">
        <w:rPr>
          <w:rFonts w:ascii="Times New Roman" w:eastAsia="Times New Roman" w:hAnsi="Times New Roman" w:cs="Times New Roman"/>
          <w:color w:val="333333"/>
          <w:sz w:val="24"/>
          <w:szCs w:val="24"/>
        </w:rPr>
        <w:t xml:space="preserve"> </w:t>
      </w:r>
      <w:r w:rsidRPr="00D64326">
        <w:rPr>
          <w:rFonts w:ascii="Times New Roman" w:eastAsia="Verdana" w:hAnsi="Times New Roman" w:cs="Times New Roman"/>
          <w:color w:val="000000"/>
          <w:sz w:val="24"/>
          <w:szCs w:val="24"/>
          <w:lang w:eastAsia="bg-BG"/>
        </w:rPr>
        <w:t>жени.</w:t>
      </w:r>
      <w:r w:rsidRPr="00D64326">
        <w:rPr>
          <w:rFonts w:ascii="Verdana" w:hAnsi="Verdana" w:cs="Verdana"/>
          <w:color w:val="000000"/>
        </w:rPr>
        <w:t xml:space="preserve"> </w:t>
      </w:r>
    </w:p>
    <w:p w14:paraId="57947CD8" w14:textId="77777777" w:rsidR="00D64326" w:rsidRPr="00D64326" w:rsidRDefault="00D64326" w:rsidP="00D64326">
      <w:pPr>
        <w:spacing w:after="0" w:line="240" w:lineRule="auto"/>
        <w:ind w:left="-17" w:firstLine="17"/>
        <w:jc w:val="both"/>
        <w:rPr>
          <w:rFonts w:ascii="Times New Roman" w:eastAsia="Verdana" w:hAnsi="Times New Roman" w:cs="Times New Roman"/>
          <w:color w:val="000000"/>
          <w:sz w:val="24"/>
          <w:szCs w:val="24"/>
          <w:lang w:eastAsia="bg-BG"/>
        </w:rPr>
      </w:pPr>
      <w:r>
        <w:rPr>
          <w:rFonts w:ascii="Verdana" w:hAnsi="Verdana" w:cs="Verdana"/>
          <w:color w:val="000000"/>
        </w:rPr>
        <w:tab/>
      </w:r>
      <w:r w:rsidRPr="00D64326">
        <w:rPr>
          <w:rFonts w:ascii="Times New Roman" w:eastAsia="Verdana" w:hAnsi="Times New Roman" w:cs="Times New Roman"/>
          <w:color w:val="000000"/>
          <w:sz w:val="24"/>
          <w:szCs w:val="24"/>
          <w:lang w:eastAsia="bg-BG"/>
        </w:rPr>
        <w:t xml:space="preserve">Преселващите се </w:t>
      </w:r>
      <w:r w:rsidR="00720B00">
        <w:rPr>
          <w:rFonts w:ascii="Times New Roman" w:eastAsia="Verdana" w:hAnsi="Times New Roman" w:cs="Times New Roman"/>
          <w:color w:val="000000"/>
          <w:sz w:val="24"/>
          <w:szCs w:val="24"/>
          <w:lang w:eastAsia="bg-BG"/>
        </w:rPr>
        <w:t>лица във възрастовата група 0</w:t>
      </w:r>
      <w:r w:rsidR="00142BE4">
        <w:rPr>
          <w:rFonts w:ascii="Times New Roman" w:eastAsia="Verdana" w:hAnsi="Times New Roman" w:cs="Times New Roman"/>
          <w:color w:val="000000"/>
          <w:sz w:val="24"/>
          <w:szCs w:val="24"/>
          <w:lang w:val="en-US" w:eastAsia="bg-BG"/>
        </w:rPr>
        <w:t xml:space="preserve"> </w:t>
      </w:r>
      <w:r w:rsidR="00142BE4">
        <w:rPr>
          <w:rFonts w:ascii="Times New Roman" w:eastAsia="Times New Roman" w:hAnsi="Times New Roman" w:cs="Times New Roman"/>
          <w:color w:val="333333"/>
          <w:sz w:val="24"/>
          <w:szCs w:val="24"/>
        </w:rPr>
        <w:t>–</w:t>
      </w:r>
      <w:r w:rsidR="00142BE4" w:rsidRPr="00B721B9">
        <w:rPr>
          <w:rFonts w:ascii="Times New Roman" w:eastAsia="Times New Roman" w:hAnsi="Times New Roman" w:cs="Times New Roman"/>
          <w:color w:val="333333"/>
          <w:sz w:val="24"/>
          <w:szCs w:val="24"/>
        </w:rPr>
        <w:t xml:space="preserve"> </w:t>
      </w:r>
      <w:r w:rsidRPr="00D64326">
        <w:rPr>
          <w:rFonts w:ascii="Times New Roman" w:eastAsia="Verdana" w:hAnsi="Times New Roman" w:cs="Times New Roman"/>
          <w:color w:val="000000"/>
          <w:sz w:val="24"/>
          <w:szCs w:val="24"/>
          <w:lang w:eastAsia="bg-BG"/>
        </w:rPr>
        <w:t>14 години с</w:t>
      </w:r>
      <w:r w:rsidR="00720B00">
        <w:rPr>
          <w:rFonts w:ascii="Times New Roman" w:eastAsia="Verdana" w:hAnsi="Times New Roman" w:cs="Times New Roman"/>
          <w:color w:val="000000"/>
          <w:sz w:val="24"/>
          <w:szCs w:val="24"/>
          <w:lang w:eastAsia="bg-BG"/>
        </w:rPr>
        <w:t>а 18.1%, лицата на възраст 15</w:t>
      </w:r>
      <w:r w:rsidR="00142BE4">
        <w:rPr>
          <w:rFonts w:ascii="Times New Roman" w:eastAsia="Verdana" w:hAnsi="Times New Roman" w:cs="Times New Roman"/>
          <w:color w:val="000000"/>
          <w:sz w:val="24"/>
          <w:szCs w:val="24"/>
          <w:lang w:val="en-US" w:eastAsia="bg-BG"/>
        </w:rPr>
        <w:t xml:space="preserve"> </w:t>
      </w:r>
      <w:r w:rsidR="00142BE4" w:rsidRPr="00142BE4">
        <w:rPr>
          <w:rFonts w:ascii="Times New Roman" w:eastAsia="Verdana" w:hAnsi="Times New Roman" w:cs="Times New Roman"/>
          <w:color w:val="000000"/>
          <w:sz w:val="24"/>
          <w:szCs w:val="24"/>
          <w:lang w:eastAsia="bg-BG"/>
        </w:rPr>
        <w:t xml:space="preserve">– </w:t>
      </w:r>
      <w:r w:rsidRPr="00D64326">
        <w:rPr>
          <w:rFonts w:ascii="Times New Roman" w:eastAsia="Verdana" w:hAnsi="Times New Roman" w:cs="Times New Roman"/>
          <w:color w:val="000000"/>
          <w:sz w:val="24"/>
          <w:szCs w:val="24"/>
          <w:lang w:eastAsia="bg-BG"/>
        </w:rPr>
        <w:t xml:space="preserve">64 години </w:t>
      </w:r>
      <w:r w:rsidR="00720B00">
        <w:rPr>
          <w:rFonts w:ascii="Times New Roman" w:eastAsia="Times New Roman" w:hAnsi="Times New Roman" w:cs="Times New Roman"/>
          <w:color w:val="333333"/>
          <w:sz w:val="24"/>
          <w:szCs w:val="24"/>
        </w:rPr>
        <w:t>–</w:t>
      </w:r>
      <w:r w:rsidR="00720B00" w:rsidRPr="00B721B9">
        <w:rPr>
          <w:rFonts w:ascii="Times New Roman" w:eastAsia="Times New Roman" w:hAnsi="Times New Roman" w:cs="Times New Roman"/>
          <w:color w:val="333333"/>
          <w:sz w:val="24"/>
          <w:szCs w:val="24"/>
        </w:rPr>
        <w:t xml:space="preserve"> </w:t>
      </w:r>
      <w:r w:rsidRPr="00D64326">
        <w:rPr>
          <w:rFonts w:ascii="Times New Roman" w:eastAsia="Verdana" w:hAnsi="Times New Roman" w:cs="Times New Roman"/>
          <w:color w:val="000000"/>
          <w:sz w:val="24"/>
          <w:szCs w:val="24"/>
          <w:lang w:eastAsia="bg-BG"/>
        </w:rPr>
        <w:t>63.9</w:t>
      </w:r>
      <w:r w:rsidR="00720B00">
        <w:rPr>
          <w:rFonts w:ascii="Times New Roman" w:eastAsia="Verdana" w:hAnsi="Times New Roman" w:cs="Times New Roman"/>
          <w:color w:val="000000"/>
          <w:sz w:val="24"/>
          <w:szCs w:val="24"/>
          <w:lang w:eastAsia="bg-BG"/>
        </w:rPr>
        <w:t>%, а тези на 65 и повече години</w:t>
      </w:r>
      <w:r w:rsidR="00720B00">
        <w:rPr>
          <w:rFonts w:ascii="Times New Roman" w:eastAsia="Times New Roman" w:hAnsi="Times New Roman" w:cs="Times New Roman"/>
          <w:color w:val="333333"/>
          <w:sz w:val="24"/>
          <w:szCs w:val="24"/>
        </w:rPr>
        <w:t xml:space="preserve"> –</w:t>
      </w:r>
      <w:r w:rsidR="00720B00" w:rsidRPr="00B721B9">
        <w:rPr>
          <w:rFonts w:ascii="Times New Roman" w:eastAsia="Times New Roman" w:hAnsi="Times New Roman" w:cs="Times New Roman"/>
          <w:color w:val="333333"/>
          <w:sz w:val="24"/>
          <w:szCs w:val="24"/>
        </w:rPr>
        <w:t xml:space="preserve"> </w:t>
      </w:r>
      <w:r w:rsidRPr="00D64326">
        <w:rPr>
          <w:rFonts w:ascii="Times New Roman" w:eastAsia="Verdana" w:hAnsi="Times New Roman" w:cs="Times New Roman"/>
          <w:color w:val="000000"/>
          <w:sz w:val="24"/>
          <w:szCs w:val="24"/>
          <w:lang w:eastAsia="bg-BG"/>
        </w:rPr>
        <w:t xml:space="preserve">18.0% от мигриралите лица. </w:t>
      </w:r>
    </w:p>
    <w:p w14:paraId="76864D4C" w14:textId="77777777" w:rsidR="00D64326" w:rsidRPr="00B721B9" w:rsidRDefault="00D64326" w:rsidP="00D64326">
      <w:pPr>
        <w:spacing w:after="0" w:line="240" w:lineRule="auto"/>
        <w:ind w:left="-17" w:firstLine="17"/>
        <w:jc w:val="both"/>
        <w:rPr>
          <w:rFonts w:ascii="Times New Roman" w:eastAsia="Verdana" w:hAnsi="Times New Roman" w:cs="Times New Roman"/>
          <w:color w:val="000000"/>
          <w:sz w:val="24"/>
          <w:szCs w:val="24"/>
          <w:lang w:eastAsia="bg-BG"/>
        </w:rPr>
      </w:pPr>
      <w:r>
        <w:rPr>
          <w:rFonts w:ascii="Times New Roman" w:eastAsia="Verdana" w:hAnsi="Times New Roman" w:cs="Times New Roman"/>
          <w:color w:val="000000"/>
          <w:sz w:val="24"/>
          <w:szCs w:val="24"/>
          <w:lang w:eastAsia="bg-BG"/>
        </w:rPr>
        <w:tab/>
      </w:r>
      <w:r w:rsidRPr="00D64326">
        <w:rPr>
          <w:rFonts w:ascii="Times New Roman" w:eastAsia="Verdana" w:hAnsi="Times New Roman" w:cs="Times New Roman"/>
          <w:color w:val="000000"/>
          <w:sz w:val="24"/>
          <w:szCs w:val="24"/>
          <w:lang w:eastAsia="bg-BG"/>
        </w:rPr>
        <w:t xml:space="preserve">Най-голямо териториално движение има по направлението „град </w:t>
      </w:r>
      <w:r w:rsidR="00720B00">
        <w:rPr>
          <w:rFonts w:ascii="Times New Roman" w:eastAsia="Times New Roman" w:hAnsi="Times New Roman" w:cs="Times New Roman"/>
          <w:color w:val="333333"/>
          <w:sz w:val="24"/>
          <w:szCs w:val="24"/>
        </w:rPr>
        <w:t>–</w:t>
      </w:r>
      <w:r w:rsidR="00720B00" w:rsidRPr="00B721B9">
        <w:rPr>
          <w:rFonts w:ascii="Times New Roman" w:eastAsia="Times New Roman" w:hAnsi="Times New Roman" w:cs="Times New Roman"/>
          <w:color w:val="333333"/>
          <w:sz w:val="24"/>
          <w:szCs w:val="24"/>
        </w:rPr>
        <w:t xml:space="preserve"> </w:t>
      </w:r>
      <w:r w:rsidRPr="00D64326">
        <w:rPr>
          <w:rFonts w:ascii="Times New Roman" w:eastAsia="Verdana" w:hAnsi="Times New Roman" w:cs="Times New Roman"/>
          <w:color w:val="000000"/>
          <w:sz w:val="24"/>
          <w:szCs w:val="24"/>
          <w:lang w:eastAsia="bg-BG"/>
        </w:rPr>
        <w:t>град“ (41.4%), посл</w:t>
      </w:r>
      <w:r w:rsidR="00720B00">
        <w:rPr>
          <w:rFonts w:ascii="Times New Roman" w:eastAsia="Verdana" w:hAnsi="Times New Roman" w:cs="Times New Roman"/>
          <w:color w:val="000000"/>
          <w:sz w:val="24"/>
          <w:szCs w:val="24"/>
          <w:lang w:eastAsia="bg-BG"/>
        </w:rPr>
        <w:t>едвано от направлението и „село</w:t>
      </w:r>
      <w:r w:rsidR="00720B00">
        <w:rPr>
          <w:rFonts w:ascii="Times New Roman" w:eastAsia="Times New Roman" w:hAnsi="Times New Roman" w:cs="Times New Roman"/>
          <w:color w:val="333333"/>
          <w:sz w:val="24"/>
          <w:szCs w:val="24"/>
        </w:rPr>
        <w:t xml:space="preserve"> –</w:t>
      </w:r>
      <w:r w:rsidR="00720B00" w:rsidRPr="00B721B9">
        <w:rPr>
          <w:rFonts w:ascii="Times New Roman" w:eastAsia="Times New Roman" w:hAnsi="Times New Roman" w:cs="Times New Roman"/>
          <w:color w:val="333333"/>
          <w:sz w:val="24"/>
          <w:szCs w:val="24"/>
        </w:rPr>
        <w:t xml:space="preserve"> </w:t>
      </w:r>
      <w:r w:rsidR="00720B00">
        <w:rPr>
          <w:rFonts w:ascii="Times New Roman" w:eastAsia="Verdana" w:hAnsi="Times New Roman" w:cs="Times New Roman"/>
          <w:color w:val="000000"/>
          <w:sz w:val="24"/>
          <w:szCs w:val="24"/>
          <w:lang w:eastAsia="bg-BG"/>
        </w:rPr>
        <w:t>град“ (26.1%), „град</w:t>
      </w:r>
      <w:r w:rsidR="00720B00">
        <w:rPr>
          <w:rFonts w:ascii="Times New Roman" w:eastAsia="Times New Roman" w:hAnsi="Times New Roman" w:cs="Times New Roman"/>
          <w:color w:val="333333"/>
          <w:sz w:val="24"/>
          <w:szCs w:val="24"/>
        </w:rPr>
        <w:t xml:space="preserve"> –</w:t>
      </w:r>
      <w:r w:rsidR="00720B00" w:rsidRPr="00B721B9">
        <w:rPr>
          <w:rFonts w:ascii="Times New Roman" w:eastAsia="Times New Roman" w:hAnsi="Times New Roman" w:cs="Times New Roman"/>
          <w:color w:val="333333"/>
          <w:sz w:val="24"/>
          <w:szCs w:val="24"/>
        </w:rPr>
        <w:t xml:space="preserve"> </w:t>
      </w:r>
      <w:r w:rsidRPr="00D64326">
        <w:rPr>
          <w:rFonts w:ascii="Times New Roman" w:eastAsia="Verdana" w:hAnsi="Times New Roman" w:cs="Times New Roman"/>
          <w:color w:val="000000"/>
          <w:sz w:val="24"/>
          <w:szCs w:val="24"/>
          <w:lang w:eastAsia="bg-BG"/>
        </w:rPr>
        <w:t>село“ (22.8%). Значително по-малък, по брой и относителен дял, е миграционни</w:t>
      </w:r>
      <w:r w:rsidR="00720B00">
        <w:rPr>
          <w:rFonts w:ascii="Times New Roman" w:eastAsia="Verdana" w:hAnsi="Times New Roman" w:cs="Times New Roman"/>
          <w:color w:val="000000"/>
          <w:sz w:val="24"/>
          <w:szCs w:val="24"/>
          <w:lang w:eastAsia="bg-BG"/>
        </w:rPr>
        <w:t>ят поток по направлението „село</w:t>
      </w:r>
      <w:r w:rsidR="00720B00">
        <w:rPr>
          <w:rFonts w:ascii="Times New Roman" w:eastAsia="Times New Roman" w:hAnsi="Times New Roman" w:cs="Times New Roman"/>
          <w:color w:val="333333"/>
          <w:sz w:val="24"/>
          <w:szCs w:val="24"/>
        </w:rPr>
        <w:t xml:space="preserve"> –</w:t>
      </w:r>
      <w:r w:rsidR="00720B00" w:rsidRPr="00B721B9">
        <w:rPr>
          <w:rFonts w:ascii="Times New Roman" w:eastAsia="Times New Roman" w:hAnsi="Times New Roman" w:cs="Times New Roman"/>
          <w:color w:val="333333"/>
          <w:sz w:val="24"/>
          <w:szCs w:val="24"/>
        </w:rPr>
        <w:t xml:space="preserve"> </w:t>
      </w:r>
      <w:r w:rsidRPr="00D64326">
        <w:rPr>
          <w:rFonts w:ascii="Times New Roman" w:eastAsia="Verdana" w:hAnsi="Times New Roman" w:cs="Times New Roman"/>
          <w:color w:val="000000"/>
          <w:sz w:val="24"/>
          <w:szCs w:val="24"/>
          <w:lang w:eastAsia="bg-BG"/>
        </w:rPr>
        <w:t xml:space="preserve">село“ </w:t>
      </w:r>
      <w:r w:rsidR="00720B00">
        <w:rPr>
          <w:rFonts w:ascii="Times New Roman" w:eastAsia="Times New Roman" w:hAnsi="Times New Roman" w:cs="Times New Roman"/>
          <w:color w:val="333333"/>
          <w:sz w:val="24"/>
          <w:szCs w:val="24"/>
        </w:rPr>
        <w:t>–</w:t>
      </w:r>
      <w:r w:rsidR="00720B00" w:rsidRPr="00B721B9">
        <w:rPr>
          <w:rFonts w:ascii="Times New Roman" w:eastAsia="Times New Roman" w:hAnsi="Times New Roman" w:cs="Times New Roman"/>
          <w:color w:val="333333"/>
          <w:sz w:val="24"/>
          <w:szCs w:val="24"/>
        </w:rPr>
        <w:t xml:space="preserve"> </w:t>
      </w:r>
      <w:r w:rsidRPr="00D64326">
        <w:rPr>
          <w:rFonts w:ascii="Times New Roman" w:eastAsia="Verdana" w:hAnsi="Times New Roman" w:cs="Times New Roman"/>
          <w:color w:val="000000"/>
          <w:sz w:val="24"/>
          <w:szCs w:val="24"/>
          <w:lang w:eastAsia="bg-BG"/>
        </w:rPr>
        <w:t>9.7% от мигриралите лица.</w:t>
      </w:r>
    </w:p>
    <w:p w14:paraId="19504CDB" w14:textId="77777777" w:rsidR="00B50D3E" w:rsidRPr="00B50D3E" w:rsidRDefault="00B50D3E" w:rsidP="00B50D3E"/>
    <w:p w14:paraId="38A124EE" w14:textId="77777777" w:rsidR="00B50D3E" w:rsidRDefault="00B50D3E" w:rsidP="00B50D3E">
      <w:pPr>
        <w:spacing w:after="0" w:line="240" w:lineRule="auto"/>
        <w:ind w:firstLine="709"/>
        <w:jc w:val="both"/>
        <w:rPr>
          <w:rFonts w:ascii="Times New Roman" w:eastAsia="Verdana" w:hAnsi="Times New Roman" w:cs="Times New Roman"/>
          <w:b/>
          <w:color w:val="000000"/>
          <w:sz w:val="24"/>
          <w:szCs w:val="24"/>
          <w:lang w:eastAsia="bg-BG"/>
        </w:rPr>
      </w:pPr>
    </w:p>
    <w:p w14:paraId="1912A138" w14:textId="77777777" w:rsidR="00B70757" w:rsidRDefault="00B70757" w:rsidP="00B50D3E">
      <w:pPr>
        <w:spacing w:after="0" w:line="240" w:lineRule="auto"/>
        <w:ind w:firstLine="709"/>
        <w:jc w:val="both"/>
        <w:rPr>
          <w:rFonts w:ascii="Times New Roman" w:eastAsia="Verdana" w:hAnsi="Times New Roman" w:cs="Times New Roman"/>
          <w:b/>
          <w:color w:val="000000"/>
          <w:sz w:val="24"/>
          <w:szCs w:val="24"/>
          <w:lang w:eastAsia="bg-BG"/>
        </w:rPr>
      </w:pPr>
    </w:p>
    <w:p w14:paraId="7ABFA440" w14:textId="77777777" w:rsidR="00D64326" w:rsidRDefault="00720B00" w:rsidP="00C871C1">
      <w:pPr>
        <w:keepNext/>
        <w:keepLines/>
        <w:spacing w:after="295" w:line="265" w:lineRule="auto"/>
        <w:ind w:left="10" w:right="509"/>
        <w:jc w:val="both"/>
        <w:outlineLvl w:val="0"/>
        <w:rPr>
          <w:rFonts w:ascii="Times New Roman" w:eastAsia="Verdana" w:hAnsi="Times New Roman" w:cs="Times New Roman"/>
          <w:b/>
          <w:color w:val="000000"/>
          <w:sz w:val="24"/>
          <w:szCs w:val="24"/>
          <w:lang w:eastAsia="bg-BG"/>
        </w:rPr>
      </w:pPr>
      <w:r w:rsidRPr="00720B00">
        <w:rPr>
          <w:rFonts w:ascii="Times New Roman" w:eastAsia="Verdana" w:hAnsi="Times New Roman" w:cs="Times New Roman"/>
          <w:b/>
          <w:color w:val="000000"/>
          <w:sz w:val="24"/>
          <w:szCs w:val="24"/>
          <w:lang w:eastAsia="bg-BG"/>
        </w:rPr>
        <w:lastRenderedPageBreak/>
        <w:t xml:space="preserve">Фиг. </w:t>
      </w:r>
      <w:r w:rsidR="007B1081">
        <w:rPr>
          <w:rFonts w:ascii="Times New Roman" w:eastAsia="Verdana" w:hAnsi="Times New Roman" w:cs="Times New Roman"/>
          <w:b/>
          <w:color w:val="000000"/>
          <w:sz w:val="24"/>
          <w:szCs w:val="24"/>
          <w:lang w:eastAsia="bg-BG"/>
        </w:rPr>
        <w:t>4</w:t>
      </w:r>
      <w:r w:rsidR="00D64326" w:rsidRPr="00D64326">
        <w:rPr>
          <w:rFonts w:ascii="Times New Roman" w:eastAsia="Verdana" w:hAnsi="Times New Roman" w:cs="Times New Roman"/>
          <w:b/>
          <w:color w:val="000000"/>
          <w:sz w:val="24"/>
          <w:szCs w:val="24"/>
          <w:lang w:eastAsia="bg-BG"/>
        </w:rPr>
        <w:t xml:space="preserve">. Направления на вътрешната миграция през 2024 година </w:t>
      </w:r>
    </w:p>
    <w:p w14:paraId="250D3352" w14:textId="77777777" w:rsidR="00B04F6F" w:rsidRPr="00D64326" w:rsidRDefault="00B04F6F" w:rsidP="00720B00">
      <w:pPr>
        <w:keepNext/>
        <w:keepLines/>
        <w:spacing w:after="295" w:line="265" w:lineRule="auto"/>
        <w:ind w:left="10" w:right="509"/>
        <w:jc w:val="both"/>
        <w:outlineLvl w:val="0"/>
        <w:rPr>
          <w:rFonts w:ascii="Times New Roman" w:eastAsia="Verdana" w:hAnsi="Times New Roman" w:cs="Times New Roman"/>
          <w:b/>
          <w:color w:val="000000"/>
          <w:sz w:val="24"/>
          <w:szCs w:val="24"/>
          <w:lang w:eastAsia="bg-BG"/>
        </w:rPr>
      </w:pPr>
    </w:p>
    <w:p w14:paraId="0676A53D" w14:textId="77777777" w:rsidR="00D64326" w:rsidRPr="00D64326" w:rsidRDefault="00D64326" w:rsidP="00D64326">
      <w:pPr>
        <w:spacing w:after="0"/>
        <w:ind w:left="3549" w:hanging="10"/>
        <w:rPr>
          <w:rFonts w:eastAsia="Verdana" w:cstheme="minorHAnsi"/>
          <w:color w:val="000000"/>
          <w:sz w:val="20"/>
          <w:lang w:eastAsia="bg-BG"/>
        </w:rPr>
      </w:pPr>
      <w:r w:rsidRPr="00D64326">
        <w:rPr>
          <w:rFonts w:eastAsia="Verdana" w:cstheme="minorHAnsi"/>
          <w:color w:val="000000"/>
          <w:sz w:val="16"/>
          <w:lang w:eastAsia="bg-BG"/>
        </w:rPr>
        <w:t>9.7%</w:t>
      </w:r>
    </w:p>
    <w:p w14:paraId="10ADBD7A" w14:textId="77777777" w:rsidR="00D64326" w:rsidRPr="00D64326" w:rsidRDefault="00D64326" w:rsidP="00D64326">
      <w:pPr>
        <w:spacing w:after="0"/>
        <w:ind w:left="1984"/>
        <w:rPr>
          <w:rFonts w:eastAsia="Verdana" w:cstheme="minorHAnsi"/>
          <w:color w:val="000000"/>
          <w:sz w:val="20"/>
          <w:lang w:eastAsia="bg-BG"/>
        </w:rPr>
      </w:pPr>
      <w:r w:rsidRPr="00D64326">
        <w:rPr>
          <w:rFonts w:eastAsia="Calibri" w:cstheme="minorHAnsi"/>
          <w:noProof/>
          <w:color w:val="000000"/>
          <w:lang w:eastAsia="bg-BG"/>
        </w:rPr>
        <mc:AlternateContent>
          <mc:Choice Requires="wpg">
            <w:drawing>
              <wp:inline distT="0" distB="0" distL="0" distR="0" wp14:anchorId="53A6A62C" wp14:editId="3B41D913">
                <wp:extent cx="3322830" cy="2561676"/>
                <wp:effectExtent l="0" t="0" r="0" b="0"/>
                <wp:docPr id="25345" name="Group 25345"/>
                <wp:cNvGraphicFramePr/>
                <a:graphic xmlns:a="http://schemas.openxmlformats.org/drawingml/2006/main">
                  <a:graphicData uri="http://schemas.microsoft.com/office/word/2010/wordprocessingGroup">
                    <wpg:wgp>
                      <wpg:cNvGrpSpPr/>
                      <wpg:grpSpPr>
                        <a:xfrm>
                          <a:off x="0" y="0"/>
                          <a:ext cx="3322830" cy="2561676"/>
                          <a:chOff x="0" y="0"/>
                          <a:chExt cx="3322830" cy="2624123"/>
                        </a:xfrm>
                      </wpg:grpSpPr>
                      <wps:wsp>
                        <wps:cNvPr id="3921" name="Shape 3921"/>
                        <wps:cNvSpPr/>
                        <wps:spPr>
                          <a:xfrm>
                            <a:off x="1626108" y="0"/>
                            <a:ext cx="1133348" cy="2105533"/>
                          </a:xfrm>
                          <a:custGeom>
                            <a:avLst/>
                            <a:gdLst/>
                            <a:ahLst/>
                            <a:cxnLst/>
                            <a:rect l="0" t="0" r="0" b="0"/>
                            <a:pathLst>
                              <a:path w="1133348" h="2105533">
                                <a:moveTo>
                                  <a:pt x="0" y="0"/>
                                </a:moveTo>
                                <a:cubicBezTo>
                                  <a:pt x="625983" y="0"/>
                                  <a:pt x="1133348" y="507365"/>
                                  <a:pt x="1133348" y="1133221"/>
                                </a:cubicBezTo>
                                <a:cubicBezTo>
                                  <a:pt x="1133348" y="1531620"/>
                                  <a:pt x="924179" y="1900809"/>
                                  <a:pt x="582422" y="2105533"/>
                                </a:cubicBezTo>
                                <a:lnTo>
                                  <a:pt x="0" y="1133221"/>
                                </a:lnTo>
                                <a:lnTo>
                                  <a:pt x="0" y="0"/>
                                </a:lnTo>
                                <a:close/>
                              </a:path>
                            </a:pathLst>
                          </a:custGeom>
                          <a:solidFill>
                            <a:srgbClr val="222A35"/>
                          </a:solidFill>
                          <a:ln w="0" cap="flat">
                            <a:noFill/>
                            <a:round/>
                          </a:ln>
                          <a:effectLst/>
                        </wps:spPr>
                        <wps:bodyPr/>
                      </wps:wsp>
                      <wps:wsp>
                        <wps:cNvPr id="3922" name="Shape 3922"/>
                        <wps:cNvSpPr/>
                        <wps:spPr>
                          <a:xfrm>
                            <a:off x="744601" y="1133221"/>
                            <a:ext cx="1463929" cy="1262507"/>
                          </a:xfrm>
                          <a:custGeom>
                            <a:avLst/>
                            <a:gdLst/>
                            <a:ahLst/>
                            <a:cxnLst/>
                            <a:rect l="0" t="0" r="0" b="0"/>
                            <a:pathLst>
                              <a:path w="1463929" h="1262507">
                                <a:moveTo>
                                  <a:pt x="881507" y="0"/>
                                </a:moveTo>
                                <a:lnTo>
                                  <a:pt x="1463929" y="972312"/>
                                </a:lnTo>
                                <a:cubicBezTo>
                                  <a:pt x="979297" y="1262507"/>
                                  <a:pt x="354965" y="1151636"/>
                                  <a:pt x="0" y="712216"/>
                                </a:cubicBezTo>
                                <a:lnTo>
                                  <a:pt x="881507" y="0"/>
                                </a:lnTo>
                                <a:close/>
                              </a:path>
                            </a:pathLst>
                          </a:custGeom>
                          <a:solidFill>
                            <a:srgbClr val="2E75B6"/>
                          </a:solidFill>
                          <a:ln w="0" cap="flat">
                            <a:noFill/>
                            <a:round/>
                          </a:ln>
                          <a:effectLst/>
                        </wps:spPr>
                        <wps:bodyPr/>
                      </wps:wsp>
                      <wps:wsp>
                        <wps:cNvPr id="3923" name="Shape 3923"/>
                        <wps:cNvSpPr/>
                        <wps:spPr>
                          <a:xfrm>
                            <a:off x="351282" y="203200"/>
                            <a:ext cx="1274826" cy="1642237"/>
                          </a:xfrm>
                          <a:custGeom>
                            <a:avLst/>
                            <a:gdLst/>
                            <a:ahLst/>
                            <a:cxnLst/>
                            <a:rect l="0" t="0" r="0" b="0"/>
                            <a:pathLst>
                              <a:path w="1274826" h="1642237">
                                <a:moveTo>
                                  <a:pt x="627253" y="0"/>
                                </a:moveTo>
                                <a:lnTo>
                                  <a:pt x="1274826" y="930021"/>
                                </a:lnTo>
                                <a:lnTo>
                                  <a:pt x="393319" y="1642237"/>
                                </a:lnTo>
                                <a:cubicBezTo>
                                  <a:pt x="0" y="1155319"/>
                                  <a:pt x="75819" y="441833"/>
                                  <a:pt x="562737" y="48514"/>
                                </a:cubicBezTo>
                                <a:cubicBezTo>
                                  <a:pt x="583692" y="31496"/>
                                  <a:pt x="605155" y="15367"/>
                                  <a:pt x="627253" y="0"/>
                                </a:cubicBezTo>
                                <a:close/>
                              </a:path>
                            </a:pathLst>
                          </a:custGeom>
                          <a:solidFill>
                            <a:srgbClr val="ADB9CA"/>
                          </a:solidFill>
                          <a:ln w="0" cap="flat">
                            <a:noFill/>
                            <a:round/>
                          </a:ln>
                          <a:effectLst/>
                        </wps:spPr>
                        <wps:bodyPr/>
                      </wps:wsp>
                      <wps:wsp>
                        <wps:cNvPr id="3924" name="Shape 3924"/>
                        <wps:cNvSpPr/>
                        <wps:spPr>
                          <a:xfrm>
                            <a:off x="978535" y="0"/>
                            <a:ext cx="647573" cy="1133221"/>
                          </a:xfrm>
                          <a:custGeom>
                            <a:avLst/>
                            <a:gdLst/>
                            <a:ahLst/>
                            <a:cxnLst/>
                            <a:rect l="0" t="0" r="0" b="0"/>
                            <a:pathLst>
                              <a:path w="647573" h="1133221">
                                <a:moveTo>
                                  <a:pt x="647573" y="0"/>
                                </a:moveTo>
                                <a:lnTo>
                                  <a:pt x="647573" y="1133221"/>
                                </a:lnTo>
                                <a:lnTo>
                                  <a:pt x="0" y="203200"/>
                                </a:lnTo>
                                <a:cubicBezTo>
                                  <a:pt x="190119" y="70865"/>
                                  <a:pt x="416052" y="0"/>
                                  <a:pt x="647573" y="0"/>
                                </a:cubicBezTo>
                                <a:close/>
                              </a:path>
                            </a:pathLst>
                          </a:custGeom>
                          <a:solidFill>
                            <a:srgbClr val="DEEBF7"/>
                          </a:solidFill>
                          <a:ln w="0" cap="flat">
                            <a:noFill/>
                            <a:round/>
                          </a:ln>
                          <a:effectLst/>
                        </wps:spPr>
                        <wps:bodyPr/>
                      </wps:wsp>
                      <wps:wsp>
                        <wps:cNvPr id="25135" name="Rectangle 25135"/>
                        <wps:cNvSpPr/>
                        <wps:spPr>
                          <a:xfrm>
                            <a:off x="2857754" y="880901"/>
                            <a:ext cx="309089" cy="132356"/>
                          </a:xfrm>
                          <a:prstGeom prst="rect">
                            <a:avLst/>
                          </a:prstGeom>
                          <a:ln>
                            <a:noFill/>
                          </a:ln>
                        </wps:spPr>
                        <wps:txbx>
                          <w:txbxContent>
                            <w:p w14:paraId="0A9CFE74"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41.4</w:t>
                              </w:r>
                            </w:p>
                          </w:txbxContent>
                        </wps:txbx>
                        <wps:bodyPr horzOverflow="overflow" vert="horz" lIns="0" tIns="0" rIns="0" bIns="0" rtlCol="0">
                          <a:noAutofit/>
                        </wps:bodyPr>
                      </wps:wsp>
                      <wps:wsp>
                        <wps:cNvPr id="25136" name="Rectangle 25136"/>
                        <wps:cNvSpPr/>
                        <wps:spPr>
                          <a:xfrm>
                            <a:off x="3090662" y="880901"/>
                            <a:ext cx="146125" cy="132356"/>
                          </a:xfrm>
                          <a:prstGeom prst="rect">
                            <a:avLst/>
                          </a:prstGeom>
                          <a:ln>
                            <a:noFill/>
                          </a:ln>
                        </wps:spPr>
                        <wps:txbx>
                          <w:txbxContent>
                            <w:p w14:paraId="28A968B7"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wps:txbx>
                        <wps:bodyPr horzOverflow="overflow" vert="horz" lIns="0" tIns="0" rIns="0" bIns="0" rtlCol="0">
                          <a:noAutofit/>
                        </wps:bodyPr>
                      </wps:wsp>
                      <wps:wsp>
                        <wps:cNvPr id="25139" name="Rectangle 25139"/>
                        <wps:cNvSpPr/>
                        <wps:spPr>
                          <a:xfrm>
                            <a:off x="839978" y="2230275"/>
                            <a:ext cx="309089" cy="132355"/>
                          </a:xfrm>
                          <a:prstGeom prst="rect">
                            <a:avLst/>
                          </a:prstGeom>
                          <a:ln>
                            <a:noFill/>
                          </a:ln>
                        </wps:spPr>
                        <wps:txbx>
                          <w:txbxContent>
                            <w:p w14:paraId="04D5EBEC"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22.8</w:t>
                              </w:r>
                            </w:p>
                          </w:txbxContent>
                        </wps:txbx>
                        <wps:bodyPr horzOverflow="overflow" vert="horz" lIns="0" tIns="0" rIns="0" bIns="0" rtlCol="0">
                          <a:noAutofit/>
                        </wps:bodyPr>
                      </wps:wsp>
                      <wps:wsp>
                        <wps:cNvPr id="25140" name="Rectangle 25140"/>
                        <wps:cNvSpPr/>
                        <wps:spPr>
                          <a:xfrm>
                            <a:off x="1072887" y="2230275"/>
                            <a:ext cx="146125" cy="132355"/>
                          </a:xfrm>
                          <a:prstGeom prst="rect">
                            <a:avLst/>
                          </a:prstGeom>
                          <a:ln>
                            <a:noFill/>
                          </a:ln>
                        </wps:spPr>
                        <wps:txbx>
                          <w:txbxContent>
                            <w:p w14:paraId="2AE4F78E"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wps:txbx>
                        <wps:bodyPr horzOverflow="overflow" vert="horz" lIns="0" tIns="0" rIns="0" bIns="0" rtlCol="0">
                          <a:noAutofit/>
                        </wps:bodyPr>
                      </wps:wsp>
                      <wps:wsp>
                        <wps:cNvPr id="25137" name="Rectangle 25137"/>
                        <wps:cNvSpPr/>
                        <wps:spPr>
                          <a:xfrm>
                            <a:off x="19050" y="1121057"/>
                            <a:ext cx="309089" cy="132356"/>
                          </a:xfrm>
                          <a:prstGeom prst="rect">
                            <a:avLst/>
                          </a:prstGeom>
                          <a:ln>
                            <a:noFill/>
                          </a:ln>
                        </wps:spPr>
                        <wps:txbx>
                          <w:txbxContent>
                            <w:p w14:paraId="03824D36"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26.1</w:t>
                              </w:r>
                            </w:p>
                          </w:txbxContent>
                        </wps:txbx>
                        <wps:bodyPr horzOverflow="overflow" vert="horz" lIns="0" tIns="0" rIns="0" bIns="0" rtlCol="0">
                          <a:noAutofit/>
                        </wps:bodyPr>
                      </wps:wsp>
                      <wps:wsp>
                        <wps:cNvPr id="25138" name="Rectangle 25138"/>
                        <wps:cNvSpPr/>
                        <wps:spPr>
                          <a:xfrm>
                            <a:off x="251958" y="1121057"/>
                            <a:ext cx="146125" cy="132356"/>
                          </a:xfrm>
                          <a:prstGeom prst="rect">
                            <a:avLst/>
                          </a:prstGeom>
                          <a:ln>
                            <a:noFill/>
                          </a:ln>
                        </wps:spPr>
                        <wps:txbx>
                          <w:txbxContent>
                            <w:p w14:paraId="6F8E56E3"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wps:txbx>
                        <wps:bodyPr horzOverflow="overflow" vert="horz" lIns="0" tIns="0" rIns="0" bIns="0" rtlCol="0">
                          <a:noAutofit/>
                        </wps:bodyPr>
                      </wps:wsp>
                      <wps:wsp>
                        <wps:cNvPr id="33514" name="Shape 33514"/>
                        <wps:cNvSpPr/>
                        <wps:spPr>
                          <a:xfrm>
                            <a:off x="0" y="2506393"/>
                            <a:ext cx="55578" cy="55578"/>
                          </a:xfrm>
                          <a:custGeom>
                            <a:avLst/>
                            <a:gdLst/>
                            <a:ahLst/>
                            <a:cxnLst/>
                            <a:rect l="0" t="0" r="0" b="0"/>
                            <a:pathLst>
                              <a:path w="55578" h="55578">
                                <a:moveTo>
                                  <a:pt x="0" y="0"/>
                                </a:moveTo>
                                <a:lnTo>
                                  <a:pt x="55578" y="0"/>
                                </a:lnTo>
                                <a:lnTo>
                                  <a:pt x="55578" y="55578"/>
                                </a:lnTo>
                                <a:lnTo>
                                  <a:pt x="0" y="55578"/>
                                </a:lnTo>
                                <a:lnTo>
                                  <a:pt x="0" y="0"/>
                                </a:lnTo>
                              </a:path>
                            </a:pathLst>
                          </a:custGeom>
                          <a:solidFill>
                            <a:srgbClr val="222A35"/>
                          </a:solidFill>
                          <a:ln w="0" cap="flat">
                            <a:noFill/>
                            <a:round/>
                          </a:ln>
                          <a:effectLst/>
                        </wps:spPr>
                        <wps:bodyPr/>
                      </wps:wsp>
                      <wps:wsp>
                        <wps:cNvPr id="3933" name="Rectangle 3933"/>
                        <wps:cNvSpPr/>
                        <wps:spPr>
                          <a:xfrm>
                            <a:off x="79121" y="2491768"/>
                            <a:ext cx="375904" cy="132355"/>
                          </a:xfrm>
                          <a:prstGeom prst="rect">
                            <a:avLst/>
                          </a:prstGeom>
                          <a:ln>
                            <a:noFill/>
                          </a:ln>
                        </wps:spPr>
                        <wps:txbx>
                          <w:txbxContent>
                            <w:p w14:paraId="4AADFBE7"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 xml:space="preserve">Град </w:t>
                              </w:r>
                            </w:p>
                          </w:txbxContent>
                        </wps:txbx>
                        <wps:bodyPr horzOverflow="overflow" vert="horz" lIns="0" tIns="0" rIns="0" bIns="0" rtlCol="0">
                          <a:noAutofit/>
                        </wps:bodyPr>
                      </wps:wsp>
                      <wps:wsp>
                        <wps:cNvPr id="3934" name="Rectangle 3934"/>
                        <wps:cNvSpPr/>
                        <wps:spPr>
                          <a:xfrm>
                            <a:off x="359537" y="2491768"/>
                            <a:ext cx="61655" cy="132355"/>
                          </a:xfrm>
                          <a:prstGeom prst="rect">
                            <a:avLst/>
                          </a:prstGeom>
                          <a:ln>
                            <a:noFill/>
                          </a:ln>
                        </wps:spPr>
                        <wps:txbx>
                          <w:txbxContent>
                            <w:p w14:paraId="63CCB1B0"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wps:txbx>
                        <wps:bodyPr horzOverflow="overflow" vert="horz" lIns="0" tIns="0" rIns="0" bIns="0" rtlCol="0">
                          <a:noAutofit/>
                        </wps:bodyPr>
                      </wps:wsp>
                      <wps:wsp>
                        <wps:cNvPr id="3935" name="Rectangle 3935"/>
                        <wps:cNvSpPr/>
                        <wps:spPr>
                          <a:xfrm>
                            <a:off x="441833" y="2491768"/>
                            <a:ext cx="315336" cy="132355"/>
                          </a:xfrm>
                          <a:prstGeom prst="rect">
                            <a:avLst/>
                          </a:prstGeom>
                          <a:ln>
                            <a:noFill/>
                          </a:ln>
                        </wps:spPr>
                        <wps:txbx>
                          <w:txbxContent>
                            <w:p w14:paraId="5469B048"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град</w:t>
                              </w:r>
                            </w:p>
                          </w:txbxContent>
                        </wps:txbx>
                        <wps:bodyPr horzOverflow="overflow" vert="horz" lIns="0" tIns="0" rIns="0" bIns="0" rtlCol="0">
                          <a:noAutofit/>
                        </wps:bodyPr>
                      </wps:wsp>
                      <wps:wsp>
                        <wps:cNvPr id="33515" name="Shape 33515"/>
                        <wps:cNvSpPr/>
                        <wps:spPr>
                          <a:xfrm>
                            <a:off x="844423" y="2506393"/>
                            <a:ext cx="55578" cy="55578"/>
                          </a:xfrm>
                          <a:custGeom>
                            <a:avLst/>
                            <a:gdLst/>
                            <a:ahLst/>
                            <a:cxnLst/>
                            <a:rect l="0" t="0" r="0" b="0"/>
                            <a:pathLst>
                              <a:path w="55578" h="55578">
                                <a:moveTo>
                                  <a:pt x="0" y="0"/>
                                </a:moveTo>
                                <a:lnTo>
                                  <a:pt x="55578" y="0"/>
                                </a:lnTo>
                                <a:lnTo>
                                  <a:pt x="55578" y="55578"/>
                                </a:lnTo>
                                <a:lnTo>
                                  <a:pt x="0" y="55578"/>
                                </a:lnTo>
                                <a:lnTo>
                                  <a:pt x="0" y="0"/>
                                </a:lnTo>
                              </a:path>
                            </a:pathLst>
                          </a:custGeom>
                          <a:solidFill>
                            <a:srgbClr val="2E75B6"/>
                          </a:solidFill>
                          <a:ln w="0" cap="flat">
                            <a:noFill/>
                            <a:round/>
                          </a:ln>
                          <a:effectLst/>
                        </wps:spPr>
                        <wps:bodyPr/>
                      </wps:wsp>
                      <wps:wsp>
                        <wps:cNvPr id="3937" name="Rectangle 3937"/>
                        <wps:cNvSpPr/>
                        <wps:spPr>
                          <a:xfrm>
                            <a:off x="923798" y="2491768"/>
                            <a:ext cx="375905" cy="132355"/>
                          </a:xfrm>
                          <a:prstGeom prst="rect">
                            <a:avLst/>
                          </a:prstGeom>
                          <a:ln>
                            <a:noFill/>
                          </a:ln>
                        </wps:spPr>
                        <wps:txbx>
                          <w:txbxContent>
                            <w:p w14:paraId="164D6820"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 xml:space="preserve">Град </w:t>
                              </w:r>
                            </w:p>
                          </w:txbxContent>
                        </wps:txbx>
                        <wps:bodyPr horzOverflow="overflow" vert="horz" lIns="0" tIns="0" rIns="0" bIns="0" rtlCol="0">
                          <a:noAutofit/>
                        </wps:bodyPr>
                      </wps:wsp>
                      <wps:wsp>
                        <wps:cNvPr id="3938" name="Rectangle 3938"/>
                        <wps:cNvSpPr/>
                        <wps:spPr>
                          <a:xfrm>
                            <a:off x="1204214" y="2491768"/>
                            <a:ext cx="61655" cy="132355"/>
                          </a:xfrm>
                          <a:prstGeom prst="rect">
                            <a:avLst/>
                          </a:prstGeom>
                          <a:ln>
                            <a:noFill/>
                          </a:ln>
                        </wps:spPr>
                        <wps:txbx>
                          <w:txbxContent>
                            <w:p w14:paraId="4C5E24E4"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wps:txbx>
                        <wps:bodyPr horzOverflow="overflow" vert="horz" lIns="0" tIns="0" rIns="0" bIns="0" rtlCol="0">
                          <a:noAutofit/>
                        </wps:bodyPr>
                      </wps:wsp>
                      <wps:wsp>
                        <wps:cNvPr id="3939" name="Rectangle 3939"/>
                        <wps:cNvSpPr/>
                        <wps:spPr>
                          <a:xfrm>
                            <a:off x="1286510" y="2491768"/>
                            <a:ext cx="321312" cy="132355"/>
                          </a:xfrm>
                          <a:prstGeom prst="rect">
                            <a:avLst/>
                          </a:prstGeom>
                          <a:ln>
                            <a:noFill/>
                          </a:ln>
                        </wps:spPr>
                        <wps:txbx>
                          <w:txbxContent>
                            <w:p w14:paraId="46A7BCEF"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село</w:t>
                              </w:r>
                            </w:p>
                          </w:txbxContent>
                        </wps:txbx>
                        <wps:bodyPr horzOverflow="overflow" vert="horz" lIns="0" tIns="0" rIns="0" bIns="0" rtlCol="0">
                          <a:noAutofit/>
                        </wps:bodyPr>
                      </wps:wsp>
                      <wps:wsp>
                        <wps:cNvPr id="33516" name="Shape 33516"/>
                        <wps:cNvSpPr/>
                        <wps:spPr>
                          <a:xfrm>
                            <a:off x="1692910" y="2506393"/>
                            <a:ext cx="55578" cy="55578"/>
                          </a:xfrm>
                          <a:custGeom>
                            <a:avLst/>
                            <a:gdLst/>
                            <a:ahLst/>
                            <a:cxnLst/>
                            <a:rect l="0" t="0" r="0" b="0"/>
                            <a:pathLst>
                              <a:path w="55578" h="55578">
                                <a:moveTo>
                                  <a:pt x="0" y="0"/>
                                </a:moveTo>
                                <a:lnTo>
                                  <a:pt x="55578" y="0"/>
                                </a:lnTo>
                                <a:lnTo>
                                  <a:pt x="55578" y="55578"/>
                                </a:lnTo>
                                <a:lnTo>
                                  <a:pt x="0" y="55578"/>
                                </a:lnTo>
                                <a:lnTo>
                                  <a:pt x="0" y="0"/>
                                </a:lnTo>
                              </a:path>
                            </a:pathLst>
                          </a:custGeom>
                          <a:solidFill>
                            <a:srgbClr val="ADB9CA"/>
                          </a:solidFill>
                          <a:ln w="0" cap="flat">
                            <a:noFill/>
                            <a:round/>
                          </a:ln>
                          <a:effectLst/>
                        </wps:spPr>
                        <wps:bodyPr/>
                      </wps:wsp>
                      <wps:wsp>
                        <wps:cNvPr id="3941" name="Rectangle 3941"/>
                        <wps:cNvSpPr/>
                        <wps:spPr>
                          <a:xfrm>
                            <a:off x="1772285" y="2491768"/>
                            <a:ext cx="391929" cy="132355"/>
                          </a:xfrm>
                          <a:prstGeom prst="rect">
                            <a:avLst/>
                          </a:prstGeom>
                          <a:ln>
                            <a:noFill/>
                          </a:ln>
                        </wps:spPr>
                        <wps:txbx>
                          <w:txbxContent>
                            <w:p w14:paraId="47E7F0EE"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 xml:space="preserve">Село </w:t>
                              </w:r>
                            </w:p>
                          </w:txbxContent>
                        </wps:txbx>
                        <wps:bodyPr horzOverflow="overflow" vert="horz" lIns="0" tIns="0" rIns="0" bIns="0" rtlCol="0">
                          <a:noAutofit/>
                        </wps:bodyPr>
                      </wps:wsp>
                      <wps:wsp>
                        <wps:cNvPr id="3942" name="Rectangle 3942"/>
                        <wps:cNvSpPr/>
                        <wps:spPr>
                          <a:xfrm>
                            <a:off x="2064893" y="2491768"/>
                            <a:ext cx="61655" cy="132355"/>
                          </a:xfrm>
                          <a:prstGeom prst="rect">
                            <a:avLst/>
                          </a:prstGeom>
                          <a:ln>
                            <a:noFill/>
                          </a:ln>
                        </wps:spPr>
                        <wps:txbx>
                          <w:txbxContent>
                            <w:p w14:paraId="71DDB128"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wps:txbx>
                        <wps:bodyPr horzOverflow="overflow" vert="horz" lIns="0" tIns="0" rIns="0" bIns="0" rtlCol="0">
                          <a:noAutofit/>
                        </wps:bodyPr>
                      </wps:wsp>
                      <wps:wsp>
                        <wps:cNvPr id="3943" name="Rectangle 3943"/>
                        <wps:cNvSpPr/>
                        <wps:spPr>
                          <a:xfrm>
                            <a:off x="2145665" y="2491768"/>
                            <a:ext cx="315336" cy="132355"/>
                          </a:xfrm>
                          <a:prstGeom prst="rect">
                            <a:avLst/>
                          </a:prstGeom>
                          <a:ln>
                            <a:noFill/>
                          </a:ln>
                        </wps:spPr>
                        <wps:txbx>
                          <w:txbxContent>
                            <w:p w14:paraId="6440FFE3"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град</w:t>
                              </w:r>
                            </w:p>
                          </w:txbxContent>
                        </wps:txbx>
                        <wps:bodyPr horzOverflow="overflow" vert="horz" lIns="0" tIns="0" rIns="0" bIns="0" rtlCol="0">
                          <a:noAutofit/>
                        </wps:bodyPr>
                      </wps:wsp>
                      <wps:wsp>
                        <wps:cNvPr id="33517" name="Shape 33517"/>
                        <wps:cNvSpPr/>
                        <wps:spPr>
                          <a:xfrm>
                            <a:off x="2548509" y="2506393"/>
                            <a:ext cx="55578" cy="55578"/>
                          </a:xfrm>
                          <a:custGeom>
                            <a:avLst/>
                            <a:gdLst/>
                            <a:ahLst/>
                            <a:cxnLst/>
                            <a:rect l="0" t="0" r="0" b="0"/>
                            <a:pathLst>
                              <a:path w="55578" h="55578">
                                <a:moveTo>
                                  <a:pt x="0" y="0"/>
                                </a:moveTo>
                                <a:lnTo>
                                  <a:pt x="55578" y="0"/>
                                </a:lnTo>
                                <a:lnTo>
                                  <a:pt x="55578" y="55578"/>
                                </a:lnTo>
                                <a:lnTo>
                                  <a:pt x="0" y="55578"/>
                                </a:lnTo>
                                <a:lnTo>
                                  <a:pt x="0" y="0"/>
                                </a:lnTo>
                              </a:path>
                            </a:pathLst>
                          </a:custGeom>
                          <a:solidFill>
                            <a:srgbClr val="DEEBF7"/>
                          </a:solidFill>
                          <a:ln w="0" cap="flat">
                            <a:noFill/>
                            <a:round/>
                          </a:ln>
                          <a:effectLst/>
                        </wps:spPr>
                        <wps:bodyPr/>
                      </wps:wsp>
                      <wps:wsp>
                        <wps:cNvPr id="3945" name="Rectangle 3945"/>
                        <wps:cNvSpPr/>
                        <wps:spPr>
                          <a:xfrm>
                            <a:off x="2627884" y="2491768"/>
                            <a:ext cx="391929" cy="132355"/>
                          </a:xfrm>
                          <a:prstGeom prst="rect">
                            <a:avLst/>
                          </a:prstGeom>
                          <a:ln>
                            <a:noFill/>
                          </a:ln>
                        </wps:spPr>
                        <wps:txbx>
                          <w:txbxContent>
                            <w:p w14:paraId="676F1BB3"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 xml:space="preserve">Село </w:t>
                              </w:r>
                            </w:p>
                          </w:txbxContent>
                        </wps:txbx>
                        <wps:bodyPr horzOverflow="overflow" vert="horz" lIns="0" tIns="0" rIns="0" bIns="0" rtlCol="0">
                          <a:noAutofit/>
                        </wps:bodyPr>
                      </wps:wsp>
                      <wps:wsp>
                        <wps:cNvPr id="3946" name="Rectangle 3946"/>
                        <wps:cNvSpPr/>
                        <wps:spPr>
                          <a:xfrm>
                            <a:off x="2920746" y="2491768"/>
                            <a:ext cx="61655" cy="132355"/>
                          </a:xfrm>
                          <a:prstGeom prst="rect">
                            <a:avLst/>
                          </a:prstGeom>
                          <a:ln>
                            <a:noFill/>
                          </a:ln>
                        </wps:spPr>
                        <wps:txbx>
                          <w:txbxContent>
                            <w:p w14:paraId="4219397B"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wps:txbx>
                        <wps:bodyPr horzOverflow="overflow" vert="horz" lIns="0" tIns="0" rIns="0" bIns="0" rtlCol="0">
                          <a:noAutofit/>
                        </wps:bodyPr>
                      </wps:wsp>
                      <wps:wsp>
                        <wps:cNvPr id="3947" name="Rectangle 3947"/>
                        <wps:cNvSpPr/>
                        <wps:spPr>
                          <a:xfrm>
                            <a:off x="3001518" y="2491768"/>
                            <a:ext cx="321312" cy="132355"/>
                          </a:xfrm>
                          <a:prstGeom prst="rect">
                            <a:avLst/>
                          </a:prstGeom>
                          <a:ln>
                            <a:noFill/>
                          </a:ln>
                        </wps:spPr>
                        <wps:txbx>
                          <w:txbxContent>
                            <w:p w14:paraId="239B4BAD" w14:textId="77777777" w:rsidR="00B302CF" w:rsidRPr="00487C33" w:rsidRDefault="00B302CF" w:rsidP="00D64326">
                              <w:pPr>
                                <w:rPr>
                                  <w:rFonts w:ascii="Times New Roman" w:hAnsi="Times New Roman" w:cs="Times New Roman"/>
                                </w:rPr>
                              </w:pPr>
                              <w:r w:rsidRPr="00487C33">
                                <w:rPr>
                                  <w:rFonts w:ascii="Times New Roman" w:hAnsi="Times New Roman" w:cs="Times New Roman"/>
                                  <w:sz w:val="16"/>
                                </w:rPr>
                                <w:t>село</w:t>
                              </w:r>
                            </w:p>
                          </w:txbxContent>
                        </wps:txbx>
                        <wps:bodyPr horzOverflow="overflow" vert="horz" lIns="0" tIns="0" rIns="0" bIns="0" rtlCol="0">
                          <a:noAutofit/>
                        </wps:bodyPr>
                      </wps:wsp>
                    </wpg:wgp>
                  </a:graphicData>
                </a:graphic>
              </wp:inline>
            </w:drawing>
          </mc:Choice>
          <mc:Fallback>
            <w:pict>
              <v:group w14:anchorId="7D09EEF2" id="Group 25345" o:spid="_x0000_s1219" style="width:261.65pt;height:201.7pt;mso-position-horizontal-relative:char;mso-position-vertical-relative:line" coordsize="33228,26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">
                <v:shape id="Shape 3921" o:spid="_x0000_s1220" style="position:absolute;left:16261;width:11333;height:21055;visibility:visible;mso-wrap-style:square;v-text-anchor:top" coordsize="1133348,2105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" path="m,c625983,,1133348,507365,1133348,1133221v,398399,-209169,767588,-550926,972312l,1133221,,xe" fillcolor="#222a35" stroked="f" strokeweight="0">
                  <v:path arrowok="t" textboxrect="0,0,1133348,2105533"/>
                </v:shape>
                <v:shape id="Shape 3922" o:spid="_x0000_s1221" style="position:absolute;left:7446;top:11332;width:14639;height:12625;visibility:visible;mso-wrap-style:square;v-text-anchor:top" coordsize="1463929,126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" path="m881507,r582422,972312c979297,1262507,354965,1151636,,712216l881507,xe" fillcolor="#2e75b6" stroked="f" strokeweight="0">
                  <v:path arrowok="t" textboxrect="0,0,1463929,1262507"/>
                </v:shape>
                <v:shape id="Shape 3923" o:spid="_x0000_s1222" style="position:absolute;left:3512;top:2032;width:12749;height:16422;visibility:visible;mso-wrap-style:square;v-text-anchor:top" coordsize="1274826,164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" path="m627253,r647573,930021l393319,1642237c,1155319,75819,441833,562737,48514,583692,31496,605155,15367,627253,xe" fillcolor="#adb9ca" stroked="f" strokeweight="0">
                  <v:path arrowok="t" textboxrect="0,0,1274826,1642237"/>
                </v:shape>
                <v:shape id="Shape 3924" o:spid="_x0000_s1223" style="position:absolute;left:9785;width:6476;height:11332;visibility:visible;mso-wrap-style:square;v-text-anchor:top" coordsize="647573,113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" path="m647573,r,1133221l,203200c190119,70865,416052,,647573,xe" fillcolor="#deebf7" stroked="f" strokeweight="0">
                  <v:path arrowok="t" textboxrect="0,0,647573,1133221"/>
                </v:shape>
                <v:rect id="Rectangle 25135" o:spid="_x0000_s1224" style="position:absolute;left:28577;top:8809;width:309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41.4</w:t>
                        </w:r>
                      </w:p>
                    </w:txbxContent>
                  </v:textbox>
                </v:rect>
                <v:rect id="Rectangle 25136" o:spid="_x0000_s1225" style="position:absolute;left:30906;top:8809;width:1461;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v:textbox>
                </v:rect>
                <v:rect id="Rectangle 25139" o:spid="_x0000_s1226" style="position:absolute;left:8399;top:22302;width:309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22.8</w:t>
                        </w:r>
                      </w:p>
                    </w:txbxContent>
                  </v:textbox>
                </v:rect>
                <v:rect id="Rectangle 25140" o:spid="_x0000_s1227" style="position:absolute;left:10728;top:22302;width:1462;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v:textbox>
                </v:rect>
                <v:rect id="Rectangle 25137" o:spid="_x0000_s1228" style="position:absolute;left:190;top:11210;width:309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26.1</w:t>
                        </w:r>
                      </w:p>
                    </w:txbxContent>
                  </v:textbox>
                </v:rect>
                <v:rect id="Rectangle 25138" o:spid="_x0000_s1229" style="position:absolute;left:2519;top:11210;width:1461;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v:textbox>
                </v:rect>
                <v:shape id="Shape 33514" o:spid="_x0000_s1230" style="position:absolute;top:25063;width:555;height:556;visibility:visible;mso-wrap-style:square;v-text-anchor:top" coordsize="55578,5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" path="m,l55578,r,55578l,55578,,e" fillcolor="#222a35" stroked="f" strokeweight="0">
                  <v:path arrowok="t" textboxrect="0,0,55578,55578"/>
                </v:shape>
                <v:rect id="Rectangle 3933" o:spid="_x0000_s1231" style="position:absolute;left:791;top:24917;width:3759;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 xml:space="preserve">Град </w:t>
                        </w:r>
                      </w:p>
                    </w:txbxContent>
                  </v:textbox>
                </v:rect>
                <v:rect id="Rectangle 3934" o:spid="_x0000_s1232" style="position:absolute;left:3595;top:24917;width:616;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v:textbox>
                </v:rect>
                <v:rect id="Rectangle 3935" o:spid="_x0000_s1233" style="position:absolute;left:4418;top:24917;width:3153;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град</w:t>
                        </w:r>
                      </w:p>
                    </w:txbxContent>
                  </v:textbox>
                </v:rect>
                <v:shape id="Shape 33515" o:spid="_x0000_s1234" style="position:absolute;left:8444;top:25063;width:556;height:556;visibility:visible;mso-wrap-style:square;v-text-anchor:top" coordsize="55578,5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" path="m,l55578,r,55578l,55578,,e" fillcolor="#2e75b6" stroked="f" strokeweight="0">
                  <v:path arrowok="t" textboxrect="0,0,55578,55578"/>
                </v:shape>
                <v:rect id="Rectangle 3937" o:spid="_x0000_s1235" style="position:absolute;left:9237;top:24917;width:37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 xml:space="preserve">Град </w:t>
                        </w:r>
                      </w:p>
                    </w:txbxContent>
                  </v:textbox>
                </v:rect>
                <v:rect id="Rectangle 3938" o:spid="_x0000_s1236" style="position:absolute;left:12042;top:24917;width:616;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v:textbox>
                </v:rect>
                <v:rect id="Rectangle 3939" o:spid="_x0000_s1237" style="position:absolute;left:12865;top:24917;width:3213;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село</w:t>
                        </w:r>
                      </w:p>
                    </w:txbxContent>
                  </v:textbox>
                </v:rect>
                <v:shape id="Shape 33516" o:spid="_x0000_s1238" style="position:absolute;left:16929;top:25063;width:555;height:556;visibility:visible;mso-wrap-style:square;v-text-anchor:top" coordsize="55578,5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" path="m,l55578,r,55578l,55578,,e" fillcolor="#adb9ca" stroked="f" strokeweight="0">
                  <v:path arrowok="t" textboxrect="0,0,55578,55578"/>
                </v:shape>
                <v:rect id="Rectangle 3941" o:spid="_x0000_s1239" style="position:absolute;left:17722;top:24917;width:392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 xml:space="preserve">Село </w:t>
                        </w:r>
                      </w:p>
                    </w:txbxContent>
                  </v:textbox>
                </v:rect>
                <v:rect id="Rectangle 3942" o:spid="_x0000_s1240" style="position:absolute;left:20648;top:24917;width:617;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v:textbox>
                </v:rect>
                <v:rect id="Rectangle 3943" o:spid="_x0000_s1241" style="position:absolute;left:21456;top:24917;width:3154;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град</w:t>
                        </w:r>
                      </w:p>
                    </w:txbxContent>
                  </v:textbox>
                </v:rect>
                <v:shape id="Shape 33517" o:spid="_x0000_s1242" style="position:absolute;left:25485;top:25063;width:555;height:556;visibility:visible;mso-wrap-style:square;v-text-anchor:top" coordsize="55578,5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" path="m,l55578,r,55578l,55578,,e" fillcolor="#deebf7" stroked="f" strokeweight="0">
                  <v:path arrowok="t" textboxrect="0,0,55578,55578"/>
                </v:shape>
                <v:rect id="Rectangle 3945" o:spid="_x0000_s1243" style="position:absolute;left:26278;top:24917;width:392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 xml:space="preserve">Село </w:t>
                        </w:r>
                      </w:p>
                    </w:txbxContent>
                  </v:textbox>
                </v:rect>
                <v:rect id="Rectangle 3946" o:spid="_x0000_s1244" style="position:absolute;left:29207;top:24917;width:617;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w:t>
                        </w:r>
                      </w:p>
                    </w:txbxContent>
                  </v:textbox>
                </v:rect>
                <v:rect id="Rectangle 3947" o:spid="_x0000_s1245" style="position:absolute;left:30015;top:24917;width:3213;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" filled="f" stroked="f">
                  <v:textbox inset="0,0,0,0">
                    <w:txbxContent>
                      <w:p w:rsidR="00B302CF" w:rsidRPr="00487C33" w:rsidRDefault="00B302CF" w:rsidP="00D64326">
                        <w:pPr>
                          <w:rPr>
                            <w:rFonts w:ascii="Times New Roman" w:hAnsi="Times New Roman" w:cs="Times New Roman"/>
                          </w:rPr>
                        </w:pPr>
                        <w:r w:rsidRPr="00487C33">
                          <w:rPr>
                            <w:rFonts w:ascii="Times New Roman" w:hAnsi="Times New Roman" w:cs="Times New Roman"/>
                            <w:sz w:val="16"/>
                          </w:rPr>
                          <w:t>село</w:t>
                        </w:r>
                      </w:p>
                    </w:txbxContent>
                  </v:textbox>
                </v:rect>
                <w10:anchorlock/>
              </v:group>
            </w:pict>
          </mc:Fallback>
        </mc:AlternateContent>
      </w:r>
    </w:p>
    <w:p w14:paraId="744A9A27" w14:textId="77777777" w:rsidR="00B721B9" w:rsidRDefault="00B721B9" w:rsidP="00A97432">
      <w:pPr>
        <w:spacing w:after="0" w:line="240" w:lineRule="auto"/>
        <w:jc w:val="both"/>
        <w:rPr>
          <w:rFonts w:ascii="Times New Roman" w:eastAsia="Times New Roman" w:hAnsi="Times New Roman" w:cs="Times New Roman"/>
          <w:color w:val="333333"/>
          <w:sz w:val="24"/>
          <w:szCs w:val="24"/>
        </w:rPr>
      </w:pPr>
    </w:p>
    <w:p w14:paraId="6D08CA25" w14:textId="77777777" w:rsidR="00F17C4E" w:rsidRDefault="00720B00" w:rsidP="00D64326">
      <w:pPr>
        <w:spacing w:after="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ab/>
      </w:r>
    </w:p>
    <w:p w14:paraId="053FD093" w14:textId="77777777" w:rsidR="00720B00" w:rsidRPr="00B04F6F" w:rsidRDefault="00D64326" w:rsidP="00F17C4E">
      <w:pPr>
        <w:spacing w:after="0" w:line="240" w:lineRule="auto"/>
        <w:ind w:firstLine="709"/>
        <w:jc w:val="both"/>
        <w:rPr>
          <w:rFonts w:ascii="Times New Roman" w:eastAsia="Times New Roman" w:hAnsi="Times New Roman" w:cs="Times New Roman"/>
          <w:b/>
          <w:sz w:val="24"/>
          <w:szCs w:val="24"/>
        </w:rPr>
      </w:pPr>
      <w:r w:rsidRPr="00B04F6F">
        <w:rPr>
          <w:rFonts w:ascii="Times New Roman" w:eastAsia="Times New Roman" w:hAnsi="Times New Roman" w:cs="Times New Roman"/>
          <w:b/>
          <w:sz w:val="24"/>
          <w:szCs w:val="24"/>
        </w:rPr>
        <w:t xml:space="preserve">Външна миграция </w:t>
      </w:r>
    </w:p>
    <w:p w14:paraId="7C3156DD" w14:textId="77777777" w:rsidR="00F17C4E" w:rsidRDefault="00720B00" w:rsidP="00D64326">
      <w:pPr>
        <w:spacing w:after="0" w:line="240" w:lineRule="auto"/>
        <w:jc w:val="both"/>
        <w:rPr>
          <w:rFonts w:ascii="Times New Roman" w:eastAsia="Times New Roman" w:hAnsi="Times New Roman" w:cs="Times New Roman"/>
          <w:b/>
          <w:sz w:val="24"/>
          <w:szCs w:val="24"/>
        </w:rPr>
      </w:pPr>
      <w:r w:rsidRPr="00B04F6F">
        <w:rPr>
          <w:rFonts w:ascii="Times New Roman" w:eastAsia="Times New Roman" w:hAnsi="Times New Roman" w:cs="Times New Roman"/>
          <w:b/>
          <w:sz w:val="24"/>
          <w:szCs w:val="24"/>
        </w:rPr>
        <w:tab/>
      </w:r>
    </w:p>
    <w:p w14:paraId="0BDE56B9" w14:textId="77777777" w:rsidR="00D64326" w:rsidRPr="00B04F6F" w:rsidRDefault="00D64326" w:rsidP="00F17C4E">
      <w:pPr>
        <w:spacing w:after="0" w:line="240" w:lineRule="auto"/>
        <w:ind w:firstLine="709"/>
        <w:jc w:val="both"/>
        <w:rPr>
          <w:rFonts w:ascii="Times New Roman" w:eastAsia="Times New Roman" w:hAnsi="Times New Roman" w:cs="Times New Roman"/>
          <w:sz w:val="24"/>
          <w:szCs w:val="24"/>
        </w:rPr>
      </w:pPr>
      <w:r w:rsidRPr="00B04F6F">
        <w:rPr>
          <w:rFonts w:ascii="Times New Roman" w:eastAsia="Times New Roman" w:hAnsi="Times New Roman" w:cs="Times New Roman"/>
          <w:b/>
          <w:sz w:val="24"/>
          <w:szCs w:val="24"/>
        </w:rPr>
        <w:t xml:space="preserve">През 2024 г. 13 002 души са променили своя настоящ адрес от страната в чужбина, </w:t>
      </w:r>
      <w:r w:rsidRPr="00B04F6F">
        <w:rPr>
          <w:rFonts w:ascii="Times New Roman" w:eastAsia="Times New Roman" w:hAnsi="Times New Roman" w:cs="Times New Roman"/>
          <w:sz w:val="24"/>
          <w:szCs w:val="24"/>
        </w:rPr>
        <w:t>като 55.1% от тях са м</w:t>
      </w:r>
      <w:r w:rsidR="00720B00" w:rsidRPr="00B04F6F">
        <w:rPr>
          <w:rFonts w:ascii="Times New Roman" w:eastAsia="Times New Roman" w:hAnsi="Times New Roman" w:cs="Times New Roman"/>
          <w:sz w:val="24"/>
          <w:szCs w:val="24"/>
        </w:rPr>
        <w:t>ъже. Емигрантите на възраст 0</w:t>
      </w:r>
      <w:r w:rsidR="00142BE4">
        <w:rPr>
          <w:rFonts w:ascii="Times New Roman" w:eastAsia="Times New Roman" w:hAnsi="Times New Roman" w:cs="Times New Roman"/>
          <w:sz w:val="24"/>
          <w:szCs w:val="24"/>
          <w:lang w:val="en-US"/>
        </w:rPr>
        <w:t xml:space="preserve"> </w:t>
      </w:r>
      <w:r w:rsidR="00142BE4" w:rsidRPr="00142BE4">
        <w:rPr>
          <w:rFonts w:ascii="Times New Roman" w:eastAsia="Times New Roman" w:hAnsi="Times New Roman" w:cs="Times New Roman"/>
          <w:sz w:val="24"/>
          <w:szCs w:val="24"/>
        </w:rPr>
        <w:t xml:space="preserve">– </w:t>
      </w:r>
      <w:r w:rsidRPr="00B04F6F">
        <w:rPr>
          <w:rFonts w:ascii="Times New Roman" w:eastAsia="Times New Roman" w:hAnsi="Times New Roman" w:cs="Times New Roman"/>
          <w:sz w:val="24"/>
          <w:szCs w:val="24"/>
        </w:rPr>
        <w:t>14 г</w:t>
      </w:r>
      <w:r w:rsidR="00720B00" w:rsidRPr="00B04F6F">
        <w:rPr>
          <w:rFonts w:ascii="Times New Roman" w:eastAsia="Times New Roman" w:hAnsi="Times New Roman" w:cs="Times New Roman"/>
          <w:sz w:val="24"/>
          <w:szCs w:val="24"/>
        </w:rPr>
        <w:t>. са 7.7%, тези на възраст 15</w:t>
      </w:r>
      <w:r w:rsidR="00142BE4">
        <w:rPr>
          <w:rFonts w:ascii="Times New Roman" w:eastAsia="Times New Roman" w:hAnsi="Times New Roman" w:cs="Times New Roman"/>
          <w:sz w:val="24"/>
          <w:szCs w:val="24"/>
          <w:lang w:val="en-US"/>
        </w:rPr>
        <w:t xml:space="preserve"> </w:t>
      </w:r>
      <w:r w:rsidR="00142BE4" w:rsidRPr="00142BE4">
        <w:rPr>
          <w:rFonts w:ascii="Times New Roman" w:eastAsia="Times New Roman" w:hAnsi="Times New Roman" w:cs="Times New Roman"/>
          <w:sz w:val="24"/>
          <w:szCs w:val="24"/>
        </w:rPr>
        <w:t xml:space="preserve">– </w:t>
      </w:r>
      <w:r w:rsidRPr="00B04F6F">
        <w:rPr>
          <w:rFonts w:ascii="Times New Roman" w:eastAsia="Times New Roman" w:hAnsi="Times New Roman" w:cs="Times New Roman"/>
          <w:sz w:val="24"/>
          <w:szCs w:val="24"/>
        </w:rPr>
        <w:t>64 години са 82.7%, а н</w:t>
      </w:r>
      <w:r w:rsidR="00720B00" w:rsidRPr="00B04F6F">
        <w:rPr>
          <w:rFonts w:ascii="Times New Roman" w:eastAsia="Times New Roman" w:hAnsi="Times New Roman" w:cs="Times New Roman"/>
          <w:sz w:val="24"/>
          <w:szCs w:val="24"/>
        </w:rPr>
        <w:t>а 65 и повече навършени години –</w:t>
      </w:r>
      <w:r w:rsidRPr="00B04F6F">
        <w:rPr>
          <w:rFonts w:ascii="Times New Roman" w:eastAsia="Times New Roman" w:hAnsi="Times New Roman" w:cs="Times New Roman"/>
          <w:sz w:val="24"/>
          <w:szCs w:val="24"/>
        </w:rPr>
        <w:t xml:space="preserve"> 9.6% от всички емигранти. Най-предпочитани от емигрантите дестинации са Германия (16.9%), Обединеното кралство (13.9%) и Франция (8.9%). </w:t>
      </w:r>
    </w:p>
    <w:p w14:paraId="6BB1A330" w14:textId="77777777" w:rsidR="00D64326" w:rsidRPr="00B04F6F" w:rsidRDefault="00720B00" w:rsidP="00D64326">
      <w:pPr>
        <w:spacing w:after="0" w:line="240" w:lineRule="auto"/>
        <w:jc w:val="both"/>
        <w:rPr>
          <w:rFonts w:ascii="Times New Roman" w:eastAsia="Times New Roman" w:hAnsi="Times New Roman" w:cs="Times New Roman"/>
          <w:sz w:val="24"/>
          <w:szCs w:val="24"/>
        </w:rPr>
      </w:pPr>
      <w:r w:rsidRPr="00B04F6F">
        <w:rPr>
          <w:rFonts w:ascii="Times New Roman" w:eastAsia="Times New Roman" w:hAnsi="Times New Roman" w:cs="Times New Roman"/>
          <w:sz w:val="24"/>
          <w:szCs w:val="24"/>
        </w:rPr>
        <w:tab/>
      </w:r>
      <w:r w:rsidR="00D64326" w:rsidRPr="00B04F6F">
        <w:rPr>
          <w:rFonts w:ascii="Times New Roman" w:eastAsia="Times New Roman" w:hAnsi="Times New Roman" w:cs="Times New Roman"/>
          <w:sz w:val="24"/>
          <w:szCs w:val="24"/>
        </w:rPr>
        <w:t xml:space="preserve">Лицата, които са сменили местоживеенето си от чужбина в България, или </w:t>
      </w:r>
      <w:r w:rsidR="00D64326" w:rsidRPr="00B04F6F">
        <w:rPr>
          <w:rFonts w:ascii="Times New Roman" w:eastAsia="Times New Roman" w:hAnsi="Times New Roman" w:cs="Times New Roman"/>
          <w:b/>
          <w:sz w:val="24"/>
          <w:szCs w:val="24"/>
        </w:rPr>
        <w:t>потокът на имигрантите, включва</w:t>
      </w:r>
      <w:r w:rsidR="00D64326" w:rsidRPr="00B04F6F">
        <w:rPr>
          <w:rFonts w:ascii="Times New Roman" w:eastAsia="Times New Roman" w:hAnsi="Times New Roman" w:cs="Times New Roman"/>
          <w:sz w:val="24"/>
          <w:szCs w:val="24"/>
        </w:rPr>
        <w:t xml:space="preserve"> български граждани, завърнали се в страната, както и граждани на други държави, получили разрешение или статут за пребиваване в страната. </w:t>
      </w:r>
      <w:r w:rsidR="00D64326" w:rsidRPr="00B04F6F">
        <w:rPr>
          <w:rFonts w:ascii="Times New Roman" w:eastAsia="Times New Roman" w:hAnsi="Times New Roman" w:cs="Times New Roman"/>
          <w:b/>
          <w:sz w:val="24"/>
          <w:szCs w:val="24"/>
        </w:rPr>
        <w:t xml:space="preserve">През 2024 г. 52 189 лица са променили своето обичайно местоживеене от чужбина в България, </w:t>
      </w:r>
      <w:r w:rsidR="00D64326" w:rsidRPr="00B04F6F">
        <w:rPr>
          <w:rFonts w:ascii="Times New Roman" w:eastAsia="Times New Roman" w:hAnsi="Times New Roman" w:cs="Times New Roman"/>
          <w:sz w:val="24"/>
          <w:szCs w:val="24"/>
        </w:rPr>
        <w:t xml:space="preserve">от тях 51.5% са граждани на страни извън Европейския съюз, 34.9% имат българско гражданство, а 13.6% са граждани на държави от ЕС. Относителният дял </w:t>
      </w:r>
      <w:r w:rsidRPr="00B04F6F">
        <w:rPr>
          <w:rFonts w:ascii="Times New Roman" w:eastAsia="Times New Roman" w:hAnsi="Times New Roman" w:cs="Times New Roman"/>
          <w:sz w:val="24"/>
          <w:szCs w:val="24"/>
        </w:rPr>
        <w:t>на мъжете е 55.9%, а на жените –</w:t>
      </w:r>
      <w:r w:rsidR="00D64326" w:rsidRPr="00B04F6F">
        <w:rPr>
          <w:rFonts w:ascii="Times New Roman" w:eastAsia="Times New Roman" w:hAnsi="Times New Roman" w:cs="Times New Roman"/>
          <w:sz w:val="24"/>
          <w:szCs w:val="24"/>
        </w:rPr>
        <w:t xml:space="preserve"> 44.1%. Сред дошлите да живеят в страната 16.0</w:t>
      </w:r>
      <w:r w:rsidRPr="00B04F6F">
        <w:rPr>
          <w:rFonts w:ascii="Times New Roman" w:eastAsia="Times New Roman" w:hAnsi="Times New Roman" w:cs="Times New Roman"/>
          <w:sz w:val="24"/>
          <w:szCs w:val="24"/>
        </w:rPr>
        <w:t>% са във възрастовата група 0-</w:t>
      </w:r>
      <w:r w:rsidR="00D64326" w:rsidRPr="00B04F6F">
        <w:rPr>
          <w:rFonts w:ascii="Times New Roman" w:eastAsia="Times New Roman" w:hAnsi="Times New Roman" w:cs="Times New Roman"/>
          <w:sz w:val="24"/>
          <w:szCs w:val="24"/>
        </w:rPr>
        <w:t>14</w:t>
      </w:r>
      <w:r w:rsidRPr="00B04F6F">
        <w:rPr>
          <w:rFonts w:ascii="Times New Roman" w:eastAsia="Times New Roman" w:hAnsi="Times New Roman" w:cs="Times New Roman"/>
          <w:sz w:val="24"/>
          <w:szCs w:val="24"/>
        </w:rPr>
        <w:t xml:space="preserve"> години, 72.9% са на възраст 15</w:t>
      </w:r>
      <w:r w:rsidR="00142BE4">
        <w:rPr>
          <w:rFonts w:ascii="Times New Roman" w:eastAsia="Times New Roman" w:hAnsi="Times New Roman" w:cs="Times New Roman"/>
          <w:sz w:val="24"/>
          <w:szCs w:val="24"/>
          <w:lang w:val="en-US"/>
        </w:rPr>
        <w:t xml:space="preserve"> </w:t>
      </w:r>
      <w:r w:rsidR="00142BE4" w:rsidRPr="00142BE4">
        <w:rPr>
          <w:rFonts w:ascii="Times New Roman" w:eastAsia="Times New Roman" w:hAnsi="Times New Roman" w:cs="Times New Roman"/>
          <w:sz w:val="24"/>
          <w:szCs w:val="24"/>
        </w:rPr>
        <w:t>–</w:t>
      </w:r>
      <w:r w:rsidR="00142BE4">
        <w:rPr>
          <w:rFonts w:ascii="Times New Roman" w:eastAsia="Times New Roman" w:hAnsi="Times New Roman" w:cs="Times New Roman"/>
          <w:sz w:val="24"/>
          <w:szCs w:val="24"/>
          <w:lang w:val="en-US"/>
        </w:rPr>
        <w:t xml:space="preserve"> </w:t>
      </w:r>
      <w:r w:rsidR="00D64326" w:rsidRPr="00B04F6F">
        <w:rPr>
          <w:rFonts w:ascii="Times New Roman" w:eastAsia="Times New Roman" w:hAnsi="Times New Roman" w:cs="Times New Roman"/>
          <w:sz w:val="24"/>
          <w:szCs w:val="24"/>
        </w:rPr>
        <w:t xml:space="preserve">64 години, а на 65 и повече навършени години са 11.1% от имигрантите. Най-висок е делът на имигрантите от Турция (21.8%), Украйна (16.6%) и Сирия (10.5%). </w:t>
      </w:r>
    </w:p>
    <w:p w14:paraId="18CE5A2E" w14:textId="77777777" w:rsidR="00D64326" w:rsidRPr="00B04F6F" w:rsidRDefault="00D64326" w:rsidP="00D64326">
      <w:pPr>
        <w:spacing w:after="0" w:line="240" w:lineRule="auto"/>
        <w:jc w:val="both"/>
        <w:rPr>
          <w:rFonts w:ascii="Times New Roman" w:eastAsia="Times New Roman" w:hAnsi="Times New Roman" w:cs="Times New Roman"/>
          <w:sz w:val="24"/>
          <w:szCs w:val="24"/>
        </w:rPr>
      </w:pPr>
    </w:p>
    <w:p w14:paraId="3F66665C" w14:textId="77777777" w:rsidR="00720B00" w:rsidRPr="00B04F6F" w:rsidRDefault="00720B00" w:rsidP="00D64326">
      <w:pPr>
        <w:spacing w:after="0" w:line="240" w:lineRule="auto"/>
        <w:jc w:val="both"/>
        <w:rPr>
          <w:rFonts w:ascii="Times New Roman" w:eastAsia="Times New Roman" w:hAnsi="Times New Roman" w:cs="Times New Roman"/>
          <w:b/>
          <w:sz w:val="24"/>
          <w:szCs w:val="24"/>
        </w:rPr>
      </w:pPr>
      <w:r w:rsidRPr="00B04F6F">
        <w:rPr>
          <w:rFonts w:ascii="Times New Roman" w:eastAsia="Times New Roman" w:hAnsi="Times New Roman" w:cs="Times New Roman"/>
          <w:b/>
          <w:sz w:val="24"/>
          <w:szCs w:val="24"/>
        </w:rPr>
        <w:tab/>
      </w:r>
      <w:r w:rsidR="00D64326" w:rsidRPr="00B04F6F">
        <w:rPr>
          <w:rFonts w:ascii="Times New Roman" w:eastAsia="Times New Roman" w:hAnsi="Times New Roman" w:cs="Times New Roman"/>
          <w:b/>
          <w:sz w:val="24"/>
          <w:szCs w:val="24"/>
        </w:rPr>
        <w:t xml:space="preserve">Естествен и механичен прираст на населението </w:t>
      </w:r>
    </w:p>
    <w:p w14:paraId="5671B47B" w14:textId="77777777" w:rsidR="00597D68" w:rsidRPr="00B04F6F" w:rsidRDefault="00720B00" w:rsidP="00A97432">
      <w:pPr>
        <w:spacing w:after="0" w:line="240" w:lineRule="auto"/>
        <w:jc w:val="both"/>
        <w:rPr>
          <w:rFonts w:ascii="Times New Roman" w:eastAsia="Times New Roman" w:hAnsi="Times New Roman" w:cs="Times New Roman"/>
          <w:sz w:val="24"/>
          <w:szCs w:val="24"/>
        </w:rPr>
      </w:pPr>
      <w:r w:rsidRPr="00B04F6F">
        <w:rPr>
          <w:rFonts w:ascii="Times New Roman" w:eastAsia="Times New Roman" w:hAnsi="Times New Roman" w:cs="Times New Roman"/>
          <w:sz w:val="24"/>
          <w:szCs w:val="24"/>
        </w:rPr>
        <w:tab/>
      </w:r>
      <w:r w:rsidR="00D64326" w:rsidRPr="00B04F6F">
        <w:rPr>
          <w:rFonts w:ascii="Times New Roman" w:eastAsia="Times New Roman" w:hAnsi="Times New Roman" w:cs="Times New Roman"/>
          <w:sz w:val="24"/>
          <w:szCs w:val="24"/>
        </w:rPr>
        <w:t xml:space="preserve">Броят и структурите на населението се определят от размерите и интензивността на неговото естествено и механично (миграционно) движение. Разликата между </w:t>
      </w:r>
      <w:proofErr w:type="spellStart"/>
      <w:r w:rsidR="00D64326" w:rsidRPr="00B04F6F">
        <w:rPr>
          <w:rFonts w:ascii="Times New Roman" w:eastAsia="Times New Roman" w:hAnsi="Times New Roman" w:cs="Times New Roman"/>
          <w:sz w:val="24"/>
          <w:szCs w:val="24"/>
        </w:rPr>
        <w:t>живородените</w:t>
      </w:r>
      <w:proofErr w:type="spellEnd"/>
      <w:r w:rsidR="00D64326" w:rsidRPr="00B04F6F">
        <w:rPr>
          <w:rFonts w:ascii="Times New Roman" w:eastAsia="Times New Roman" w:hAnsi="Times New Roman" w:cs="Times New Roman"/>
          <w:sz w:val="24"/>
          <w:szCs w:val="24"/>
        </w:rPr>
        <w:t xml:space="preserve"> и умрелите представлява </w:t>
      </w:r>
      <w:r w:rsidR="00D64326" w:rsidRPr="00B04F6F">
        <w:rPr>
          <w:rFonts w:ascii="Times New Roman" w:eastAsia="Times New Roman" w:hAnsi="Times New Roman" w:cs="Times New Roman"/>
          <w:b/>
          <w:sz w:val="24"/>
          <w:szCs w:val="24"/>
        </w:rPr>
        <w:t>естественият прираст на населението</w:t>
      </w:r>
      <w:r w:rsidR="00D64326" w:rsidRPr="00B04F6F">
        <w:rPr>
          <w:rFonts w:ascii="Times New Roman" w:eastAsia="Times New Roman" w:hAnsi="Times New Roman" w:cs="Times New Roman"/>
          <w:sz w:val="24"/>
          <w:szCs w:val="24"/>
        </w:rPr>
        <w:t xml:space="preserve">. След 1990 г. демографското развитие на страната се характеризира с отрицателен естествен прираст на населението. </w:t>
      </w:r>
      <w:r w:rsidR="00D64326" w:rsidRPr="00B04F6F">
        <w:rPr>
          <w:rFonts w:ascii="Times New Roman" w:eastAsia="Times New Roman" w:hAnsi="Times New Roman" w:cs="Times New Roman"/>
          <w:b/>
          <w:sz w:val="24"/>
          <w:szCs w:val="24"/>
        </w:rPr>
        <w:t>През 2024 г. в резултат на отрицателния естествен прираст населението на страната е намаляло с 47 308 души.</w:t>
      </w:r>
      <w:r w:rsidR="00D64326" w:rsidRPr="00B04F6F">
        <w:rPr>
          <w:rFonts w:ascii="Times New Roman" w:eastAsia="Times New Roman" w:hAnsi="Times New Roman" w:cs="Times New Roman"/>
          <w:sz w:val="24"/>
          <w:szCs w:val="24"/>
        </w:rPr>
        <w:t xml:space="preserve">  Намалението на населението, измерено чрез </w:t>
      </w:r>
      <w:r w:rsidR="00D64326" w:rsidRPr="00B04F6F">
        <w:rPr>
          <w:rFonts w:ascii="Times New Roman" w:eastAsia="Times New Roman" w:hAnsi="Times New Roman" w:cs="Times New Roman"/>
          <w:b/>
          <w:sz w:val="24"/>
          <w:szCs w:val="24"/>
        </w:rPr>
        <w:t>коефициента на естествения прираст, е минус 7.3‰</w:t>
      </w:r>
      <w:r w:rsidR="00D64326" w:rsidRPr="00B04F6F">
        <w:rPr>
          <w:rFonts w:ascii="Times New Roman" w:eastAsia="Times New Roman" w:hAnsi="Times New Roman" w:cs="Times New Roman"/>
          <w:b/>
          <w:sz w:val="24"/>
          <w:szCs w:val="24"/>
          <w:vertAlign w:val="superscript"/>
        </w:rPr>
        <w:footnoteReference w:id="4"/>
      </w:r>
      <w:r w:rsidR="00D64326" w:rsidRPr="00B04F6F">
        <w:rPr>
          <w:rFonts w:ascii="Times New Roman" w:eastAsia="Times New Roman" w:hAnsi="Times New Roman" w:cs="Times New Roman"/>
          <w:b/>
          <w:sz w:val="24"/>
          <w:szCs w:val="24"/>
        </w:rPr>
        <w:t xml:space="preserve">. </w:t>
      </w:r>
      <w:r w:rsidR="00D64326" w:rsidRPr="00B04F6F">
        <w:rPr>
          <w:rFonts w:ascii="Times New Roman" w:eastAsia="Times New Roman" w:hAnsi="Times New Roman" w:cs="Times New Roman"/>
          <w:sz w:val="24"/>
          <w:szCs w:val="24"/>
        </w:rPr>
        <w:t xml:space="preserve">Коефициентът на естествения прираст в градовете е минус </w:t>
      </w:r>
      <w:r w:rsidRPr="00B04F6F">
        <w:rPr>
          <w:rFonts w:ascii="Times New Roman" w:eastAsia="Times New Roman" w:hAnsi="Times New Roman" w:cs="Times New Roman"/>
          <w:sz w:val="24"/>
          <w:szCs w:val="24"/>
        </w:rPr>
        <w:t>5.5‰, а в селата –</w:t>
      </w:r>
      <w:r w:rsidR="00D64326" w:rsidRPr="00B04F6F">
        <w:rPr>
          <w:rFonts w:ascii="Times New Roman" w:eastAsia="Times New Roman" w:hAnsi="Times New Roman" w:cs="Times New Roman"/>
          <w:sz w:val="24"/>
          <w:szCs w:val="24"/>
        </w:rPr>
        <w:t xml:space="preserve"> минус 12.5‰.  </w:t>
      </w:r>
    </w:p>
    <w:p w14:paraId="6325C373" w14:textId="77777777" w:rsidR="00F17C4E" w:rsidRDefault="00F17C4E" w:rsidP="00D64326">
      <w:pPr>
        <w:spacing w:after="0" w:line="240" w:lineRule="auto"/>
        <w:jc w:val="both"/>
        <w:rPr>
          <w:rFonts w:ascii="Times New Roman" w:eastAsia="Times New Roman" w:hAnsi="Times New Roman" w:cs="Times New Roman"/>
          <w:b/>
          <w:bCs/>
          <w:sz w:val="24"/>
          <w:szCs w:val="24"/>
        </w:rPr>
      </w:pPr>
    </w:p>
    <w:p w14:paraId="3AC7FAC7" w14:textId="77777777" w:rsidR="00F17C4E" w:rsidRDefault="00F17C4E" w:rsidP="00D64326">
      <w:pPr>
        <w:spacing w:after="0" w:line="240" w:lineRule="auto"/>
        <w:jc w:val="both"/>
        <w:rPr>
          <w:rFonts w:ascii="Times New Roman" w:eastAsia="Times New Roman" w:hAnsi="Times New Roman" w:cs="Times New Roman"/>
          <w:b/>
          <w:bCs/>
          <w:sz w:val="24"/>
          <w:szCs w:val="24"/>
        </w:rPr>
      </w:pPr>
    </w:p>
    <w:p w14:paraId="24EC82A1" w14:textId="77777777" w:rsidR="00597D68" w:rsidRPr="00B04F6F" w:rsidRDefault="00720B00" w:rsidP="00D64326">
      <w:pPr>
        <w:spacing w:after="0" w:line="240" w:lineRule="auto"/>
        <w:jc w:val="both"/>
        <w:rPr>
          <w:rFonts w:ascii="Times New Roman" w:eastAsia="Times New Roman" w:hAnsi="Times New Roman" w:cs="Times New Roman"/>
          <w:sz w:val="24"/>
          <w:szCs w:val="24"/>
        </w:rPr>
      </w:pPr>
      <w:r w:rsidRPr="00B04F6F">
        <w:rPr>
          <w:rFonts w:ascii="Times New Roman" w:eastAsia="Times New Roman" w:hAnsi="Times New Roman" w:cs="Times New Roman"/>
          <w:b/>
          <w:bCs/>
          <w:sz w:val="24"/>
          <w:szCs w:val="24"/>
        </w:rPr>
        <w:t xml:space="preserve">Фиг. </w:t>
      </w:r>
      <w:r w:rsidR="007B1081">
        <w:rPr>
          <w:rFonts w:ascii="Times New Roman" w:eastAsia="Times New Roman" w:hAnsi="Times New Roman" w:cs="Times New Roman"/>
          <w:b/>
          <w:bCs/>
          <w:sz w:val="24"/>
          <w:szCs w:val="24"/>
        </w:rPr>
        <w:t>5</w:t>
      </w:r>
      <w:r w:rsidR="00D64326" w:rsidRPr="00B04F6F">
        <w:rPr>
          <w:rFonts w:ascii="Times New Roman" w:eastAsia="Times New Roman" w:hAnsi="Times New Roman" w:cs="Times New Roman"/>
          <w:b/>
          <w:bCs/>
          <w:sz w:val="24"/>
          <w:szCs w:val="24"/>
        </w:rPr>
        <w:t xml:space="preserve">. Естествен прираст на населението през 2024 г. по области </w:t>
      </w:r>
      <w:r w:rsidR="00697E55" w:rsidRPr="00B04F6F">
        <w:rPr>
          <w:rFonts w:ascii="Times New Roman" w:eastAsia="Times New Roman" w:hAnsi="Times New Roman" w:cs="Times New Roman"/>
          <w:b/>
          <w:bCs/>
          <w:sz w:val="24"/>
          <w:szCs w:val="24"/>
        </w:rPr>
        <w:t>(н</w:t>
      </w:r>
      <w:r w:rsidR="00D64326" w:rsidRPr="00B04F6F">
        <w:rPr>
          <w:rFonts w:ascii="Times New Roman" w:eastAsia="Times New Roman" w:hAnsi="Times New Roman" w:cs="Times New Roman"/>
          <w:b/>
          <w:bCs/>
          <w:sz w:val="24"/>
          <w:szCs w:val="24"/>
        </w:rPr>
        <w:t>а 1 000 души)</w:t>
      </w:r>
    </w:p>
    <w:p w14:paraId="205C2844" w14:textId="77777777" w:rsidR="00597D68" w:rsidRDefault="00597D68" w:rsidP="00A97432">
      <w:pPr>
        <w:spacing w:after="0" w:line="240" w:lineRule="auto"/>
        <w:jc w:val="both"/>
        <w:rPr>
          <w:rFonts w:ascii="Times New Roman" w:eastAsia="Times New Roman" w:hAnsi="Times New Roman" w:cs="Times New Roman"/>
          <w:color w:val="333333"/>
          <w:sz w:val="24"/>
          <w:szCs w:val="24"/>
        </w:rPr>
      </w:pPr>
    </w:p>
    <w:p w14:paraId="0A818103" w14:textId="77777777" w:rsidR="00597D68" w:rsidRDefault="00D64326" w:rsidP="00A97432">
      <w:pPr>
        <w:spacing w:after="0" w:line="240" w:lineRule="auto"/>
        <w:jc w:val="both"/>
        <w:rPr>
          <w:rFonts w:ascii="Times New Roman" w:eastAsia="Times New Roman" w:hAnsi="Times New Roman" w:cs="Times New Roman"/>
          <w:color w:val="333333"/>
          <w:sz w:val="24"/>
          <w:szCs w:val="24"/>
        </w:rPr>
      </w:pPr>
      <w:r>
        <w:rPr>
          <w:noProof/>
          <w:lang w:eastAsia="bg-BG"/>
        </w:rPr>
        <w:drawing>
          <wp:inline distT="0" distB="0" distL="0" distR="0" wp14:anchorId="683187BD" wp14:editId="4F3155B2">
            <wp:extent cx="5760720" cy="4063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063365"/>
                    </a:xfrm>
                    <a:prstGeom prst="rect">
                      <a:avLst/>
                    </a:prstGeom>
                  </pic:spPr>
                </pic:pic>
              </a:graphicData>
            </a:graphic>
          </wp:inline>
        </w:drawing>
      </w:r>
    </w:p>
    <w:p w14:paraId="253F0E6F" w14:textId="77777777" w:rsidR="00597D68" w:rsidRDefault="00597D68" w:rsidP="00A97432">
      <w:pPr>
        <w:spacing w:after="0" w:line="240" w:lineRule="auto"/>
        <w:jc w:val="both"/>
        <w:rPr>
          <w:rFonts w:ascii="Times New Roman" w:eastAsia="Times New Roman" w:hAnsi="Times New Roman" w:cs="Times New Roman"/>
          <w:color w:val="333333"/>
          <w:sz w:val="24"/>
          <w:szCs w:val="24"/>
        </w:rPr>
      </w:pPr>
    </w:p>
    <w:p w14:paraId="7F197098" w14:textId="77777777" w:rsidR="00597D68" w:rsidRDefault="00597D68" w:rsidP="00A97432">
      <w:pPr>
        <w:spacing w:after="0" w:line="240" w:lineRule="auto"/>
        <w:jc w:val="both"/>
        <w:rPr>
          <w:rFonts w:ascii="Times New Roman" w:eastAsia="Times New Roman" w:hAnsi="Times New Roman" w:cs="Times New Roman"/>
          <w:color w:val="333333"/>
          <w:sz w:val="24"/>
          <w:szCs w:val="24"/>
        </w:rPr>
      </w:pPr>
    </w:p>
    <w:p w14:paraId="0E0160DF" w14:textId="77777777" w:rsidR="00C07009" w:rsidRPr="00C07009" w:rsidRDefault="00C07009" w:rsidP="00C0700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07009">
        <w:rPr>
          <w:rFonts w:ascii="Times New Roman" w:eastAsia="Times New Roman" w:hAnsi="Times New Roman" w:cs="Times New Roman"/>
          <w:sz w:val="24"/>
          <w:szCs w:val="24"/>
        </w:rPr>
        <w:t xml:space="preserve">Съществено влияние върху броя и структурите на населението в страната оказва и </w:t>
      </w:r>
      <w:r w:rsidRPr="00C07009">
        <w:rPr>
          <w:rFonts w:ascii="Times New Roman" w:eastAsia="Times New Roman" w:hAnsi="Times New Roman" w:cs="Times New Roman"/>
          <w:b/>
          <w:sz w:val="24"/>
          <w:szCs w:val="24"/>
        </w:rPr>
        <w:t>механичният прираст</w:t>
      </w:r>
      <w:r w:rsidRPr="00C07009">
        <w:rPr>
          <w:rFonts w:ascii="Times New Roman" w:eastAsia="Times New Roman" w:hAnsi="Times New Roman" w:cs="Times New Roman"/>
          <w:sz w:val="24"/>
          <w:szCs w:val="24"/>
        </w:rPr>
        <w:t xml:space="preserve"> (нетното салдо от външната миграция), който </w:t>
      </w:r>
      <w:r w:rsidRPr="00C07009">
        <w:rPr>
          <w:rFonts w:ascii="Times New Roman" w:eastAsia="Times New Roman" w:hAnsi="Times New Roman" w:cs="Times New Roman"/>
          <w:b/>
          <w:sz w:val="24"/>
          <w:szCs w:val="24"/>
        </w:rPr>
        <w:t>през 2024 г.</w:t>
      </w:r>
      <w:r w:rsidRPr="00C07009">
        <w:rPr>
          <w:rFonts w:ascii="Times New Roman" w:eastAsia="Times New Roman" w:hAnsi="Times New Roman" w:cs="Times New Roman"/>
          <w:sz w:val="24"/>
          <w:szCs w:val="24"/>
        </w:rPr>
        <w:t xml:space="preserve"> е положителен - плюс 39 187 души. Той се формира като разлика между броя на заселилите се и изселилите се от страната. </w:t>
      </w:r>
    </w:p>
    <w:p w14:paraId="65EE02FB" w14:textId="77777777" w:rsidR="00C07009" w:rsidRPr="00C07009" w:rsidRDefault="00C07009" w:rsidP="00C0700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07009">
        <w:rPr>
          <w:rFonts w:ascii="Times New Roman" w:eastAsia="Times New Roman" w:hAnsi="Times New Roman" w:cs="Times New Roman"/>
          <w:sz w:val="24"/>
          <w:szCs w:val="24"/>
        </w:rPr>
        <w:t xml:space="preserve">Изменението на населението в резултат на външната миграция, измерено чрез </w:t>
      </w:r>
      <w:r w:rsidRPr="00C07009">
        <w:rPr>
          <w:rFonts w:ascii="Times New Roman" w:eastAsia="Times New Roman" w:hAnsi="Times New Roman" w:cs="Times New Roman"/>
          <w:b/>
          <w:sz w:val="24"/>
          <w:szCs w:val="24"/>
        </w:rPr>
        <w:t xml:space="preserve">коефициента на нетна миграция, </w:t>
      </w:r>
      <w:r w:rsidRPr="00C07009">
        <w:rPr>
          <w:rFonts w:ascii="Times New Roman" w:eastAsia="Times New Roman" w:hAnsi="Times New Roman" w:cs="Times New Roman"/>
          <w:sz w:val="24"/>
          <w:szCs w:val="24"/>
        </w:rPr>
        <w:t xml:space="preserve">е </w:t>
      </w:r>
      <w:r w:rsidRPr="00C07009">
        <w:rPr>
          <w:rFonts w:ascii="Times New Roman" w:eastAsia="Times New Roman" w:hAnsi="Times New Roman" w:cs="Times New Roman"/>
          <w:sz w:val="24"/>
          <w:szCs w:val="24"/>
          <w:lang w:val="en-US"/>
        </w:rPr>
        <w:t>+</w:t>
      </w:r>
      <w:r w:rsidRPr="00C07009">
        <w:rPr>
          <w:rFonts w:ascii="Times New Roman" w:eastAsia="Times New Roman" w:hAnsi="Times New Roman" w:cs="Times New Roman"/>
          <w:sz w:val="24"/>
          <w:szCs w:val="24"/>
          <w:lang w:val="ru-RU"/>
        </w:rPr>
        <w:t>6</w:t>
      </w:r>
      <w:r w:rsidRPr="00C07009">
        <w:rPr>
          <w:rFonts w:ascii="Times New Roman" w:eastAsia="Times New Roman" w:hAnsi="Times New Roman" w:cs="Times New Roman"/>
          <w:sz w:val="24"/>
          <w:szCs w:val="24"/>
        </w:rPr>
        <w:t>.</w:t>
      </w:r>
      <w:r w:rsidRPr="00C07009">
        <w:rPr>
          <w:rFonts w:ascii="Times New Roman" w:eastAsia="Times New Roman" w:hAnsi="Times New Roman" w:cs="Times New Roman"/>
          <w:sz w:val="24"/>
          <w:szCs w:val="24"/>
          <w:lang w:val="ru-RU"/>
        </w:rPr>
        <w:t>0</w:t>
      </w:r>
      <w:r w:rsidRPr="00C07009">
        <w:rPr>
          <w:rFonts w:ascii="Times New Roman" w:eastAsia="Times New Roman" w:hAnsi="Times New Roman" w:cs="Times New Roman"/>
          <w:sz w:val="24"/>
          <w:szCs w:val="24"/>
        </w:rPr>
        <w:t>‰</w:t>
      </w:r>
      <w:r w:rsidRPr="00C07009">
        <w:rPr>
          <w:rFonts w:ascii="Times New Roman" w:eastAsia="Times New Roman" w:hAnsi="Times New Roman" w:cs="Times New Roman"/>
          <w:sz w:val="24"/>
          <w:szCs w:val="24"/>
          <w:vertAlign w:val="superscript"/>
          <w:lang w:val="en-GB" w:eastAsia="bg-BG"/>
        </w:rPr>
        <w:footnoteReference w:id="5"/>
      </w:r>
      <w:r w:rsidRPr="00C07009">
        <w:rPr>
          <w:rFonts w:ascii="Times New Roman" w:eastAsia="Times New Roman" w:hAnsi="Times New Roman" w:cs="Times New Roman"/>
          <w:sz w:val="24"/>
          <w:szCs w:val="24"/>
        </w:rPr>
        <w:t xml:space="preserve">. </w:t>
      </w:r>
    </w:p>
    <w:p w14:paraId="76F54B52" w14:textId="77777777" w:rsidR="00597D68" w:rsidRPr="00A50D20" w:rsidRDefault="00C07009" w:rsidP="00A50D20">
      <w:pPr>
        <w:spacing w:after="0" w:line="240" w:lineRule="auto"/>
        <w:jc w:val="both"/>
        <w:rPr>
          <w:rFonts w:ascii="Times New Roman" w:eastAsia="Times New Roman" w:hAnsi="Times New Roman" w:cs="Times New Roman"/>
          <w:sz w:val="24"/>
          <w:szCs w:val="24"/>
        </w:rPr>
      </w:pPr>
      <w:r w:rsidRPr="00C07009">
        <w:rPr>
          <w:rFonts w:ascii="Times New Roman" w:eastAsia="Times New Roman" w:hAnsi="Times New Roman" w:cs="Times New Roman"/>
          <w:sz w:val="24"/>
          <w:szCs w:val="24"/>
        </w:rPr>
        <w:t>През 20</w:t>
      </w:r>
      <w:r w:rsidRPr="00C07009">
        <w:rPr>
          <w:rFonts w:ascii="Times New Roman" w:eastAsia="Times New Roman" w:hAnsi="Times New Roman" w:cs="Times New Roman"/>
          <w:sz w:val="24"/>
          <w:szCs w:val="24"/>
          <w:lang w:val="ru-RU"/>
        </w:rPr>
        <w:t>24</w:t>
      </w:r>
      <w:r w:rsidRPr="00C07009">
        <w:rPr>
          <w:rFonts w:ascii="Times New Roman" w:eastAsia="Times New Roman" w:hAnsi="Times New Roman" w:cs="Times New Roman"/>
          <w:sz w:val="24"/>
          <w:szCs w:val="24"/>
        </w:rPr>
        <w:t xml:space="preserve"> г.</w:t>
      </w:r>
      <w:r w:rsidRPr="00C07009">
        <w:rPr>
          <w:rFonts w:ascii="Times New Roman" w:eastAsia="Times New Roman" w:hAnsi="Times New Roman" w:cs="Times New Roman"/>
          <w:color w:val="FF0000"/>
          <w:sz w:val="24"/>
          <w:szCs w:val="24"/>
        </w:rPr>
        <w:t xml:space="preserve"> </w:t>
      </w:r>
      <w:r w:rsidRPr="00C07009">
        <w:rPr>
          <w:rFonts w:ascii="Times New Roman" w:eastAsia="Times New Roman" w:hAnsi="Times New Roman" w:cs="Times New Roman"/>
          <w:sz w:val="24"/>
          <w:szCs w:val="24"/>
        </w:rPr>
        <w:t>н</w:t>
      </w:r>
      <w:r w:rsidRPr="00C07009">
        <w:rPr>
          <w:rFonts w:ascii="Times New Roman" w:eastAsia="Μοντέρνα" w:hAnsi="Times New Roman" w:cs="Times New Roman"/>
          <w:sz w:val="24"/>
          <w:szCs w:val="24"/>
        </w:rPr>
        <w:t>ай-голям механичен прираст има в областите</w:t>
      </w:r>
      <w:r w:rsidRPr="00C07009">
        <w:rPr>
          <w:rFonts w:ascii="Times New Roman" w:eastAsia="Μοντέρνα" w:hAnsi="Times New Roman" w:cs="Times New Roman"/>
          <w:color w:val="FF0000"/>
          <w:sz w:val="24"/>
          <w:szCs w:val="24"/>
        </w:rPr>
        <w:t xml:space="preserve"> </w:t>
      </w:r>
      <w:r w:rsidRPr="00C07009">
        <w:rPr>
          <w:rFonts w:ascii="Times New Roman" w:eastAsia="Times New Roman" w:hAnsi="Times New Roman" w:cs="Times New Roman"/>
          <w:sz w:val="24"/>
          <w:szCs w:val="24"/>
        </w:rPr>
        <w:t>Кърджали</w:t>
      </w:r>
      <w:r w:rsidRPr="00C07009">
        <w:rPr>
          <w:rFonts w:ascii="Times New Roman" w:eastAsia="Times New Roman" w:hAnsi="Times New Roman" w:cs="Times New Roman"/>
          <w:sz w:val="24"/>
          <w:szCs w:val="24"/>
          <w:lang w:val="ru-RU"/>
        </w:rPr>
        <w:t xml:space="preserve"> </w:t>
      </w:r>
      <w:r w:rsidRPr="00C07009">
        <w:rPr>
          <w:rFonts w:ascii="Times New Roman" w:eastAsia="Times New Roman" w:hAnsi="Times New Roman" w:cs="Times New Roman"/>
          <w:sz w:val="24"/>
          <w:szCs w:val="24"/>
        </w:rPr>
        <w:t>(28.6‰)</w:t>
      </w:r>
      <w:r w:rsidRPr="00C07009">
        <w:rPr>
          <w:rFonts w:ascii="Times New Roman" w:eastAsia="Times New Roman" w:hAnsi="Times New Roman" w:cs="Times New Roman"/>
          <w:sz w:val="24"/>
          <w:szCs w:val="24"/>
          <w:lang w:val="ru-RU"/>
        </w:rPr>
        <w:t>,</w:t>
      </w:r>
      <w:r w:rsidRPr="00C07009">
        <w:rPr>
          <w:rFonts w:ascii="Times New Roman" w:eastAsia="Times New Roman" w:hAnsi="Times New Roman" w:cs="Times New Roman"/>
          <w:sz w:val="24"/>
          <w:szCs w:val="24"/>
        </w:rPr>
        <w:t xml:space="preserve"> Бургас </w:t>
      </w:r>
      <w:r w:rsidRPr="00C07009">
        <w:rPr>
          <w:rFonts w:ascii="Times New Roman" w:eastAsia="Times New Roman" w:hAnsi="Times New Roman" w:cs="Times New Roman"/>
          <w:sz w:val="24"/>
          <w:szCs w:val="24"/>
          <w:lang w:val="ru-RU"/>
        </w:rPr>
        <w:t>(</w:t>
      </w:r>
      <w:r w:rsidRPr="00C07009">
        <w:rPr>
          <w:rFonts w:ascii="Times New Roman" w:eastAsia="Times New Roman" w:hAnsi="Times New Roman" w:cs="Times New Roman"/>
          <w:sz w:val="24"/>
          <w:szCs w:val="24"/>
        </w:rPr>
        <w:t>17.0‰</w:t>
      </w:r>
      <w:r w:rsidRPr="00C07009">
        <w:rPr>
          <w:rFonts w:ascii="Times New Roman" w:eastAsia="Times New Roman" w:hAnsi="Times New Roman" w:cs="Times New Roman"/>
          <w:sz w:val="24"/>
          <w:szCs w:val="24"/>
          <w:lang w:val="ru-RU"/>
        </w:rPr>
        <w:t>)</w:t>
      </w:r>
      <w:r w:rsidRPr="00C07009">
        <w:rPr>
          <w:rFonts w:ascii="Times New Roman" w:eastAsia="Times New Roman" w:hAnsi="Times New Roman" w:cs="Times New Roman"/>
          <w:sz w:val="24"/>
          <w:szCs w:val="24"/>
        </w:rPr>
        <w:t xml:space="preserve"> и Варна (12.9‰). С най-голямо намаление на населението в резултат на отрицателния механичен прираст са областите</w:t>
      </w:r>
      <w:r w:rsidR="00A50D20" w:rsidRPr="00A50D20">
        <w:t xml:space="preserve"> </w:t>
      </w:r>
      <w:r w:rsidR="00A50D20">
        <w:rPr>
          <w:rFonts w:ascii="Times New Roman" w:eastAsia="Times New Roman" w:hAnsi="Times New Roman" w:cs="Times New Roman"/>
          <w:sz w:val="24"/>
          <w:szCs w:val="24"/>
        </w:rPr>
        <w:t xml:space="preserve">Смолян (-5.0‰) и Монтана </w:t>
      </w:r>
      <w:r w:rsidR="00A50D20" w:rsidRPr="00A50D20">
        <w:rPr>
          <w:rFonts w:ascii="Times New Roman" w:eastAsia="Times New Roman" w:hAnsi="Times New Roman" w:cs="Times New Roman"/>
          <w:sz w:val="24"/>
          <w:szCs w:val="24"/>
        </w:rPr>
        <w:t>(-1.9‰)</w:t>
      </w:r>
      <w:r w:rsidR="00A50D20">
        <w:rPr>
          <w:rFonts w:ascii="Times New Roman" w:eastAsia="Times New Roman" w:hAnsi="Times New Roman" w:cs="Times New Roman"/>
          <w:sz w:val="24"/>
          <w:szCs w:val="24"/>
        </w:rPr>
        <w:t>.</w:t>
      </w:r>
    </w:p>
    <w:p w14:paraId="3B577775" w14:textId="77777777" w:rsidR="00597D68" w:rsidRDefault="00597D68" w:rsidP="00A97432">
      <w:pPr>
        <w:spacing w:after="0" w:line="240" w:lineRule="auto"/>
        <w:jc w:val="both"/>
        <w:rPr>
          <w:rFonts w:ascii="Times New Roman" w:eastAsia="Times New Roman" w:hAnsi="Times New Roman" w:cs="Times New Roman"/>
          <w:color w:val="333333"/>
          <w:sz w:val="24"/>
          <w:szCs w:val="24"/>
        </w:rPr>
      </w:pPr>
    </w:p>
    <w:p w14:paraId="258EA849" w14:textId="77777777" w:rsidR="004C3939" w:rsidRPr="004C3939" w:rsidRDefault="004C3939" w:rsidP="004C3939">
      <w:pPr>
        <w:tabs>
          <w:tab w:val="left" w:pos="3123"/>
        </w:tabs>
        <w:spacing w:after="0" w:line="240" w:lineRule="auto"/>
        <w:ind w:firstLine="567"/>
        <w:jc w:val="both"/>
        <w:rPr>
          <w:rFonts w:ascii="Times New Roman" w:eastAsia="Μοντέρνα" w:hAnsi="Times New Roman" w:cs="Times New Roman"/>
          <w:sz w:val="24"/>
          <w:szCs w:val="24"/>
          <w:lang w:eastAsia="bg-BG"/>
        </w:rPr>
      </w:pPr>
      <w:r w:rsidRPr="004C3939">
        <w:rPr>
          <w:rFonts w:ascii="Times New Roman" w:eastAsia="Calibri" w:hAnsi="Times New Roman" w:cs="Times New Roman"/>
          <w:b/>
          <w:sz w:val="24"/>
          <w:szCs w:val="24"/>
        </w:rPr>
        <w:t>Очакваната средна продължителност на предстоящия живот</w:t>
      </w:r>
      <w:r w:rsidRPr="004C3939">
        <w:rPr>
          <w:rFonts w:ascii="Times New Roman" w:eastAsia="Calibri" w:hAnsi="Times New Roman" w:cs="Times New Roman"/>
          <w:b/>
          <w:sz w:val="24"/>
          <w:szCs w:val="24"/>
          <w:vertAlign w:val="superscript"/>
        </w:rPr>
        <w:footnoteReference w:id="6"/>
      </w:r>
      <w:r w:rsidRPr="004C3939">
        <w:rPr>
          <w:rFonts w:ascii="Times New Roman" w:eastAsia="Calibri" w:hAnsi="Times New Roman" w:cs="Times New Roman"/>
          <w:b/>
          <w:sz w:val="24"/>
          <w:szCs w:val="24"/>
        </w:rPr>
        <w:t xml:space="preserve"> </w:t>
      </w:r>
      <w:r w:rsidRPr="004C3939">
        <w:rPr>
          <w:rFonts w:ascii="Times New Roman" w:eastAsia="Μοντέρνα" w:hAnsi="Times New Roman" w:cs="Times New Roman"/>
          <w:sz w:val="24"/>
          <w:szCs w:val="24"/>
          <w:lang w:eastAsia="bg-BG"/>
        </w:rPr>
        <w:t xml:space="preserve">общо за населението на страната, изчислена </w:t>
      </w:r>
      <w:r w:rsidRPr="004C3939">
        <w:rPr>
          <w:rFonts w:ascii="Times New Roman" w:eastAsia="Μοντέρνα" w:hAnsi="Times New Roman" w:cs="Times New Roman"/>
          <w:b/>
          <w:sz w:val="24"/>
          <w:szCs w:val="24"/>
          <w:lang w:eastAsia="bg-BG"/>
        </w:rPr>
        <w:t>за периода 202</w:t>
      </w:r>
      <w:r w:rsidRPr="004C3939">
        <w:rPr>
          <w:rFonts w:ascii="Times New Roman" w:eastAsia="Μοντέρνα" w:hAnsi="Times New Roman" w:cs="Times New Roman"/>
          <w:b/>
          <w:sz w:val="24"/>
          <w:szCs w:val="24"/>
          <w:lang w:val="en-US" w:eastAsia="bg-BG"/>
        </w:rPr>
        <w:t>2</w:t>
      </w:r>
      <w:r w:rsidRPr="004C3939">
        <w:rPr>
          <w:rFonts w:ascii="Times New Roman" w:eastAsia="Μοντέρνα" w:hAnsi="Times New Roman" w:cs="Times New Roman"/>
          <w:b/>
          <w:sz w:val="24"/>
          <w:szCs w:val="24"/>
          <w:lang w:eastAsia="bg-BG"/>
        </w:rPr>
        <w:t xml:space="preserve"> - 202</w:t>
      </w:r>
      <w:r w:rsidRPr="004C3939">
        <w:rPr>
          <w:rFonts w:ascii="Times New Roman" w:eastAsia="Μοντέρνα" w:hAnsi="Times New Roman" w:cs="Times New Roman"/>
          <w:b/>
          <w:sz w:val="24"/>
          <w:szCs w:val="24"/>
          <w:lang w:val="en-US" w:eastAsia="bg-BG"/>
        </w:rPr>
        <w:t>4</w:t>
      </w:r>
      <w:r w:rsidRPr="004C3939">
        <w:rPr>
          <w:rFonts w:ascii="Times New Roman" w:eastAsia="Μοντέρνα" w:hAnsi="Times New Roman" w:cs="Times New Roman"/>
          <w:b/>
          <w:sz w:val="24"/>
          <w:szCs w:val="24"/>
          <w:lang w:eastAsia="bg-BG"/>
        </w:rPr>
        <w:t xml:space="preserve"> г., е 75.6 години</w:t>
      </w:r>
      <w:r w:rsidRPr="004C3939">
        <w:rPr>
          <w:rFonts w:ascii="Times New Roman" w:eastAsia="Μοντέρνα" w:hAnsi="Times New Roman" w:cs="Times New Roman"/>
          <w:sz w:val="24"/>
          <w:szCs w:val="24"/>
          <w:lang w:eastAsia="bg-BG"/>
        </w:rPr>
        <w:t>, като спрямо предходния период (202</w:t>
      </w:r>
      <w:r w:rsidRPr="004C3939">
        <w:rPr>
          <w:rFonts w:ascii="Times New Roman" w:eastAsia="Μοντέρνα" w:hAnsi="Times New Roman" w:cs="Times New Roman"/>
          <w:sz w:val="24"/>
          <w:szCs w:val="24"/>
          <w:lang w:val="en-US" w:eastAsia="bg-BG"/>
        </w:rPr>
        <w:t>1</w:t>
      </w:r>
      <w:r w:rsidRPr="004C3939">
        <w:rPr>
          <w:rFonts w:ascii="Times New Roman" w:eastAsia="Μοντέρνα" w:hAnsi="Times New Roman" w:cs="Times New Roman"/>
          <w:sz w:val="24"/>
          <w:szCs w:val="24"/>
          <w:lang w:eastAsia="bg-BG"/>
        </w:rPr>
        <w:t xml:space="preserve"> </w:t>
      </w:r>
      <w:r w:rsidR="00142BE4" w:rsidRPr="00142BE4">
        <w:rPr>
          <w:rFonts w:ascii="Times New Roman" w:eastAsia="Μοντέρνα" w:hAnsi="Times New Roman" w:cs="Times New Roman"/>
          <w:sz w:val="24"/>
          <w:szCs w:val="24"/>
          <w:lang w:eastAsia="bg-BG"/>
        </w:rPr>
        <w:t xml:space="preserve">– </w:t>
      </w:r>
      <w:r w:rsidRPr="004C3939">
        <w:rPr>
          <w:rFonts w:ascii="Times New Roman" w:eastAsia="Μοντέρνα" w:hAnsi="Times New Roman" w:cs="Times New Roman"/>
          <w:sz w:val="24"/>
          <w:szCs w:val="24"/>
          <w:lang w:eastAsia="bg-BG"/>
        </w:rPr>
        <w:t>202</w:t>
      </w:r>
      <w:r w:rsidRPr="004C3939">
        <w:rPr>
          <w:rFonts w:ascii="Times New Roman" w:eastAsia="Μοντέρνα" w:hAnsi="Times New Roman" w:cs="Times New Roman"/>
          <w:sz w:val="24"/>
          <w:szCs w:val="24"/>
          <w:lang w:val="en-US" w:eastAsia="bg-BG"/>
        </w:rPr>
        <w:t>3</w:t>
      </w:r>
      <w:r w:rsidRPr="004C3939">
        <w:rPr>
          <w:rFonts w:ascii="Times New Roman" w:eastAsia="Μοντέρνα" w:hAnsi="Times New Roman" w:cs="Times New Roman"/>
          <w:sz w:val="24"/>
          <w:szCs w:val="24"/>
          <w:lang w:eastAsia="bg-BG"/>
        </w:rPr>
        <w:t xml:space="preserve"> г.) се увеличава с 2.1 години.</w:t>
      </w:r>
    </w:p>
    <w:p w14:paraId="6CDAB7C2" w14:textId="77777777" w:rsidR="004C3939" w:rsidRPr="004C3939" w:rsidRDefault="004C3939" w:rsidP="004C3939">
      <w:pPr>
        <w:tabs>
          <w:tab w:val="left" w:pos="3123"/>
        </w:tabs>
        <w:spacing w:after="0" w:line="240" w:lineRule="auto"/>
        <w:ind w:firstLine="567"/>
        <w:jc w:val="both"/>
        <w:rPr>
          <w:rFonts w:ascii="Times New Roman" w:eastAsia="Μοντέρνα" w:hAnsi="Times New Roman" w:cs="Times New Roman"/>
          <w:sz w:val="24"/>
          <w:szCs w:val="24"/>
          <w:lang w:eastAsia="bg-BG"/>
        </w:rPr>
      </w:pPr>
      <w:r w:rsidRPr="004C3939">
        <w:rPr>
          <w:rFonts w:ascii="Times New Roman" w:eastAsia="Μοντέρνα" w:hAnsi="Times New Roman" w:cs="Times New Roman"/>
          <w:sz w:val="24"/>
          <w:szCs w:val="24"/>
          <w:lang w:eastAsia="bg-BG"/>
        </w:rPr>
        <w:t>Различната смъртност при мъжете и жените, както и сред населението в градовете и селата, определя и различната средна продължителност на живота при тези категории население.</w:t>
      </w:r>
    </w:p>
    <w:p w14:paraId="1DC87302" w14:textId="77777777" w:rsidR="004C3939" w:rsidRPr="004C3939" w:rsidRDefault="004C3939" w:rsidP="004C3939">
      <w:pPr>
        <w:tabs>
          <w:tab w:val="left" w:pos="3123"/>
        </w:tabs>
        <w:spacing w:after="0" w:line="240" w:lineRule="auto"/>
        <w:ind w:firstLine="567"/>
        <w:jc w:val="both"/>
        <w:rPr>
          <w:rFonts w:ascii="Times New Roman" w:eastAsia="Μοντέρνα" w:hAnsi="Times New Roman" w:cs="Times New Roman"/>
          <w:sz w:val="24"/>
          <w:szCs w:val="24"/>
          <w:lang w:eastAsia="bg-BG"/>
        </w:rPr>
      </w:pPr>
      <w:r w:rsidRPr="004C3939">
        <w:rPr>
          <w:rFonts w:ascii="Times New Roman" w:eastAsia="Μοντέρνα" w:hAnsi="Times New Roman" w:cs="Times New Roman"/>
          <w:sz w:val="24"/>
          <w:szCs w:val="24"/>
          <w:lang w:eastAsia="bg-BG"/>
        </w:rPr>
        <w:lastRenderedPageBreak/>
        <w:t xml:space="preserve">Средната продължителност на живота при мъжете е 71.9 години, докато при жените е със 7.4 години по-висока </w:t>
      </w:r>
      <w:r w:rsidR="00142BE4" w:rsidRPr="00142BE4">
        <w:rPr>
          <w:rFonts w:ascii="Times New Roman" w:eastAsia="Μοντέρνα" w:hAnsi="Times New Roman" w:cs="Times New Roman"/>
          <w:sz w:val="24"/>
          <w:szCs w:val="24"/>
          <w:lang w:eastAsia="bg-BG"/>
        </w:rPr>
        <w:t xml:space="preserve">– </w:t>
      </w:r>
      <w:r w:rsidRPr="004C3939">
        <w:rPr>
          <w:rFonts w:ascii="Times New Roman" w:eastAsia="Μοντέρνα" w:hAnsi="Times New Roman" w:cs="Times New Roman"/>
          <w:sz w:val="24"/>
          <w:szCs w:val="24"/>
          <w:lang w:eastAsia="bg-BG"/>
        </w:rPr>
        <w:t xml:space="preserve">79.3 години. </w:t>
      </w:r>
    </w:p>
    <w:p w14:paraId="2DF0CC00" w14:textId="77777777" w:rsidR="004C3939" w:rsidRPr="004C3939" w:rsidRDefault="004C3939" w:rsidP="004C3939">
      <w:pPr>
        <w:tabs>
          <w:tab w:val="left" w:pos="3123"/>
        </w:tabs>
        <w:spacing w:after="0" w:line="240" w:lineRule="auto"/>
        <w:ind w:firstLine="567"/>
        <w:jc w:val="both"/>
        <w:rPr>
          <w:rFonts w:ascii="Times New Roman" w:eastAsia="Μοντέρνα" w:hAnsi="Times New Roman" w:cs="Times New Roman"/>
          <w:sz w:val="24"/>
          <w:szCs w:val="24"/>
          <w:lang w:eastAsia="bg-BG"/>
        </w:rPr>
      </w:pPr>
      <w:r w:rsidRPr="004C3939">
        <w:rPr>
          <w:rFonts w:ascii="Times New Roman" w:eastAsia="Μοντέρνα" w:hAnsi="Times New Roman" w:cs="Times New Roman"/>
          <w:sz w:val="24"/>
          <w:szCs w:val="24"/>
          <w:lang w:eastAsia="bg-BG"/>
        </w:rPr>
        <w:t>В сравнение с 201</w:t>
      </w:r>
      <w:r w:rsidRPr="004C3939">
        <w:rPr>
          <w:rFonts w:ascii="Times New Roman" w:eastAsia="Μοντέρνα" w:hAnsi="Times New Roman" w:cs="Times New Roman"/>
          <w:sz w:val="24"/>
          <w:szCs w:val="24"/>
          <w:lang w:val="en-US" w:eastAsia="bg-BG"/>
        </w:rPr>
        <w:t>4</w:t>
      </w:r>
      <w:r w:rsidRPr="004C3939">
        <w:rPr>
          <w:rFonts w:ascii="Times New Roman" w:eastAsia="Μοντέρνα" w:hAnsi="Times New Roman" w:cs="Times New Roman"/>
          <w:sz w:val="24"/>
          <w:szCs w:val="24"/>
          <w:lang w:eastAsia="bg-BG"/>
        </w:rPr>
        <w:t xml:space="preserve"> г. през 202</w:t>
      </w:r>
      <w:r w:rsidRPr="004C3939">
        <w:rPr>
          <w:rFonts w:ascii="Times New Roman" w:eastAsia="Μοντέρνα" w:hAnsi="Times New Roman" w:cs="Times New Roman"/>
          <w:sz w:val="24"/>
          <w:szCs w:val="24"/>
          <w:lang w:val="en-US" w:eastAsia="bg-BG"/>
        </w:rPr>
        <w:t>4</w:t>
      </w:r>
      <w:r w:rsidRPr="004C3939">
        <w:rPr>
          <w:rFonts w:ascii="Times New Roman" w:eastAsia="Μοντέρνα" w:hAnsi="Times New Roman" w:cs="Times New Roman"/>
          <w:sz w:val="24"/>
          <w:szCs w:val="24"/>
          <w:lang w:eastAsia="bg-BG"/>
        </w:rPr>
        <w:t xml:space="preserve"> г. наблюдаваме увеличение на средната продължителност при мъжете </w:t>
      </w:r>
      <w:r w:rsidR="00142BE4" w:rsidRPr="00142BE4">
        <w:rPr>
          <w:rFonts w:ascii="Times New Roman" w:eastAsia="Μοντέρνα" w:hAnsi="Times New Roman" w:cs="Times New Roman"/>
          <w:sz w:val="24"/>
          <w:szCs w:val="24"/>
          <w:lang w:eastAsia="bg-BG"/>
        </w:rPr>
        <w:t xml:space="preserve">– </w:t>
      </w:r>
      <w:r w:rsidRPr="004C3939">
        <w:rPr>
          <w:rFonts w:ascii="Times New Roman" w:eastAsia="Μοντέρνα" w:hAnsi="Times New Roman" w:cs="Times New Roman"/>
          <w:sz w:val="24"/>
          <w:szCs w:val="24"/>
          <w:lang w:eastAsia="bg-BG"/>
        </w:rPr>
        <w:t xml:space="preserve">с 0.7 години, а при жените </w:t>
      </w:r>
      <w:r w:rsidR="00142BE4" w:rsidRPr="00142BE4">
        <w:rPr>
          <w:rFonts w:ascii="Times New Roman" w:eastAsia="Μοντέρνα" w:hAnsi="Times New Roman" w:cs="Times New Roman"/>
          <w:sz w:val="24"/>
          <w:szCs w:val="24"/>
          <w:lang w:eastAsia="bg-BG"/>
        </w:rPr>
        <w:t xml:space="preserve">– </w:t>
      </w:r>
      <w:r w:rsidRPr="004C3939">
        <w:rPr>
          <w:rFonts w:ascii="Times New Roman" w:eastAsia="Μοντέρνα" w:hAnsi="Times New Roman" w:cs="Times New Roman"/>
          <w:sz w:val="24"/>
          <w:szCs w:val="24"/>
          <w:lang w:eastAsia="bg-BG"/>
        </w:rPr>
        <w:t>с 1.0 години.</w:t>
      </w:r>
    </w:p>
    <w:p w14:paraId="09CEDF4A" w14:textId="77777777" w:rsidR="00D92A0D" w:rsidRDefault="00D92A0D" w:rsidP="00D92A0D">
      <w:pPr>
        <w:tabs>
          <w:tab w:val="left" w:pos="3123"/>
        </w:tabs>
        <w:spacing w:after="0" w:line="240" w:lineRule="auto"/>
        <w:ind w:firstLine="567"/>
        <w:rPr>
          <w:rFonts w:ascii="Times New Roman" w:eastAsia="Μοντέρνα" w:hAnsi="Times New Roman" w:cs="Times New Roman"/>
          <w:b/>
          <w:sz w:val="24"/>
          <w:szCs w:val="24"/>
          <w:lang w:eastAsia="bg-BG"/>
        </w:rPr>
      </w:pPr>
    </w:p>
    <w:p w14:paraId="6058D1B4" w14:textId="77777777" w:rsidR="004C3939" w:rsidRPr="004C3939" w:rsidRDefault="004C3939" w:rsidP="00D92A0D">
      <w:pPr>
        <w:tabs>
          <w:tab w:val="left" w:pos="3123"/>
        </w:tabs>
        <w:spacing w:after="0" w:line="240" w:lineRule="auto"/>
        <w:ind w:firstLine="567"/>
        <w:rPr>
          <w:rFonts w:ascii="Times New Roman" w:eastAsia="Μοντέρνα" w:hAnsi="Times New Roman" w:cs="Times New Roman"/>
          <w:b/>
          <w:sz w:val="24"/>
          <w:szCs w:val="24"/>
          <w:lang w:eastAsia="bg-BG"/>
        </w:rPr>
      </w:pPr>
      <w:r w:rsidRPr="004C3939">
        <w:rPr>
          <w:rFonts w:ascii="Times New Roman" w:eastAsia="Μοντέρνα" w:hAnsi="Times New Roman" w:cs="Times New Roman"/>
          <w:b/>
          <w:sz w:val="24"/>
          <w:szCs w:val="24"/>
          <w:lang w:eastAsia="bg-BG"/>
        </w:rPr>
        <w:t xml:space="preserve">Фиг. </w:t>
      </w:r>
      <w:r>
        <w:rPr>
          <w:rFonts w:ascii="Times New Roman" w:eastAsia="Μοντέρνα" w:hAnsi="Times New Roman" w:cs="Times New Roman"/>
          <w:b/>
          <w:sz w:val="24"/>
          <w:szCs w:val="24"/>
          <w:lang w:eastAsia="bg-BG"/>
        </w:rPr>
        <w:t>6</w:t>
      </w:r>
      <w:r w:rsidRPr="004C3939">
        <w:rPr>
          <w:rFonts w:ascii="Times New Roman" w:eastAsia="Μοντέρνα" w:hAnsi="Times New Roman" w:cs="Times New Roman"/>
          <w:b/>
          <w:sz w:val="24"/>
          <w:szCs w:val="24"/>
          <w:lang w:eastAsia="bg-BG"/>
        </w:rPr>
        <w:t>. Очаквана средна продължителност на предстоящия живот по пол и по периоди</w:t>
      </w:r>
    </w:p>
    <w:p w14:paraId="4A71CC98" w14:textId="77777777" w:rsidR="004C3939" w:rsidRPr="004C3939" w:rsidRDefault="004C3939" w:rsidP="004C3939">
      <w:pPr>
        <w:autoSpaceDE w:val="0"/>
        <w:autoSpaceDN w:val="0"/>
        <w:adjustRightInd w:val="0"/>
        <w:spacing w:after="0" w:line="360" w:lineRule="auto"/>
        <w:ind w:firstLine="567"/>
        <w:jc w:val="both"/>
        <w:rPr>
          <w:rFonts w:ascii="Verdana" w:eastAsia="Times New Roman" w:hAnsi="Verdana" w:cs="Times New Roman"/>
          <w:sz w:val="20"/>
          <w:szCs w:val="20"/>
        </w:rPr>
      </w:pPr>
      <w:r w:rsidRPr="004C3939">
        <w:rPr>
          <w:noProof/>
          <w:lang w:eastAsia="bg-BG"/>
        </w:rPr>
        <w:drawing>
          <wp:inline distT="0" distB="0" distL="0" distR="0" wp14:anchorId="32B1670E" wp14:editId="5ACB524F">
            <wp:extent cx="4886325" cy="3629025"/>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C2B3C5" w14:textId="77777777" w:rsidR="004C3939" w:rsidRPr="004C3939" w:rsidRDefault="004C3939" w:rsidP="004C3939">
      <w:pPr>
        <w:autoSpaceDE w:val="0"/>
        <w:autoSpaceDN w:val="0"/>
        <w:adjustRightInd w:val="0"/>
        <w:spacing w:after="0" w:line="360" w:lineRule="auto"/>
        <w:ind w:firstLine="567"/>
        <w:jc w:val="both"/>
        <w:rPr>
          <w:rFonts w:ascii="Verdana" w:eastAsia="Times New Roman" w:hAnsi="Verdana" w:cs="Times New Roman"/>
          <w:sz w:val="20"/>
          <w:szCs w:val="20"/>
        </w:rPr>
      </w:pPr>
    </w:p>
    <w:p w14:paraId="6A774A28" w14:textId="77777777" w:rsidR="004C3939" w:rsidRPr="004C3939" w:rsidRDefault="004C3939" w:rsidP="004C3939">
      <w:pPr>
        <w:autoSpaceDE w:val="0"/>
        <w:autoSpaceDN w:val="0"/>
        <w:adjustRightInd w:val="0"/>
        <w:spacing w:after="0" w:line="240" w:lineRule="auto"/>
        <w:ind w:firstLine="709"/>
        <w:jc w:val="both"/>
        <w:rPr>
          <w:rFonts w:ascii="Times New Roman" w:eastAsia="Calibri" w:hAnsi="Times New Roman" w:cs="Times New Roman"/>
          <w:sz w:val="24"/>
          <w:szCs w:val="24"/>
        </w:rPr>
      </w:pPr>
      <w:r w:rsidRPr="004C3939">
        <w:rPr>
          <w:rFonts w:ascii="Times New Roman" w:eastAsia="Calibri" w:hAnsi="Times New Roman" w:cs="Times New Roman"/>
          <w:sz w:val="24"/>
          <w:szCs w:val="24"/>
        </w:rPr>
        <w:t xml:space="preserve">Средната продължителност на живота на населението в градовете е с </w:t>
      </w:r>
      <w:r w:rsidRPr="004C3939">
        <w:rPr>
          <w:rFonts w:ascii="Times New Roman" w:eastAsia="Calibri" w:hAnsi="Times New Roman" w:cs="Times New Roman"/>
          <w:sz w:val="24"/>
          <w:szCs w:val="24"/>
          <w:lang w:val="en-US"/>
        </w:rPr>
        <w:t>2</w:t>
      </w:r>
      <w:r w:rsidRPr="004C3939">
        <w:rPr>
          <w:rFonts w:ascii="Times New Roman" w:eastAsia="Calibri" w:hAnsi="Times New Roman" w:cs="Times New Roman"/>
          <w:sz w:val="24"/>
          <w:szCs w:val="24"/>
        </w:rPr>
        <w:t>.</w:t>
      </w:r>
      <w:r w:rsidRPr="004C3939">
        <w:rPr>
          <w:rFonts w:ascii="Times New Roman" w:eastAsia="Calibri" w:hAnsi="Times New Roman" w:cs="Times New Roman"/>
          <w:sz w:val="24"/>
          <w:szCs w:val="24"/>
          <w:lang w:val="en-US"/>
        </w:rPr>
        <w:t>9</w:t>
      </w:r>
      <w:r w:rsidRPr="004C3939">
        <w:rPr>
          <w:rFonts w:ascii="Times New Roman" w:eastAsia="Calibri" w:hAnsi="Times New Roman" w:cs="Times New Roman"/>
          <w:sz w:val="24"/>
          <w:szCs w:val="24"/>
        </w:rPr>
        <w:t xml:space="preserve"> години по-висока (7</w:t>
      </w:r>
      <w:r w:rsidRPr="004C3939">
        <w:rPr>
          <w:rFonts w:ascii="Times New Roman" w:eastAsia="Calibri" w:hAnsi="Times New Roman" w:cs="Times New Roman"/>
          <w:sz w:val="24"/>
          <w:szCs w:val="24"/>
          <w:lang w:val="en-US"/>
        </w:rPr>
        <w:t>6</w:t>
      </w:r>
      <w:r w:rsidRPr="004C3939">
        <w:rPr>
          <w:rFonts w:ascii="Times New Roman" w:eastAsia="Calibri" w:hAnsi="Times New Roman" w:cs="Times New Roman"/>
          <w:sz w:val="24"/>
          <w:szCs w:val="24"/>
        </w:rPr>
        <w:t>.</w:t>
      </w:r>
      <w:r w:rsidRPr="004C3939">
        <w:rPr>
          <w:rFonts w:ascii="Times New Roman" w:eastAsia="Calibri" w:hAnsi="Times New Roman" w:cs="Times New Roman"/>
          <w:sz w:val="24"/>
          <w:szCs w:val="24"/>
          <w:lang w:val="en-US"/>
        </w:rPr>
        <w:t>4</w:t>
      </w:r>
      <w:r w:rsidRPr="004C3939">
        <w:rPr>
          <w:rFonts w:ascii="Times New Roman" w:eastAsia="Calibri" w:hAnsi="Times New Roman" w:cs="Times New Roman"/>
          <w:sz w:val="24"/>
          <w:szCs w:val="24"/>
        </w:rPr>
        <w:t xml:space="preserve"> години) отколкото на населението в селата (</w:t>
      </w:r>
      <w:r w:rsidRPr="004C3939">
        <w:rPr>
          <w:rFonts w:ascii="Times New Roman" w:eastAsia="Calibri" w:hAnsi="Times New Roman" w:cs="Times New Roman"/>
          <w:sz w:val="24"/>
          <w:szCs w:val="24"/>
          <w:lang w:val="en-US"/>
        </w:rPr>
        <w:t>73</w:t>
      </w:r>
      <w:r w:rsidRPr="004C3939">
        <w:rPr>
          <w:rFonts w:ascii="Times New Roman" w:eastAsia="Calibri" w:hAnsi="Times New Roman" w:cs="Times New Roman"/>
          <w:sz w:val="24"/>
          <w:szCs w:val="24"/>
        </w:rPr>
        <w:t>.</w:t>
      </w:r>
      <w:r w:rsidRPr="004C3939">
        <w:rPr>
          <w:rFonts w:ascii="Times New Roman" w:eastAsia="Calibri" w:hAnsi="Times New Roman" w:cs="Times New Roman"/>
          <w:sz w:val="24"/>
          <w:szCs w:val="24"/>
          <w:lang w:val="en-US"/>
        </w:rPr>
        <w:t>5</w:t>
      </w:r>
      <w:r w:rsidRPr="004C3939">
        <w:rPr>
          <w:rFonts w:ascii="Times New Roman" w:eastAsia="Calibri" w:hAnsi="Times New Roman" w:cs="Times New Roman"/>
          <w:sz w:val="24"/>
          <w:szCs w:val="24"/>
        </w:rPr>
        <w:t xml:space="preserve"> години).</w:t>
      </w:r>
    </w:p>
    <w:p w14:paraId="7D64C635" w14:textId="77777777" w:rsidR="004C3939" w:rsidRPr="004C3939" w:rsidRDefault="004C3939" w:rsidP="004C3939">
      <w:pPr>
        <w:spacing w:after="0" w:line="240" w:lineRule="auto"/>
        <w:ind w:firstLine="709"/>
        <w:jc w:val="both"/>
        <w:rPr>
          <w:rFonts w:ascii="Times New Roman" w:eastAsia="Times New Roman" w:hAnsi="Times New Roman" w:cs="Times New Roman"/>
          <w:color w:val="333333"/>
          <w:sz w:val="24"/>
          <w:szCs w:val="24"/>
        </w:rPr>
      </w:pPr>
      <w:r w:rsidRPr="005A691F">
        <w:rPr>
          <w:rFonts w:ascii="Times New Roman" w:eastAsia="Times New Roman" w:hAnsi="Times New Roman" w:cs="Times New Roman"/>
          <w:b/>
          <w:color w:val="333333"/>
          <w:sz w:val="24"/>
          <w:szCs w:val="24"/>
        </w:rPr>
        <w:t>Очакваната продължителност на живота за навършилите 65 години</w:t>
      </w:r>
      <w:r w:rsidRPr="004C3939">
        <w:rPr>
          <w:rFonts w:ascii="Times New Roman" w:eastAsia="Times New Roman" w:hAnsi="Times New Roman" w:cs="Times New Roman"/>
          <w:color w:val="333333"/>
          <w:sz w:val="24"/>
          <w:szCs w:val="24"/>
        </w:rPr>
        <w:t xml:space="preserve"> е </w:t>
      </w:r>
      <w:r w:rsidRPr="004C3939">
        <w:rPr>
          <w:rFonts w:ascii="Times New Roman" w:eastAsia="Times New Roman" w:hAnsi="Times New Roman" w:cs="Times New Roman"/>
          <w:color w:val="333333"/>
          <w:sz w:val="24"/>
          <w:szCs w:val="24"/>
          <w:lang w:val="en-US"/>
        </w:rPr>
        <w:t>16</w:t>
      </w:r>
      <w:r w:rsidRPr="004C3939">
        <w:rPr>
          <w:rFonts w:ascii="Times New Roman" w:eastAsia="Times New Roman" w:hAnsi="Times New Roman" w:cs="Times New Roman"/>
          <w:color w:val="333333"/>
          <w:sz w:val="24"/>
          <w:szCs w:val="24"/>
        </w:rPr>
        <w:t>.</w:t>
      </w:r>
      <w:r w:rsidRPr="004C3939">
        <w:rPr>
          <w:rFonts w:ascii="Times New Roman" w:eastAsia="Times New Roman" w:hAnsi="Times New Roman" w:cs="Times New Roman"/>
          <w:color w:val="333333"/>
          <w:sz w:val="24"/>
          <w:szCs w:val="24"/>
          <w:lang w:val="en-US"/>
        </w:rPr>
        <w:t>7</w:t>
      </w:r>
      <w:r w:rsidRPr="004C3939">
        <w:rPr>
          <w:rFonts w:ascii="Times New Roman" w:eastAsia="Times New Roman" w:hAnsi="Times New Roman" w:cs="Times New Roman"/>
          <w:color w:val="333333"/>
          <w:sz w:val="24"/>
          <w:szCs w:val="24"/>
        </w:rPr>
        <w:t xml:space="preserve"> години, като за мъжете и жените тя е съответно 1</w:t>
      </w:r>
      <w:r w:rsidRPr="004C3939">
        <w:rPr>
          <w:rFonts w:ascii="Times New Roman" w:eastAsia="Times New Roman" w:hAnsi="Times New Roman" w:cs="Times New Roman"/>
          <w:color w:val="333333"/>
          <w:sz w:val="24"/>
          <w:szCs w:val="24"/>
          <w:lang w:val="en-US"/>
        </w:rPr>
        <w:t>4</w:t>
      </w:r>
      <w:r w:rsidRPr="004C3939">
        <w:rPr>
          <w:rFonts w:ascii="Times New Roman" w:eastAsia="Times New Roman" w:hAnsi="Times New Roman" w:cs="Times New Roman"/>
          <w:color w:val="333333"/>
          <w:sz w:val="24"/>
          <w:szCs w:val="24"/>
        </w:rPr>
        <w:t>.</w:t>
      </w:r>
      <w:r w:rsidRPr="004C3939">
        <w:rPr>
          <w:rFonts w:ascii="Times New Roman" w:eastAsia="Times New Roman" w:hAnsi="Times New Roman" w:cs="Times New Roman"/>
          <w:color w:val="333333"/>
          <w:sz w:val="24"/>
          <w:szCs w:val="24"/>
          <w:lang w:val="en-US"/>
        </w:rPr>
        <w:t>5</w:t>
      </w:r>
      <w:r w:rsidRPr="004C3939">
        <w:rPr>
          <w:rFonts w:ascii="Times New Roman" w:eastAsia="Times New Roman" w:hAnsi="Times New Roman" w:cs="Times New Roman"/>
          <w:color w:val="333333"/>
          <w:sz w:val="24"/>
          <w:szCs w:val="24"/>
        </w:rPr>
        <w:t xml:space="preserve"> и 1</w:t>
      </w:r>
      <w:r w:rsidRPr="004C3939">
        <w:rPr>
          <w:rFonts w:ascii="Times New Roman" w:eastAsia="Times New Roman" w:hAnsi="Times New Roman" w:cs="Times New Roman"/>
          <w:color w:val="333333"/>
          <w:sz w:val="24"/>
          <w:szCs w:val="24"/>
          <w:lang w:val="en-US"/>
        </w:rPr>
        <w:t>8</w:t>
      </w:r>
      <w:r w:rsidRPr="004C3939">
        <w:rPr>
          <w:rFonts w:ascii="Times New Roman" w:eastAsia="Times New Roman" w:hAnsi="Times New Roman" w:cs="Times New Roman"/>
          <w:color w:val="333333"/>
          <w:sz w:val="24"/>
          <w:szCs w:val="24"/>
        </w:rPr>
        <w:t>.</w:t>
      </w:r>
      <w:r w:rsidRPr="004C3939">
        <w:rPr>
          <w:rFonts w:ascii="Times New Roman" w:eastAsia="Times New Roman" w:hAnsi="Times New Roman" w:cs="Times New Roman"/>
          <w:color w:val="333333"/>
          <w:sz w:val="24"/>
          <w:szCs w:val="24"/>
          <w:lang w:val="en-US"/>
        </w:rPr>
        <w:t>6</w:t>
      </w:r>
      <w:r w:rsidRPr="004C3939">
        <w:rPr>
          <w:rFonts w:ascii="Times New Roman" w:eastAsia="Times New Roman" w:hAnsi="Times New Roman" w:cs="Times New Roman"/>
          <w:color w:val="333333"/>
          <w:sz w:val="24"/>
          <w:szCs w:val="24"/>
        </w:rPr>
        <w:t xml:space="preserve"> години. В сравнение с 20</w:t>
      </w:r>
      <w:r w:rsidRPr="004C3939">
        <w:rPr>
          <w:rFonts w:ascii="Times New Roman" w:eastAsia="Times New Roman" w:hAnsi="Times New Roman" w:cs="Times New Roman"/>
          <w:color w:val="333333"/>
          <w:sz w:val="24"/>
          <w:szCs w:val="24"/>
          <w:lang w:val="en-US"/>
        </w:rPr>
        <w:t>23</w:t>
      </w:r>
      <w:r w:rsidRPr="004C3939">
        <w:rPr>
          <w:rFonts w:ascii="Times New Roman" w:eastAsia="Times New Roman" w:hAnsi="Times New Roman" w:cs="Times New Roman"/>
          <w:color w:val="333333"/>
          <w:sz w:val="24"/>
          <w:szCs w:val="24"/>
        </w:rPr>
        <w:t xml:space="preserve"> г. през 20</w:t>
      </w:r>
      <w:r w:rsidRPr="004C3939">
        <w:rPr>
          <w:rFonts w:ascii="Times New Roman" w:eastAsia="Times New Roman" w:hAnsi="Times New Roman" w:cs="Times New Roman"/>
          <w:color w:val="333333"/>
          <w:sz w:val="24"/>
          <w:szCs w:val="24"/>
          <w:lang w:val="en-US"/>
        </w:rPr>
        <w:t>24</w:t>
      </w:r>
      <w:r w:rsidRPr="004C3939">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година</w:t>
      </w:r>
      <w:r w:rsidRPr="004C3939">
        <w:rPr>
          <w:rFonts w:ascii="Times New Roman" w:eastAsia="Times New Roman" w:hAnsi="Times New Roman" w:cs="Times New Roman"/>
          <w:color w:val="333333"/>
          <w:sz w:val="24"/>
          <w:szCs w:val="24"/>
        </w:rPr>
        <w:t xml:space="preserve"> очакваната продължителност на живота на лицата, навършили 65 години, се увеличава с </w:t>
      </w:r>
      <w:r w:rsidRPr="004C3939">
        <w:rPr>
          <w:rFonts w:ascii="Times New Roman" w:eastAsia="Times New Roman" w:hAnsi="Times New Roman" w:cs="Times New Roman"/>
          <w:color w:val="333333"/>
          <w:sz w:val="24"/>
          <w:szCs w:val="24"/>
          <w:lang w:val="en-US"/>
        </w:rPr>
        <w:t>1</w:t>
      </w:r>
      <w:r w:rsidRPr="004C3939">
        <w:rPr>
          <w:rFonts w:ascii="Times New Roman" w:eastAsia="Times New Roman" w:hAnsi="Times New Roman" w:cs="Times New Roman"/>
          <w:color w:val="333333"/>
          <w:sz w:val="24"/>
          <w:szCs w:val="24"/>
        </w:rPr>
        <w:t>.</w:t>
      </w:r>
      <w:r w:rsidRPr="004C3939">
        <w:rPr>
          <w:rFonts w:ascii="Times New Roman" w:eastAsia="Times New Roman" w:hAnsi="Times New Roman" w:cs="Times New Roman"/>
          <w:color w:val="333333"/>
          <w:sz w:val="24"/>
          <w:szCs w:val="24"/>
          <w:lang w:val="en-US"/>
        </w:rPr>
        <w:t>5</w:t>
      </w:r>
      <w:r w:rsidRPr="004C3939">
        <w:rPr>
          <w:rFonts w:ascii="Times New Roman" w:eastAsia="Times New Roman" w:hAnsi="Times New Roman" w:cs="Times New Roman"/>
          <w:color w:val="333333"/>
          <w:sz w:val="24"/>
          <w:szCs w:val="24"/>
        </w:rPr>
        <w:t xml:space="preserve"> години.</w:t>
      </w:r>
    </w:p>
    <w:p w14:paraId="1E14CBC1" w14:textId="77777777" w:rsidR="00597D68" w:rsidRDefault="00597D68" w:rsidP="004C3939">
      <w:pPr>
        <w:spacing w:after="0" w:line="240" w:lineRule="auto"/>
        <w:ind w:firstLine="709"/>
        <w:jc w:val="both"/>
        <w:rPr>
          <w:rFonts w:ascii="Times New Roman" w:eastAsia="Times New Roman" w:hAnsi="Times New Roman" w:cs="Times New Roman"/>
          <w:color w:val="333333"/>
          <w:sz w:val="24"/>
          <w:szCs w:val="24"/>
        </w:rPr>
      </w:pPr>
    </w:p>
    <w:p w14:paraId="1ED95F31" w14:textId="77777777" w:rsidR="00597D68" w:rsidRDefault="00597D68" w:rsidP="00A97432">
      <w:pPr>
        <w:spacing w:after="0" w:line="240" w:lineRule="auto"/>
        <w:jc w:val="both"/>
        <w:rPr>
          <w:rFonts w:ascii="Times New Roman" w:eastAsia="Times New Roman" w:hAnsi="Times New Roman" w:cs="Times New Roman"/>
          <w:color w:val="333333"/>
          <w:sz w:val="24"/>
          <w:szCs w:val="24"/>
        </w:rPr>
      </w:pPr>
    </w:p>
    <w:p w14:paraId="1425977F" w14:textId="77777777" w:rsidR="00597D68" w:rsidRDefault="00597D68" w:rsidP="00A97432">
      <w:pPr>
        <w:spacing w:after="0" w:line="240" w:lineRule="auto"/>
        <w:jc w:val="both"/>
        <w:rPr>
          <w:rFonts w:ascii="Times New Roman" w:eastAsia="Times New Roman" w:hAnsi="Times New Roman" w:cs="Times New Roman"/>
          <w:color w:val="333333"/>
          <w:sz w:val="24"/>
          <w:szCs w:val="24"/>
        </w:rPr>
      </w:pPr>
    </w:p>
    <w:p w14:paraId="01319B90" w14:textId="77777777" w:rsidR="00597D68" w:rsidRDefault="00597D68" w:rsidP="00A97432">
      <w:pPr>
        <w:spacing w:after="0" w:line="240" w:lineRule="auto"/>
        <w:jc w:val="both"/>
        <w:rPr>
          <w:rFonts w:ascii="Times New Roman" w:eastAsia="Times New Roman" w:hAnsi="Times New Roman" w:cs="Times New Roman"/>
          <w:color w:val="333333"/>
          <w:sz w:val="24"/>
          <w:szCs w:val="24"/>
        </w:rPr>
      </w:pPr>
    </w:p>
    <w:p w14:paraId="67298E2B" w14:textId="77777777" w:rsidR="00D92A0D" w:rsidRDefault="00D92A0D" w:rsidP="00A97432">
      <w:pPr>
        <w:spacing w:after="0" w:line="240" w:lineRule="auto"/>
        <w:jc w:val="both"/>
        <w:rPr>
          <w:rFonts w:ascii="Times New Roman" w:eastAsia="Times New Roman" w:hAnsi="Times New Roman" w:cs="Times New Roman"/>
          <w:color w:val="333333"/>
          <w:sz w:val="24"/>
          <w:szCs w:val="24"/>
        </w:rPr>
      </w:pPr>
    </w:p>
    <w:p w14:paraId="404003EE" w14:textId="77777777" w:rsidR="00D92A0D" w:rsidRDefault="00D92A0D" w:rsidP="00A97432">
      <w:pPr>
        <w:spacing w:after="0" w:line="240" w:lineRule="auto"/>
        <w:jc w:val="both"/>
        <w:rPr>
          <w:rFonts w:ascii="Times New Roman" w:eastAsia="Times New Roman" w:hAnsi="Times New Roman" w:cs="Times New Roman"/>
          <w:color w:val="333333"/>
          <w:sz w:val="24"/>
          <w:szCs w:val="24"/>
        </w:rPr>
      </w:pPr>
    </w:p>
    <w:p w14:paraId="72E38D83" w14:textId="77777777" w:rsidR="00D92A0D" w:rsidRDefault="00D92A0D" w:rsidP="00A97432">
      <w:pPr>
        <w:spacing w:after="0" w:line="240" w:lineRule="auto"/>
        <w:jc w:val="both"/>
        <w:rPr>
          <w:rFonts w:ascii="Times New Roman" w:eastAsia="Times New Roman" w:hAnsi="Times New Roman" w:cs="Times New Roman"/>
          <w:color w:val="333333"/>
          <w:sz w:val="24"/>
          <w:szCs w:val="24"/>
        </w:rPr>
      </w:pPr>
    </w:p>
    <w:p w14:paraId="1EB8C271" w14:textId="77777777" w:rsidR="00D92A0D" w:rsidRDefault="00D92A0D" w:rsidP="00A97432">
      <w:pPr>
        <w:spacing w:after="0" w:line="240" w:lineRule="auto"/>
        <w:jc w:val="both"/>
        <w:rPr>
          <w:rFonts w:ascii="Times New Roman" w:eastAsia="Times New Roman" w:hAnsi="Times New Roman" w:cs="Times New Roman"/>
          <w:color w:val="333333"/>
          <w:sz w:val="24"/>
          <w:szCs w:val="24"/>
        </w:rPr>
      </w:pPr>
    </w:p>
    <w:p w14:paraId="3108399A" w14:textId="77777777" w:rsidR="00D92A0D" w:rsidRDefault="00D92A0D" w:rsidP="00A97432">
      <w:pPr>
        <w:spacing w:after="0" w:line="240" w:lineRule="auto"/>
        <w:jc w:val="both"/>
        <w:rPr>
          <w:rFonts w:ascii="Times New Roman" w:eastAsia="Times New Roman" w:hAnsi="Times New Roman" w:cs="Times New Roman"/>
          <w:color w:val="333333"/>
          <w:sz w:val="24"/>
          <w:szCs w:val="24"/>
        </w:rPr>
      </w:pPr>
    </w:p>
    <w:p w14:paraId="2396868A" w14:textId="77777777" w:rsidR="00597D68" w:rsidRDefault="00597D68" w:rsidP="00A97432">
      <w:pPr>
        <w:spacing w:after="0" w:line="240" w:lineRule="auto"/>
        <w:jc w:val="both"/>
        <w:rPr>
          <w:rFonts w:ascii="Times New Roman" w:eastAsia="Times New Roman" w:hAnsi="Times New Roman" w:cs="Times New Roman"/>
          <w:color w:val="333333"/>
          <w:sz w:val="24"/>
          <w:szCs w:val="24"/>
        </w:rPr>
      </w:pPr>
    </w:p>
    <w:p w14:paraId="60B41B72" w14:textId="77777777" w:rsidR="00745952" w:rsidRDefault="00745952" w:rsidP="00A97432">
      <w:pPr>
        <w:spacing w:after="0" w:line="240" w:lineRule="auto"/>
        <w:jc w:val="both"/>
        <w:rPr>
          <w:rFonts w:ascii="Times New Roman" w:eastAsia="Times New Roman" w:hAnsi="Times New Roman" w:cs="Times New Roman"/>
          <w:color w:val="333333"/>
          <w:sz w:val="24"/>
          <w:szCs w:val="24"/>
        </w:rPr>
      </w:pPr>
    </w:p>
    <w:p w14:paraId="788DD0E8" w14:textId="77777777" w:rsidR="00745952" w:rsidRDefault="00745952" w:rsidP="00A97432">
      <w:pPr>
        <w:spacing w:after="0" w:line="240" w:lineRule="auto"/>
        <w:jc w:val="both"/>
        <w:rPr>
          <w:rFonts w:ascii="Times New Roman" w:eastAsia="Times New Roman" w:hAnsi="Times New Roman" w:cs="Times New Roman"/>
          <w:color w:val="333333"/>
          <w:sz w:val="24"/>
          <w:szCs w:val="24"/>
        </w:rPr>
      </w:pPr>
    </w:p>
    <w:p w14:paraId="73945515" w14:textId="77777777" w:rsidR="00745952" w:rsidRDefault="00745952" w:rsidP="00A97432">
      <w:pPr>
        <w:spacing w:after="0" w:line="240" w:lineRule="auto"/>
        <w:jc w:val="both"/>
        <w:rPr>
          <w:rFonts w:ascii="Times New Roman" w:eastAsia="Times New Roman" w:hAnsi="Times New Roman" w:cs="Times New Roman"/>
          <w:color w:val="333333"/>
          <w:sz w:val="24"/>
          <w:szCs w:val="24"/>
        </w:rPr>
      </w:pPr>
    </w:p>
    <w:p w14:paraId="1C90E9C3" w14:textId="77777777" w:rsidR="00002FED" w:rsidRDefault="00002FED" w:rsidP="00A97432">
      <w:pPr>
        <w:spacing w:after="200" w:line="276" w:lineRule="auto"/>
        <w:jc w:val="center"/>
        <w:rPr>
          <w:rFonts w:ascii="Times New Roman" w:eastAsia="Calibri" w:hAnsi="Times New Roman" w:cs="Times New Roman"/>
          <w:b/>
          <w:caps/>
          <w:sz w:val="28"/>
          <w:szCs w:val="28"/>
          <w:highlight w:val="yellow"/>
        </w:rPr>
      </w:pPr>
    </w:p>
    <w:p w14:paraId="7E649D4D" w14:textId="77777777" w:rsidR="00A97432" w:rsidRPr="00FA2FE5" w:rsidRDefault="00A97432" w:rsidP="00A97432">
      <w:pPr>
        <w:spacing w:after="200" w:line="276" w:lineRule="auto"/>
        <w:jc w:val="center"/>
        <w:rPr>
          <w:rFonts w:ascii="Times New Roman" w:eastAsia="Times New Roman" w:hAnsi="Times New Roman" w:cs="Times New Roman"/>
          <w:color w:val="333333"/>
          <w:sz w:val="24"/>
          <w:szCs w:val="24"/>
          <w:lang w:val="en-US"/>
        </w:rPr>
      </w:pPr>
      <w:r w:rsidRPr="000E1D19">
        <w:rPr>
          <w:rFonts w:ascii="Times New Roman" w:eastAsia="Calibri" w:hAnsi="Times New Roman" w:cs="Times New Roman"/>
          <w:b/>
          <w:caps/>
          <w:sz w:val="28"/>
          <w:szCs w:val="28"/>
        </w:rPr>
        <w:lastRenderedPageBreak/>
        <w:t xml:space="preserve">Част </w:t>
      </w:r>
      <w:r w:rsidR="00FA2FE5">
        <w:rPr>
          <w:rFonts w:ascii="Times New Roman" w:eastAsia="Calibri" w:hAnsi="Times New Roman" w:cs="Times New Roman"/>
          <w:b/>
          <w:caps/>
          <w:sz w:val="28"/>
          <w:szCs w:val="28"/>
          <w:lang w:val="en-US"/>
        </w:rPr>
        <w:t>2</w:t>
      </w:r>
    </w:p>
    <w:p w14:paraId="74F38D67" w14:textId="77777777" w:rsidR="00A97432" w:rsidRPr="000E1D19" w:rsidRDefault="00A97432" w:rsidP="00A97432">
      <w:pPr>
        <w:spacing w:after="0" w:line="240" w:lineRule="auto"/>
        <w:jc w:val="center"/>
        <w:rPr>
          <w:rFonts w:ascii="Times New Roman" w:eastAsia="Calibri" w:hAnsi="Times New Roman" w:cs="Times New Roman"/>
          <w:b/>
          <w:caps/>
          <w:sz w:val="28"/>
          <w:szCs w:val="28"/>
        </w:rPr>
      </w:pPr>
      <w:r w:rsidRPr="000E1D19">
        <w:rPr>
          <w:rFonts w:ascii="Times New Roman" w:eastAsia="Calibri" w:hAnsi="Times New Roman" w:cs="Times New Roman"/>
          <w:b/>
          <w:caps/>
          <w:sz w:val="28"/>
          <w:szCs w:val="28"/>
        </w:rPr>
        <w:t>Европейски и международни ДОКУМЕНТИ за посрещане на демографските предизвикателства, свързани със застаряването на населението</w:t>
      </w:r>
    </w:p>
    <w:p w14:paraId="3E84A121" w14:textId="77777777" w:rsidR="00002FED" w:rsidRPr="000E1D19" w:rsidRDefault="00002FED" w:rsidP="00002FED">
      <w:pPr>
        <w:autoSpaceDE w:val="0"/>
        <w:autoSpaceDN w:val="0"/>
        <w:adjustRightInd w:val="0"/>
        <w:spacing w:after="0" w:line="240" w:lineRule="auto"/>
        <w:jc w:val="both"/>
        <w:rPr>
          <w:rFonts w:ascii="Times New Roman" w:hAnsi="Times New Roman" w:cs="Times New Roman"/>
          <w:sz w:val="24"/>
          <w:szCs w:val="24"/>
        </w:rPr>
      </w:pPr>
    </w:p>
    <w:p w14:paraId="01263A72" w14:textId="77777777" w:rsidR="00DF7E03" w:rsidRPr="000E1D19" w:rsidRDefault="00002FED" w:rsidP="00002FED">
      <w:pPr>
        <w:autoSpaceDE w:val="0"/>
        <w:autoSpaceDN w:val="0"/>
        <w:adjustRightInd w:val="0"/>
        <w:spacing w:after="0" w:line="240" w:lineRule="auto"/>
        <w:ind w:firstLine="720"/>
        <w:jc w:val="both"/>
        <w:rPr>
          <w:rFonts w:ascii="Times New Roman" w:hAnsi="Times New Roman" w:cs="Times New Roman"/>
          <w:sz w:val="24"/>
          <w:szCs w:val="24"/>
        </w:rPr>
      </w:pPr>
      <w:r w:rsidRPr="000E1D19">
        <w:rPr>
          <w:rFonts w:ascii="Times New Roman" w:hAnsi="Times New Roman" w:cs="Times New Roman"/>
          <w:sz w:val="24"/>
          <w:szCs w:val="24"/>
        </w:rPr>
        <w:t>Водещите стратегически документи в сферата на активния живот на възрастните хора в международен план са разработени от Европейската комисия и Организацията на обединените нации. Европейската комисия развива темата за застаряването на населението в перспективата на адаптиране към настъпващите демографски процеси чрез насърчаване на активния живот на възрастните хора, докато Организацията на обединените нации разглежда застаряването като процес, към който трябва да се приложи широкоспектърен подход с развиване и интегриране на темата във всички секторни политики, или така наречения „</w:t>
      </w:r>
      <w:proofErr w:type="spellStart"/>
      <w:r w:rsidRPr="000E1D19">
        <w:rPr>
          <w:rFonts w:ascii="Times New Roman" w:hAnsi="Times New Roman" w:cs="Times New Roman"/>
          <w:sz w:val="24"/>
          <w:szCs w:val="24"/>
        </w:rPr>
        <w:t>мейнстрийминг</w:t>
      </w:r>
      <w:proofErr w:type="spellEnd"/>
      <w:r w:rsidRPr="000E1D19">
        <w:rPr>
          <w:rFonts w:ascii="Times New Roman" w:hAnsi="Times New Roman" w:cs="Times New Roman"/>
          <w:sz w:val="24"/>
          <w:szCs w:val="24"/>
        </w:rPr>
        <w:t xml:space="preserve">“ на застаряването. </w:t>
      </w:r>
    </w:p>
    <w:p w14:paraId="329CD785" w14:textId="77777777" w:rsidR="00DF7E03" w:rsidRPr="00913D32" w:rsidRDefault="00DF7E03" w:rsidP="00DF7E03">
      <w:pPr>
        <w:autoSpaceDE w:val="0"/>
        <w:autoSpaceDN w:val="0"/>
        <w:adjustRightInd w:val="0"/>
        <w:spacing w:after="0" w:line="240" w:lineRule="auto"/>
        <w:ind w:firstLine="720"/>
        <w:jc w:val="both"/>
        <w:rPr>
          <w:rFonts w:ascii="Times New Roman" w:eastAsia="Calibri" w:hAnsi="Times New Roman" w:cs="Times New Roman"/>
          <w:sz w:val="24"/>
          <w:szCs w:val="24"/>
          <w:lang w:val="en-US"/>
        </w:rPr>
      </w:pPr>
      <w:r w:rsidRPr="000E1D19">
        <w:rPr>
          <w:rFonts w:ascii="Times New Roman" w:hAnsi="Times New Roman" w:cs="Times New Roman"/>
          <w:b/>
          <w:sz w:val="24"/>
          <w:szCs w:val="24"/>
        </w:rPr>
        <w:t>През 2021 г. Европейската комисия</w:t>
      </w:r>
      <w:r w:rsidRPr="00DF7E03">
        <w:rPr>
          <w:rFonts w:ascii="Times New Roman" w:hAnsi="Times New Roman" w:cs="Times New Roman"/>
          <w:b/>
          <w:sz w:val="24"/>
          <w:szCs w:val="24"/>
        </w:rPr>
        <w:t xml:space="preserve"> публикува Зелена книга относно застаряването на населението</w:t>
      </w:r>
      <w:r w:rsidRPr="00DF7E03">
        <w:rPr>
          <w:rFonts w:ascii="Times New Roman" w:hAnsi="Times New Roman" w:cs="Times New Roman"/>
          <w:sz w:val="24"/>
          <w:szCs w:val="24"/>
        </w:rPr>
        <w:t>. Според документа н</w:t>
      </w:r>
      <w:r w:rsidRPr="00DF7E03">
        <w:rPr>
          <w:rFonts w:ascii="Times New Roman" w:hAnsi="Times New Roman"/>
          <w:sz w:val="24"/>
          <w:szCs w:val="24"/>
        </w:rPr>
        <w:t xml:space="preserve">апредването във възрастта засяга всички аспекти на нашия живот през целия ни живот. Поставя се акцент върху възможностите, които предоставя процесът на застаряване на населението. Тази концепция се базира на продължителността на живота, която се регистрира в западноевропейските държави, в които през последните пет десетилетия очакваната продължителност на живота при раждане се е увеличила с около 10 години както при мъжете, така и при жените. Документът се стреми да се придържа към балансиран подход като изтъква, </w:t>
      </w:r>
      <w:r w:rsidRPr="006209EC">
        <w:rPr>
          <w:rFonts w:ascii="Times New Roman" w:hAnsi="Times New Roman"/>
          <w:sz w:val="24"/>
          <w:szCs w:val="24"/>
        </w:rPr>
        <w:t>че демографските профили на регионите в ЕС се различават значително, особено между градските и селските райони, като на някои места се наблюдава значително застаряване</w:t>
      </w:r>
      <w:r w:rsidRPr="00DF7E03">
        <w:rPr>
          <w:rFonts w:ascii="Times New Roman" w:hAnsi="Times New Roman"/>
          <w:sz w:val="24"/>
          <w:szCs w:val="24"/>
        </w:rPr>
        <w:t xml:space="preserve">, а на други — увеличаване на населението в трудоспособна възраст. </w:t>
      </w:r>
    </w:p>
    <w:p w14:paraId="4604D452" w14:textId="77777777" w:rsidR="00DF7E03" w:rsidRPr="00DF7E03" w:rsidRDefault="00DF7E03" w:rsidP="00DF7E03">
      <w:pPr>
        <w:autoSpaceDE w:val="0"/>
        <w:autoSpaceDN w:val="0"/>
        <w:adjustRightInd w:val="0"/>
        <w:spacing w:after="0" w:line="240" w:lineRule="auto"/>
        <w:ind w:firstLine="720"/>
        <w:jc w:val="both"/>
        <w:rPr>
          <w:rFonts w:ascii="Times New Roman" w:eastAsia="Calibri" w:hAnsi="Times New Roman" w:cs="Times New Roman"/>
          <w:noProof/>
          <w:sz w:val="24"/>
          <w:szCs w:val="24"/>
        </w:rPr>
      </w:pPr>
      <w:r w:rsidRPr="00DF7E03">
        <w:rPr>
          <w:rFonts w:ascii="Times New Roman" w:hAnsi="Times New Roman" w:cs="Times New Roman"/>
          <w:sz w:val="24"/>
          <w:szCs w:val="24"/>
        </w:rPr>
        <w:t xml:space="preserve">Зелената книга относно застаряването на населението </w:t>
      </w:r>
      <w:r w:rsidR="000E1D19">
        <w:rPr>
          <w:rFonts w:ascii="Times New Roman" w:hAnsi="Times New Roman" w:cs="Times New Roman"/>
          <w:sz w:val="24"/>
          <w:szCs w:val="24"/>
        </w:rPr>
        <w:t>посочва</w:t>
      </w:r>
      <w:r w:rsidRPr="00DF7E03">
        <w:rPr>
          <w:rFonts w:ascii="Times New Roman" w:hAnsi="Times New Roman" w:cs="Times New Roman"/>
          <w:sz w:val="24"/>
          <w:szCs w:val="24"/>
        </w:rPr>
        <w:t xml:space="preserve">, че </w:t>
      </w:r>
      <w:r w:rsidRPr="00DF7E03">
        <w:rPr>
          <w:rFonts w:ascii="Times New Roman" w:hAnsi="Times New Roman"/>
          <w:noProof/>
          <w:sz w:val="24"/>
          <w:szCs w:val="24"/>
        </w:rPr>
        <w:t>тенденцията на застаряване на населението се отразява на икономическия растеж, фискалната</w:t>
      </w:r>
      <w:r w:rsidR="00913D32">
        <w:rPr>
          <w:rFonts w:ascii="Times New Roman" w:hAnsi="Times New Roman"/>
          <w:noProof/>
          <w:sz w:val="24"/>
          <w:szCs w:val="24"/>
        </w:rPr>
        <w:t xml:space="preserve"> устойчивост, здравеопазването,</w:t>
      </w:r>
      <w:r w:rsidRPr="00DF7E03">
        <w:rPr>
          <w:rFonts w:ascii="Times New Roman" w:hAnsi="Times New Roman"/>
          <w:noProof/>
          <w:sz w:val="24"/>
          <w:szCs w:val="24"/>
        </w:rPr>
        <w:t xml:space="preserve"> дългосрочните грижи, благосъстоянието и социалното сближаване. Застаряването на населението предоставя и нови възможности за създаване на нови работни места, насърчаване на социалната справедливост и увеличаване на просперитета, например в „сребърната“ икономика и икономиката, свързана с полагането на грижи. </w:t>
      </w:r>
    </w:p>
    <w:p w14:paraId="42522C50" w14:textId="77777777" w:rsidR="00DF7E03" w:rsidRPr="00DF7E03" w:rsidRDefault="00913D32" w:rsidP="00DF7E03">
      <w:pPr>
        <w:autoSpaceDE w:val="0"/>
        <w:autoSpaceDN w:val="0"/>
        <w:adjustRightInd w:val="0"/>
        <w:spacing w:after="0" w:line="240" w:lineRule="auto"/>
        <w:ind w:firstLine="720"/>
        <w:jc w:val="both"/>
        <w:rPr>
          <w:rFonts w:ascii="Times New Roman" w:hAnsi="Times New Roman" w:cs="Times New Roman"/>
          <w:noProof/>
          <w:sz w:val="24"/>
          <w:szCs w:val="24"/>
        </w:rPr>
      </w:pPr>
      <w:r>
        <w:rPr>
          <w:rFonts w:ascii="Times New Roman" w:hAnsi="Times New Roman"/>
          <w:noProof/>
          <w:sz w:val="24"/>
          <w:szCs w:val="24"/>
        </w:rPr>
        <w:t xml:space="preserve">Посрещането на предизивкателствата от застаряването на населението се свързва с подобряване на </w:t>
      </w:r>
      <w:r w:rsidR="00DF7E03" w:rsidRPr="00DF7E03">
        <w:rPr>
          <w:rFonts w:ascii="Times New Roman" w:hAnsi="Times New Roman"/>
          <w:noProof/>
          <w:sz w:val="24"/>
          <w:szCs w:val="24"/>
        </w:rPr>
        <w:t>системите за образование и умения, насърчават по-дълг</w:t>
      </w:r>
      <w:r>
        <w:rPr>
          <w:rFonts w:ascii="Times New Roman" w:hAnsi="Times New Roman"/>
          <w:noProof/>
          <w:sz w:val="24"/>
          <w:szCs w:val="24"/>
        </w:rPr>
        <w:t>ия и по-пълноценен трудов живот, реформиране</w:t>
      </w:r>
      <w:r w:rsidR="00DF7E03" w:rsidRPr="00DF7E03">
        <w:rPr>
          <w:rFonts w:ascii="Times New Roman" w:hAnsi="Times New Roman"/>
          <w:noProof/>
          <w:sz w:val="24"/>
          <w:szCs w:val="24"/>
        </w:rPr>
        <w:t xml:space="preserve"> на системите за социална закрила и пенсионните системи</w:t>
      </w:r>
      <w:r>
        <w:rPr>
          <w:rFonts w:ascii="Times New Roman" w:hAnsi="Times New Roman"/>
          <w:noProof/>
          <w:sz w:val="24"/>
          <w:szCs w:val="24"/>
        </w:rPr>
        <w:t xml:space="preserve">, развитие на дългосрочната грижа и приспособяване към глобалните предизикателства, свързани с дигиталния и зеления преход. </w:t>
      </w:r>
    </w:p>
    <w:p w14:paraId="657AC50A" w14:textId="77777777" w:rsidR="006209EC" w:rsidRPr="00210DFB" w:rsidRDefault="00002FED" w:rsidP="006209EC">
      <w:pPr>
        <w:autoSpaceDE w:val="0"/>
        <w:autoSpaceDN w:val="0"/>
        <w:adjustRightInd w:val="0"/>
        <w:spacing w:after="0" w:line="240" w:lineRule="auto"/>
        <w:ind w:firstLine="720"/>
        <w:jc w:val="both"/>
        <w:rPr>
          <w:rFonts w:ascii="Times New Roman" w:hAnsi="Times New Roman" w:cs="Times New Roman"/>
          <w:sz w:val="24"/>
          <w:szCs w:val="24"/>
        </w:rPr>
      </w:pPr>
      <w:r w:rsidRPr="006209EC">
        <w:rPr>
          <w:rFonts w:ascii="Times New Roman" w:hAnsi="Times New Roman" w:cs="Times New Roman"/>
          <w:b/>
          <w:sz w:val="24"/>
          <w:szCs w:val="24"/>
        </w:rPr>
        <w:t>Организацията на обединените нации</w:t>
      </w:r>
      <w:r w:rsidRPr="00913D32">
        <w:rPr>
          <w:rFonts w:ascii="Times New Roman" w:hAnsi="Times New Roman" w:cs="Times New Roman"/>
          <w:sz w:val="24"/>
          <w:szCs w:val="24"/>
        </w:rPr>
        <w:t xml:space="preserve"> </w:t>
      </w:r>
      <w:r w:rsidR="00A45ECA" w:rsidRPr="00913D32">
        <w:rPr>
          <w:rFonts w:ascii="Times New Roman" w:hAnsi="Times New Roman" w:cs="Times New Roman"/>
          <w:sz w:val="24"/>
          <w:szCs w:val="24"/>
        </w:rPr>
        <w:t xml:space="preserve">извежда темата за застаряването на населението и необходимите действия на държавите-членки за посрещане на предизвикателствата от този процес чрез </w:t>
      </w:r>
      <w:r w:rsidR="00A45ECA" w:rsidRPr="006209EC">
        <w:rPr>
          <w:rFonts w:ascii="Times New Roman" w:hAnsi="Times New Roman" w:cs="Times New Roman"/>
          <w:b/>
          <w:sz w:val="24"/>
          <w:szCs w:val="24"/>
        </w:rPr>
        <w:t xml:space="preserve">Международния план за действие по застаряването, приет в Мадрид през 2002 г. </w:t>
      </w:r>
      <w:r w:rsidR="00A45ECA" w:rsidRPr="00913D32">
        <w:rPr>
          <w:rFonts w:ascii="Times New Roman" w:hAnsi="Times New Roman" w:cs="Times New Roman"/>
          <w:sz w:val="24"/>
          <w:szCs w:val="24"/>
        </w:rPr>
        <w:t>За Европа е приета Регионална стратегия за неговото изпълнение</w:t>
      </w:r>
      <w:r w:rsidRPr="00913D32">
        <w:rPr>
          <w:rFonts w:ascii="Times New Roman" w:hAnsi="Times New Roman" w:cs="Times New Roman"/>
          <w:sz w:val="24"/>
          <w:szCs w:val="24"/>
        </w:rPr>
        <w:t xml:space="preserve">. </w:t>
      </w:r>
      <w:r w:rsidR="00A45ECA" w:rsidRPr="00913D32">
        <w:rPr>
          <w:rFonts w:ascii="Times New Roman" w:hAnsi="Times New Roman" w:cs="Times New Roman"/>
          <w:sz w:val="24"/>
          <w:szCs w:val="24"/>
        </w:rPr>
        <w:t>Изпълнението</w:t>
      </w:r>
      <w:r w:rsidR="005A4595">
        <w:rPr>
          <w:rFonts w:ascii="Times New Roman" w:hAnsi="Times New Roman" w:cs="Times New Roman"/>
          <w:sz w:val="24"/>
          <w:szCs w:val="24"/>
        </w:rPr>
        <w:t xml:space="preserve"> на Международна план по застаря</w:t>
      </w:r>
      <w:r w:rsidR="00A45ECA" w:rsidRPr="00913D32">
        <w:rPr>
          <w:rFonts w:ascii="Times New Roman" w:hAnsi="Times New Roman" w:cs="Times New Roman"/>
          <w:sz w:val="24"/>
          <w:szCs w:val="24"/>
        </w:rPr>
        <w:t xml:space="preserve">ването на ООН се отчита на всеки пет години чрез </w:t>
      </w:r>
      <w:r w:rsidR="000E1D19" w:rsidRPr="00913D32">
        <w:rPr>
          <w:rFonts w:ascii="Times New Roman" w:hAnsi="Times New Roman" w:cs="Times New Roman"/>
          <w:sz w:val="24"/>
          <w:szCs w:val="24"/>
        </w:rPr>
        <w:t xml:space="preserve">изготвяне на национални доклади, тяхното представяне в </w:t>
      </w:r>
      <w:r w:rsidR="00A45ECA" w:rsidRPr="00913D32">
        <w:rPr>
          <w:rFonts w:ascii="Times New Roman" w:hAnsi="Times New Roman" w:cs="Times New Roman"/>
          <w:sz w:val="24"/>
          <w:szCs w:val="24"/>
        </w:rPr>
        <w:t>министерска конференция</w:t>
      </w:r>
      <w:r w:rsidR="000E1D19" w:rsidRPr="00913D32">
        <w:rPr>
          <w:rFonts w:ascii="Times New Roman" w:hAnsi="Times New Roman" w:cs="Times New Roman"/>
          <w:sz w:val="24"/>
          <w:szCs w:val="24"/>
        </w:rPr>
        <w:t xml:space="preserve"> и приемане на декларация за пет-годишен период. </w:t>
      </w:r>
      <w:r w:rsidR="00913D32" w:rsidRPr="00913D32">
        <w:rPr>
          <w:rFonts w:ascii="Times New Roman" w:hAnsi="Times New Roman" w:cs="Times New Roman"/>
          <w:sz w:val="24"/>
          <w:szCs w:val="24"/>
        </w:rPr>
        <w:t xml:space="preserve">Подготовката на всеки пет-годишен цикъл за преглед и оценка на Международния план по застаряването се осъществява в рамките на Отворена работна група по застаряването с участие на национални представители и с координатор Икономическата комисия за Европа (ИКЕ) на ООН. </w:t>
      </w:r>
      <w:r w:rsidR="006209EC" w:rsidRPr="00210DFB">
        <w:rPr>
          <w:rFonts w:ascii="Times New Roman" w:hAnsi="Times New Roman" w:cs="Times New Roman"/>
          <w:sz w:val="24"/>
          <w:szCs w:val="24"/>
        </w:rPr>
        <w:t xml:space="preserve">Последният преглед и оценка на изпълнението на Международния план за действие по застаряването е осъществен в Рим </w:t>
      </w:r>
      <w:r w:rsidR="006209EC" w:rsidRPr="00210DFB">
        <w:rPr>
          <w:rFonts w:ascii="Times New Roman" w:hAnsi="Times New Roman" w:cs="Times New Roman"/>
          <w:sz w:val="24"/>
          <w:szCs w:val="24"/>
        </w:rPr>
        <w:lastRenderedPageBreak/>
        <w:t xml:space="preserve">през 2022 г., когато е приета рамкова Декларация за последващи действия и ангажиментите на държавите по изпълнение на плана за 5-годишен период до 2027 г. В нея се посочват новите предизвикателства пред застаряването във връзка с настъпващите големи демографски, политически, социални и икономически промени в Европа и по света. </w:t>
      </w:r>
      <w:r w:rsidR="003175FE">
        <w:rPr>
          <w:rFonts w:ascii="Times New Roman" w:hAnsi="Times New Roman" w:cs="Times New Roman"/>
          <w:sz w:val="24"/>
          <w:szCs w:val="24"/>
        </w:rPr>
        <w:t>Н</w:t>
      </w:r>
      <w:r w:rsidR="006209EC" w:rsidRPr="00210DFB">
        <w:rPr>
          <w:rFonts w:ascii="Times New Roman" w:hAnsi="Times New Roman" w:cs="Times New Roman"/>
          <w:sz w:val="24"/>
          <w:szCs w:val="24"/>
        </w:rPr>
        <w:t xml:space="preserve">еобходими </w:t>
      </w:r>
      <w:r w:rsidR="003175FE">
        <w:rPr>
          <w:rFonts w:ascii="Times New Roman" w:hAnsi="Times New Roman" w:cs="Times New Roman"/>
          <w:sz w:val="24"/>
          <w:szCs w:val="24"/>
        </w:rPr>
        <w:t xml:space="preserve">са </w:t>
      </w:r>
      <w:r w:rsidR="006209EC" w:rsidRPr="00210DFB">
        <w:rPr>
          <w:rFonts w:ascii="Times New Roman" w:hAnsi="Times New Roman" w:cs="Times New Roman"/>
          <w:sz w:val="24"/>
          <w:szCs w:val="24"/>
        </w:rPr>
        <w:t>действия за по-нататъшно развитие на устойчиви, достъпни и адекватни системи за социална закрила, обхващащи социалното осигуряване, здравеопазването и социалните услуги, по-специално услуги за дългосрочни грижи, които спомагат за смекчаване неравенства</w:t>
      </w:r>
      <w:r w:rsidR="003175FE">
        <w:rPr>
          <w:rFonts w:ascii="Times New Roman" w:hAnsi="Times New Roman" w:cs="Times New Roman"/>
          <w:sz w:val="24"/>
          <w:szCs w:val="24"/>
        </w:rPr>
        <w:t>та,</w:t>
      </w:r>
      <w:r w:rsidR="006209EC" w:rsidRPr="00210DFB">
        <w:rPr>
          <w:rFonts w:ascii="Times New Roman" w:hAnsi="Times New Roman" w:cs="Times New Roman"/>
          <w:sz w:val="24"/>
          <w:szCs w:val="24"/>
        </w:rPr>
        <w:t xml:space="preserve"> предотвратяване на бедността и изключването </w:t>
      </w:r>
      <w:r w:rsidR="003175FE">
        <w:rPr>
          <w:rFonts w:ascii="Times New Roman" w:hAnsi="Times New Roman" w:cs="Times New Roman"/>
          <w:sz w:val="24"/>
          <w:szCs w:val="24"/>
        </w:rPr>
        <w:t>в напреднала възраст. Отбелязва</w:t>
      </w:r>
      <w:r w:rsidR="006209EC" w:rsidRPr="00210DFB">
        <w:rPr>
          <w:rFonts w:ascii="Times New Roman" w:hAnsi="Times New Roman" w:cs="Times New Roman"/>
          <w:sz w:val="24"/>
          <w:szCs w:val="24"/>
        </w:rPr>
        <w:t xml:space="preserve"> се необходимостта от фокусиране върху здравеопазването, включително повишаване на достъпа до спорт, физическа активност, здравословно хранене и други превантивни здравни мерки през целия живот. Отчита се и важността на участието на възрастните хора и техните представители в разработването на политики на всички нива, за да бъдат отразени техните права, потребности и интереси. Поставя се акцент върху достъпността на средата за възрастните хора, включително физическата, социалната, технологичната и дигиталната. По отношение на пазара на труда е необходимо създаване на гъвкави условия за по-дълъг и здравословен трудов живот, осигуряване на приобщаващи пазари на труда и достойна </w:t>
      </w:r>
      <w:r w:rsidR="00C070CA" w:rsidRPr="00210DFB">
        <w:rPr>
          <w:rFonts w:ascii="Times New Roman" w:hAnsi="Times New Roman" w:cs="Times New Roman"/>
          <w:sz w:val="24"/>
          <w:szCs w:val="24"/>
        </w:rPr>
        <w:t>заетост</w:t>
      </w:r>
      <w:r w:rsidR="006209EC" w:rsidRPr="00210DFB">
        <w:rPr>
          <w:rFonts w:ascii="Times New Roman" w:hAnsi="Times New Roman" w:cs="Times New Roman"/>
          <w:sz w:val="24"/>
          <w:szCs w:val="24"/>
        </w:rPr>
        <w:t xml:space="preserve"> за всички възрасти, предотвратяване и реагиране на неравенствата между половете, бедността в напреднала </w:t>
      </w:r>
      <w:r w:rsidR="00C070CA" w:rsidRPr="00210DFB">
        <w:rPr>
          <w:rFonts w:ascii="Times New Roman" w:hAnsi="Times New Roman" w:cs="Times New Roman"/>
          <w:sz w:val="24"/>
          <w:szCs w:val="24"/>
        </w:rPr>
        <w:t xml:space="preserve">възраст и социалното изключване. </w:t>
      </w:r>
    </w:p>
    <w:p w14:paraId="31E5F184" w14:textId="77777777" w:rsidR="00C070CA" w:rsidRDefault="00C070CA" w:rsidP="006209EC">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Декларацията от Рим</w:t>
      </w:r>
      <w:r w:rsidR="00C32491">
        <w:rPr>
          <w:rFonts w:ascii="Times New Roman" w:hAnsi="Times New Roman" w:cs="Times New Roman"/>
          <w:sz w:val="24"/>
          <w:szCs w:val="24"/>
        </w:rPr>
        <w:t xml:space="preserve"> от</w:t>
      </w:r>
      <w:r>
        <w:rPr>
          <w:rFonts w:ascii="Times New Roman" w:hAnsi="Times New Roman" w:cs="Times New Roman"/>
          <w:sz w:val="24"/>
          <w:szCs w:val="24"/>
        </w:rPr>
        <w:t xml:space="preserve"> 2022 г. </w:t>
      </w:r>
      <w:r w:rsidR="00327365">
        <w:rPr>
          <w:rFonts w:ascii="Times New Roman" w:hAnsi="Times New Roman" w:cs="Times New Roman"/>
          <w:sz w:val="24"/>
          <w:szCs w:val="24"/>
        </w:rPr>
        <w:t xml:space="preserve">набелязва </w:t>
      </w:r>
      <w:r>
        <w:rPr>
          <w:rFonts w:ascii="Times New Roman" w:hAnsi="Times New Roman" w:cs="Times New Roman"/>
          <w:sz w:val="24"/>
          <w:szCs w:val="24"/>
        </w:rPr>
        <w:t>следните приоритетни области</w:t>
      </w:r>
      <w:r w:rsidR="00327365">
        <w:rPr>
          <w:rFonts w:ascii="Times New Roman" w:hAnsi="Times New Roman" w:cs="Times New Roman"/>
          <w:sz w:val="24"/>
          <w:szCs w:val="24"/>
        </w:rPr>
        <w:t xml:space="preserve"> за посрещане на предизвикателствата от застаряването за периода 2022 – 2027 г.</w:t>
      </w:r>
      <w:r>
        <w:rPr>
          <w:rFonts w:ascii="Times New Roman" w:hAnsi="Times New Roman" w:cs="Times New Roman"/>
          <w:sz w:val="24"/>
          <w:szCs w:val="24"/>
        </w:rPr>
        <w:t>:</w:t>
      </w:r>
    </w:p>
    <w:p w14:paraId="5D6F2979" w14:textId="77777777" w:rsidR="006209EC" w:rsidRPr="00423E37" w:rsidRDefault="00C070CA" w:rsidP="00130D1D">
      <w:pPr>
        <w:pStyle w:val="ListParagraph"/>
        <w:numPr>
          <w:ilvl w:val="0"/>
          <w:numId w:val="43"/>
        </w:numPr>
        <w:spacing w:after="0" w:line="240" w:lineRule="auto"/>
        <w:ind w:left="1134" w:firstLine="0"/>
        <w:jc w:val="both"/>
        <w:rPr>
          <w:rFonts w:ascii="Times New Roman" w:hAnsi="Times New Roman" w:cs="Times New Roman"/>
          <w:b/>
          <w:sz w:val="24"/>
          <w:szCs w:val="24"/>
        </w:rPr>
      </w:pPr>
      <w:r w:rsidRPr="00423E37">
        <w:rPr>
          <w:rFonts w:ascii="Times New Roman" w:hAnsi="Times New Roman" w:cs="Times New Roman"/>
          <w:b/>
          <w:sz w:val="24"/>
          <w:szCs w:val="24"/>
        </w:rPr>
        <w:t>Насърчаване на активния и здравословен живот</w:t>
      </w:r>
      <w:r w:rsidR="006209EC" w:rsidRPr="00423E37">
        <w:rPr>
          <w:rFonts w:ascii="Times New Roman" w:hAnsi="Times New Roman" w:cs="Times New Roman"/>
          <w:b/>
          <w:sz w:val="24"/>
          <w:szCs w:val="24"/>
        </w:rPr>
        <w:t xml:space="preserve"> през целия живот</w:t>
      </w:r>
    </w:p>
    <w:p w14:paraId="0C96DC9B" w14:textId="77777777" w:rsidR="006209EC" w:rsidRDefault="00C32491" w:rsidP="00130D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Приоритетът обхваща </w:t>
      </w:r>
      <w:r w:rsidR="006209EC" w:rsidRPr="00D20BC7">
        <w:rPr>
          <w:rFonts w:ascii="Times New Roman" w:hAnsi="Times New Roman" w:cs="Times New Roman"/>
          <w:sz w:val="24"/>
          <w:szCs w:val="24"/>
        </w:rPr>
        <w:t>мерки, насочени към осигуряване на пълноценно упражняване на човешките права от възрастните хора, даване на възможност на хората да се възползват от възможностите за активно и здравословно остаряване през целия живот, разгръщане на потенциала за разширяване на здравословния живот, като същевременно се отчитат различните ситуации на възрастните хора, различията между пол</w:t>
      </w:r>
      <w:r w:rsidR="00A91CCD">
        <w:rPr>
          <w:rFonts w:ascii="Times New Roman" w:hAnsi="Times New Roman" w:cs="Times New Roman"/>
          <w:sz w:val="24"/>
          <w:szCs w:val="24"/>
        </w:rPr>
        <w:t>овете и борбата с неравенствата</w:t>
      </w:r>
      <w:r w:rsidR="00FD3513">
        <w:rPr>
          <w:rFonts w:ascii="Times New Roman" w:hAnsi="Times New Roman" w:cs="Times New Roman"/>
          <w:sz w:val="24"/>
          <w:szCs w:val="24"/>
        </w:rPr>
        <w:t xml:space="preserve">. Отбелязва се важността на </w:t>
      </w:r>
      <w:r w:rsidR="006209EC" w:rsidRPr="00D20BC7">
        <w:rPr>
          <w:rFonts w:ascii="Times New Roman" w:hAnsi="Times New Roman" w:cs="Times New Roman"/>
          <w:sz w:val="24"/>
          <w:szCs w:val="24"/>
        </w:rPr>
        <w:t>включване</w:t>
      </w:r>
      <w:r w:rsidR="00FD3513">
        <w:rPr>
          <w:rFonts w:ascii="Times New Roman" w:hAnsi="Times New Roman" w:cs="Times New Roman"/>
          <w:sz w:val="24"/>
          <w:szCs w:val="24"/>
        </w:rPr>
        <w:t>то</w:t>
      </w:r>
      <w:r w:rsidR="006209EC" w:rsidRPr="00D20BC7">
        <w:rPr>
          <w:rFonts w:ascii="Times New Roman" w:hAnsi="Times New Roman" w:cs="Times New Roman"/>
          <w:sz w:val="24"/>
          <w:szCs w:val="24"/>
        </w:rPr>
        <w:t xml:space="preserve"> на възрастните хора и техните организации в изготвяне</w:t>
      </w:r>
      <w:r w:rsidR="00FD3513">
        <w:rPr>
          <w:rFonts w:ascii="Times New Roman" w:hAnsi="Times New Roman" w:cs="Times New Roman"/>
          <w:sz w:val="24"/>
          <w:szCs w:val="24"/>
        </w:rPr>
        <w:t>то</w:t>
      </w:r>
      <w:r w:rsidR="006209EC" w:rsidRPr="00D20BC7">
        <w:rPr>
          <w:rFonts w:ascii="Times New Roman" w:hAnsi="Times New Roman" w:cs="Times New Roman"/>
          <w:sz w:val="24"/>
          <w:szCs w:val="24"/>
        </w:rPr>
        <w:t xml:space="preserve"> на политики на всички нива, улесняване на участието на възрастните хора в социалния, културния и гражданския живот и насърчав</w:t>
      </w:r>
      <w:r w:rsidR="00A91CCD">
        <w:rPr>
          <w:rFonts w:ascii="Times New Roman" w:hAnsi="Times New Roman" w:cs="Times New Roman"/>
          <w:sz w:val="24"/>
          <w:szCs w:val="24"/>
        </w:rPr>
        <w:t>ане на ученето през целия живот</w:t>
      </w:r>
      <w:r w:rsidR="00FD3513">
        <w:rPr>
          <w:rFonts w:ascii="Times New Roman" w:hAnsi="Times New Roman" w:cs="Times New Roman"/>
          <w:sz w:val="24"/>
          <w:szCs w:val="24"/>
        </w:rPr>
        <w:t>. Насърчава се и</w:t>
      </w:r>
      <w:r w:rsidR="006209EC" w:rsidRPr="00D20BC7">
        <w:rPr>
          <w:rFonts w:ascii="Times New Roman" w:hAnsi="Times New Roman" w:cs="Times New Roman"/>
          <w:sz w:val="24"/>
          <w:szCs w:val="24"/>
        </w:rPr>
        <w:t>нвестиране</w:t>
      </w:r>
      <w:r w:rsidR="00FD3513">
        <w:rPr>
          <w:rFonts w:ascii="Times New Roman" w:hAnsi="Times New Roman" w:cs="Times New Roman"/>
          <w:sz w:val="24"/>
          <w:szCs w:val="24"/>
        </w:rPr>
        <w:t>то</w:t>
      </w:r>
      <w:r w:rsidR="006209EC" w:rsidRPr="00D20BC7">
        <w:rPr>
          <w:rFonts w:ascii="Times New Roman" w:hAnsi="Times New Roman" w:cs="Times New Roman"/>
          <w:sz w:val="24"/>
          <w:szCs w:val="24"/>
        </w:rPr>
        <w:t xml:space="preserve"> в стратегии и дейности </w:t>
      </w:r>
      <w:r w:rsidR="00FD3513">
        <w:rPr>
          <w:rFonts w:ascii="Times New Roman" w:hAnsi="Times New Roman" w:cs="Times New Roman"/>
          <w:sz w:val="24"/>
          <w:szCs w:val="24"/>
        </w:rPr>
        <w:t>за</w:t>
      </w:r>
      <w:r w:rsidR="006209EC" w:rsidRPr="00D20BC7">
        <w:rPr>
          <w:rFonts w:ascii="Times New Roman" w:hAnsi="Times New Roman" w:cs="Times New Roman"/>
          <w:sz w:val="24"/>
          <w:szCs w:val="24"/>
        </w:rPr>
        <w:t xml:space="preserve"> включване на всички участници в обществото за насърчаване на здравословен</w:t>
      </w:r>
      <w:r w:rsidR="00A91CCD">
        <w:rPr>
          <w:rFonts w:ascii="Times New Roman" w:hAnsi="Times New Roman" w:cs="Times New Roman"/>
          <w:sz w:val="24"/>
          <w:szCs w:val="24"/>
        </w:rPr>
        <w:t xml:space="preserve"> начин на живот, </w:t>
      </w:r>
      <w:r w:rsidR="006209EC" w:rsidRPr="00D20BC7">
        <w:rPr>
          <w:rFonts w:ascii="Times New Roman" w:hAnsi="Times New Roman" w:cs="Times New Roman"/>
          <w:sz w:val="24"/>
          <w:szCs w:val="24"/>
        </w:rPr>
        <w:t xml:space="preserve">инвестиране в създаването на по-благоприятна за възрастните хора среда чрез прилагане на иновативни жилищни решения, интелигентно градско и селско планиране, подходяща инфраструктура за отдих и достъпни услуги за </w:t>
      </w:r>
      <w:r w:rsidR="00FD3513">
        <w:rPr>
          <w:rFonts w:ascii="Times New Roman" w:hAnsi="Times New Roman" w:cs="Times New Roman"/>
          <w:sz w:val="24"/>
          <w:szCs w:val="24"/>
        </w:rPr>
        <w:t xml:space="preserve">обществен транспорт и мобилност. </w:t>
      </w:r>
      <w:r w:rsidR="004E2A18">
        <w:rPr>
          <w:rFonts w:ascii="Times New Roman" w:hAnsi="Times New Roman" w:cs="Times New Roman"/>
          <w:sz w:val="24"/>
          <w:szCs w:val="24"/>
        </w:rPr>
        <w:t xml:space="preserve">Насърчава </w:t>
      </w:r>
      <w:r w:rsidR="00FD3513">
        <w:rPr>
          <w:rFonts w:ascii="Times New Roman" w:hAnsi="Times New Roman" w:cs="Times New Roman"/>
          <w:sz w:val="24"/>
          <w:szCs w:val="24"/>
        </w:rPr>
        <w:t>се</w:t>
      </w:r>
      <w:r w:rsidR="004E2A18">
        <w:rPr>
          <w:rFonts w:ascii="Times New Roman" w:hAnsi="Times New Roman" w:cs="Times New Roman"/>
          <w:sz w:val="24"/>
          <w:szCs w:val="24"/>
        </w:rPr>
        <w:t xml:space="preserve"> </w:t>
      </w:r>
      <w:r w:rsidR="00FD3513">
        <w:rPr>
          <w:rFonts w:ascii="Times New Roman" w:hAnsi="Times New Roman" w:cs="Times New Roman"/>
          <w:sz w:val="24"/>
          <w:szCs w:val="24"/>
        </w:rPr>
        <w:t>независимия</w:t>
      </w:r>
      <w:r w:rsidR="004E2A18">
        <w:rPr>
          <w:rFonts w:ascii="Times New Roman" w:hAnsi="Times New Roman" w:cs="Times New Roman"/>
          <w:sz w:val="24"/>
          <w:szCs w:val="24"/>
        </w:rPr>
        <w:t>т</w:t>
      </w:r>
      <w:r w:rsidR="00FD3513">
        <w:rPr>
          <w:rFonts w:ascii="Times New Roman" w:hAnsi="Times New Roman" w:cs="Times New Roman"/>
          <w:sz w:val="24"/>
          <w:szCs w:val="24"/>
        </w:rPr>
        <w:t xml:space="preserve"> начин на живот и създаване</w:t>
      </w:r>
      <w:r w:rsidR="004E2A18">
        <w:rPr>
          <w:rFonts w:ascii="Times New Roman" w:hAnsi="Times New Roman" w:cs="Times New Roman"/>
          <w:sz w:val="24"/>
          <w:szCs w:val="24"/>
        </w:rPr>
        <w:t>то</w:t>
      </w:r>
      <w:r w:rsidR="00FD3513">
        <w:rPr>
          <w:rFonts w:ascii="Times New Roman" w:hAnsi="Times New Roman" w:cs="Times New Roman"/>
          <w:sz w:val="24"/>
          <w:szCs w:val="24"/>
        </w:rPr>
        <w:t xml:space="preserve"> на </w:t>
      </w:r>
      <w:r w:rsidR="006209EC" w:rsidRPr="00D20BC7">
        <w:rPr>
          <w:rFonts w:ascii="Times New Roman" w:hAnsi="Times New Roman" w:cs="Times New Roman"/>
          <w:sz w:val="24"/>
          <w:szCs w:val="24"/>
        </w:rPr>
        <w:t>благопр</w:t>
      </w:r>
      <w:r w:rsidR="00FD3513">
        <w:rPr>
          <w:rFonts w:ascii="Times New Roman" w:hAnsi="Times New Roman" w:cs="Times New Roman"/>
          <w:sz w:val="24"/>
          <w:szCs w:val="24"/>
        </w:rPr>
        <w:t>иятна за възрастните хора среда</w:t>
      </w:r>
      <w:r w:rsidR="004E2A18">
        <w:rPr>
          <w:rFonts w:ascii="Times New Roman" w:hAnsi="Times New Roman" w:cs="Times New Roman"/>
          <w:sz w:val="24"/>
          <w:szCs w:val="24"/>
        </w:rPr>
        <w:t xml:space="preserve">, стимулира се </w:t>
      </w:r>
      <w:r w:rsidR="006209EC" w:rsidRPr="00D20BC7">
        <w:rPr>
          <w:rFonts w:ascii="Times New Roman" w:hAnsi="Times New Roman" w:cs="Times New Roman"/>
          <w:sz w:val="24"/>
          <w:szCs w:val="24"/>
        </w:rPr>
        <w:t>засилена</w:t>
      </w:r>
      <w:r w:rsidR="004E2A18">
        <w:rPr>
          <w:rFonts w:ascii="Times New Roman" w:hAnsi="Times New Roman" w:cs="Times New Roman"/>
          <w:sz w:val="24"/>
          <w:szCs w:val="24"/>
        </w:rPr>
        <w:t xml:space="preserve">та социална ангажираност и </w:t>
      </w:r>
      <w:r w:rsidR="006209EC" w:rsidRPr="00D20BC7">
        <w:rPr>
          <w:rFonts w:ascii="Times New Roman" w:hAnsi="Times New Roman" w:cs="Times New Roman"/>
          <w:sz w:val="24"/>
          <w:szCs w:val="24"/>
        </w:rPr>
        <w:t>участие</w:t>
      </w:r>
      <w:r w:rsidR="004E2A18">
        <w:rPr>
          <w:rFonts w:ascii="Times New Roman" w:hAnsi="Times New Roman" w:cs="Times New Roman"/>
          <w:sz w:val="24"/>
          <w:szCs w:val="24"/>
        </w:rPr>
        <w:t>, доброволчеството,</w:t>
      </w:r>
      <w:r w:rsidR="006209EC" w:rsidRPr="00D20BC7">
        <w:rPr>
          <w:rFonts w:ascii="Times New Roman" w:hAnsi="Times New Roman" w:cs="Times New Roman"/>
          <w:sz w:val="24"/>
          <w:szCs w:val="24"/>
        </w:rPr>
        <w:t xml:space="preserve"> социалните иновации и подобряване</w:t>
      </w:r>
      <w:r w:rsidR="004E2A18">
        <w:rPr>
          <w:rFonts w:ascii="Times New Roman" w:hAnsi="Times New Roman" w:cs="Times New Roman"/>
          <w:sz w:val="24"/>
          <w:szCs w:val="24"/>
        </w:rPr>
        <w:t xml:space="preserve">то на цифровите умения. Засяга се дискриминационната тематика чрез осигуряване на </w:t>
      </w:r>
      <w:r w:rsidR="006209EC" w:rsidRPr="00D20BC7">
        <w:rPr>
          <w:rFonts w:ascii="Times New Roman" w:hAnsi="Times New Roman" w:cs="Times New Roman"/>
          <w:sz w:val="24"/>
          <w:szCs w:val="24"/>
        </w:rPr>
        <w:t>защита на възрастните хора от дискриминация по възраст и всички форми на дискриминация чрез приемане или засилване на прилагането на закони и други инструменти на местно, национално или международно ниво, чрез изменение на съществуващи инструменти, основани на дискриминационни или стереотипни нагласи или практики, чрез създаване на образователни и повишаващи осв</w:t>
      </w:r>
      <w:r w:rsidR="004E2A18">
        <w:rPr>
          <w:rFonts w:ascii="Times New Roman" w:hAnsi="Times New Roman" w:cs="Times New Roman"/>
          <w:sz w:val="24"/>
          <w:szCs w:val="24"/>
        </w:rPr>
        <w:t>едомеността програми и кампании</w:t>
      </w:r>
      <w:r w:rsidR="005E1CEF">
        <w:rPr>
          <w:rFonts w:ascii="Times New Roman" w:hAnsi="Times New Roman" w:cs="Times New Roman"/>
          <w:sz w:val="24"/>
          <w:szCs w:val="24"/>
        </w:rPr>
        <w:t xml:space="preserve">. В сферата на заетостта държавите се насърчават да предприемат действия за </w:t>
      </w:r>
      <w:r w:rsidR="005E1CEF" w:rsidRPr="00D20BC7">
        <w:rPr>
          <w:rFonts w:ascii="Times New Roman" w:hAnsi="Times New Roman" w:cs="Times New Roman"/>
          <w:sz w:val="24"/>
          <w:szCs w:val="24"/>
        </w:rPr>
        <w:t>насърчаване и улесняване на участието на възрастните хора на пазара на труда за постигане на по-дълъг трудов живот като жизненоважна част от устойчива и приобщаваща икономика, социално</w:t>
      </w:r>
      <w:r w:rsidR="005E1CEF">
        <w:rPr>
          <w:rFonts w:ascii="Times New Roman" w:hAnsi="Times New Roman" w:cs="Times New Roman"/>
          <w:sz w:val="24"/>
          <w:szCs w:val="24"/>
        </w:rPr>
        <w:t xml:space="preserve"> </w:t>
      </w:r>
      <w:r w:rsidR="005E1CEF" w:rsidRPr="00D20BC7">
        <w:rPr>
          <w:rFonts w:ascii="Times New Roman" w:hAnsi="Times New Roman" w:cs="Times New Roman"/>
          <w:sz w:val="24"/>
          <w:szCs w:val="24"/>
        </w:rPr>
        <w:t>участие, финансова сигурност и бла</w:t>
      </w:r>
      <w:r w:rsidR="005E1CEF">
        <w:rPr>
          <w:rFonts w:ascii="Times New Roman" w:hAnsi="Times New Roman" w:cs="Times New Roman"/>
          <w:sz w:val="24"/>
          <w:szCs w:val="24"/>
        </w:rPr>
        <w:t>госъстояние на възрастните хора. А</w:t>
      </w:r>
      <w:r w:rsidR="006209EC" w:rsidRPr="00D20BC7">
        <w:rPr>
          <w:rFonts w:ascii="Times New Roman" w:hAnsi="Times New Roman" w:cs="Times New Roman"/>
          <w:sz w:val="24"/>
          <w:szCs w:val="24"/>
        </w:rPr>
        <w:t>ктивни</w:t>
      </w:r>
      <w:r w:rsidR="005E1CEF">
        <w:rPr>
          <w:rFonts w:ascii="Times New Roman" w:hAnsi="Times New Roman" w:cs="Times New Roman"/>
          <w:sz w:val="24"/>
          <w:szCs w:val="24"/>
        </w:rPr>
        <w:t>те политики на пазара на труда следва да се адаптират към</w:t>
      </w:r>
      <w:r w:rsidR="006209EC" w:rsidRPr="00D20BC7">
        <w:rPr>
          <w:rFonts w:ascii="Times New Roman" w:hAnsi="Times New Roman" w:cs="Times New Roman"/>
          <w:sz w:val="24"/>
          <w:szCs w:val="24"/>
        </w:rPr>
        <w:t xml:space="preserve"> застаряващата работна сила, </w:t>
      </w:r>
      <w:r w:rsidR="005E1CEF">
        <w:rPr>
          <w:rFonts w:ascii="Times New Roman" w:hAnsi="Times New Roman" w:cs="Times New Roman"/>
          <w:sz w:val="24"/>
          <w:szCs w:val="24"/>
        </w:rPr>
        <w:t>кат</w:t>
      </w:r>
      <w:r w:rsidR="00B25806">
        <w:rPr>
          <w:rFonts w:ascii="Times New Roman" w:hAnsi="Times New Roman" w:cs="Times New Roman"/>
          <w:sz w:val="24"/>
          <w:szCs w:val="24"/>
        </w:rPr>
        <w:t>о</w:t>
      </w:r>
      <w:r w:rsidR="005E1CEF">
        <w:rPr>
          <w:rFonts w:ascii="Times New Roman" w:hAnsi="Times New Roman" w:cs="Times New Roman"/>
          <w:sz w:val="24"/>
          <w:szCs w:val="24"/>
        </w:rPr>
        <w:t xml:space="preserve"> мерките могат да включват </w:t>
      </w:r>
      <w:r w:rsidR="006209EC" w:rsidRPr="00D20BC7">
        <w:rPr>
          <w:rFonts w:ascii="Times New Roman" w:hAnsi="Times New Roman" w:cs="Times New Roman"/>
          <w:sz w:val="24"/>
          <w:szCs w:val="24"/>
        </w:rPr>
        <w:t>персонализирана подкрепа за възрастните</w:t>
      </w:r>
      <w:r w:rsidR="00B25806">
        <w:rPr>
          <w:rFonts w:ascii="Times New Roman" w:hAnsi="Times New Roman" w:cs="Times New Roman"/>
          <w:sz w:val="24"/>
          <w:szCs w:val="24"/>
        </w:rPr>
        <w:t>,</w:t>
      </w:r>
      <w:r w:rsidR="006209EC" w:rsidRPr="00D20BC7">
        <w:rPr>
          <w:rFonts w:ascii="Times New Roman" w:hAnsi="Times New Roman" w:cs="Times New Roman"/>
          <w:sz w:val="24"/>
          <w:szCs w:val="24"/>
        </w:rPr>
        <w:t xml:space="preserve"> търсещи работа и насърчаване на работодателите да използват практики за управление на възрастта, да </w:t>
      </w:r>
      <w:r w:rsidR="006209EC" w:rsidRPr="00D20BC7">
        <w:rPr>
          <w:rFonts w:ascii="Times New Roman" w:hAnsi="Times New Roman" w:cs="Times New Roman"/>
          <w:sz w:val="24"/>
          <w:szCs w:val="24"/>
        </w:rPr>
        <w:lastRenderedPageBreak/>
        <w:t>насърчават диалога между поколенията на работното място, да подобряват</w:t>
      </w:r>
      <w:r w:rsidR="005E1CEF">
        <w:rPr>
          <w:rFonts w:ascii="Times New Roman" w:hAnsi="Times New Roman" w:cs="Times New Roman"/>
          <w:sz w:val="24"/>
          <w:szCs w:val="24"/>
        </w:rPr>
        <w:t xml:space="preserve"> </w:t>
      </w:r>
      <w:r w:rsidR="006209EC" w:rsidRPr="00D20BC7">
        <w:rPr>
          <w:rFonts w:ascii="Times New Roman" w:hAnsi="Times New Roman" w:cs="Times New Roman"/>
          <w:sz w:val="24"/>
          <w:szCs w:val="24"/>
        </w:rPr>
        <w:t>развитието на умения и благоприятните за семейството условия на труд, както и да осигуряват здравословни,</w:t>
      </w:r>
      <w:r w:rsidR="005E1CEF">
        <w:rPr>
          <w:rFonts w:ascii="Times New Roman" w:hAnsi="Times New Roman" w:cs="Times New Roman"/>
          <w:sz w:val="24"/>
          <w:szCs w:val="24"/>
        </w:rPr>
        <w:t xml:space="preserve"> </w:t>
      </w:r>
      <w:r w:rsidR="006209EC" w:rsidRPr="00D20BC7">
        <w:rPr>
          <w:rFonts w:ascii="Times New Roman" w:hAnsi="Times New Roman" w:cs="Times New Roman"/>
          <w:sz w:val="24"/>
          <w:szCs w:val="24"/>
        </w:rPr>
        <w:t>безопасни и достъпни работни места, които предотвратяват трудовите злополук</w:t>
      </w:r>
      <w:r w:rsidR="005E1CEF">
        <w:rPr>
          <w:rFonts w:ascii="Times New Roman" w:hAnsi="Times New Roman" w:cs="Times New Roman"/>
          <w:sz w:val="24"/>
          <w:szCs w:val="24"/>
        </w:rPr>
        <w:t xml:space="preserve">и и професионалните заболявания. В приоритета за насърчаване на активния живот се засягат и темите за справедливи пенсионни схеми, </w:t>
      </w:r>
      <w:r w:rsidR="005E1CEF" w:rsidRPr="00D20BC7">
        <w:rPr>
          <w:rFonts w:ascii="Times New Roman" w:hAnsi="Times New Roman" w:cs="Times New Roman"/>
          <w:sz w:val="24"/>
          <w:szCs w:val="24"/>
        </w:rPr>
        <w:t>инвестиране във възможности за формално и неформално обучение на възрастните хора</w:t>
      </w:r>
      <w:r w:rsidR="005E1CEF">
        <w:rPr>
          <w:rFonts w:ascii="Times New Roman" w:hAnsi="Times New Roman" w:cs="Times New Roman"/>
          <w:sz w:val="24"/>
          <w:szCs w:val="24"/>
        </w:rPr>
        <w:t xml:space="preserve">, </w:t>
      </w:r>
      <w:r w:rsidR="005E1CEF" w:rsidRPr="00D20BC7">
        <w:rPr>
          <w:rFonts w:ascii="Times New Roman" w:hAnsi="Times New Roman" w:cs="Times New Roman"/>
          <w:sz w:val="24"/>
          <w:szCs w:val="24"/>
        </w:rPr>
        <w:t>подобряване на цифровите умения и грамотност</w:t>
      </w:r>
      <w:r w:rsidR="005E1CEF">
        <w:rPr>
          <w:rFonts w:ascii="Times New Roman" w:hAnsi="Times New Roman" w:cs="Times New Roman"/>
          <w:sz w:val="24"/>
          <w:szCs w:val="24"/>
        </w:rPr>
        <w:t xml:space="preserve">, </w:t>
      </w:r>
      <w:r w:rsidR="005E1CEF" w:rsidRPr="00D20BC7">
        <w:rPr>
          <w:rFonts w:ascii="Times New Roman" w:hAnsi="Times New Roman" w:cs="Times New Roman"/>
          <w:sz w:val="24"/>
          <w:szCs w:val="24"/>
        </w:rPr>
        <w:t>подкрепа на иновациите за „сребърната“ икономика</w:t>
      </w:r>
      <w:r w:rsidR="005E1CEF">
        <w:rPr>
          <w:rFonts w:ascii="Times New Roman" w:hAnsi="Times New Roman" w:cs="Times New Roman"/>
          <w:sz w:val="24"/>
          <w:szCs w:val="24"/>
        </w:rPr>
        <w:t>.</w:t>
      </w:r>
    </w:p>
    <w:p w14:paraId="1299CB07" w14:textId="77777777" w:rsidR="006209EC" w:rsidRPr="00423E37" w:rsidRDefault="005E1CEF" w:rsidP="00130D1D">
      <w:pPr>
        <w:pStyle w:val="ListParagraph"/>
        <w:numPr>
          <w:ilvl w:val="0"/>
          <w:numId w:val="43"/>
        </w:numPr>
        <w:spacing w:after="0" w:line="240" w:lineRule="auto"/>
        <w:ind w:left="1134" w:firstLine="0"/>
        <w:jc w:val="both"/>
        <w:rPr>
          <w:rFonts w:ascii="Times New Roman" w:hAnsi="Times New Roman" w:cs="Times New Roman"/>
          <w:b/>
          <w:sz w:val="24"/>
          <w:szCs w:val="24"/>
        </w:rPr>
      </w:pPr>
      <w:r w:rsidRPr="00423E37">
        <w:rPr>
          <w:rFonts w:ascii="Times New Roman" w:hAnsi="Times New Roman" w:cs="Times New Roman"/>
          <w:b/>
          <w:sz w:val="24"/>
          <w:szCs w:val="24"/>
        </w:rPr>
        <w:t>О</w:t>
      </w:r>
      <w:r w:rsidR="006209EC" w:rsidRPr="00423E37">
        <w:rPr>
          <w:rFonts w:ascii="Times New Roman" w:hAnsi="Times New Roman" w:cs="Times New Roman"/>
          <w:b/>
          <w:sz w:val="24"/>
          <w:szCs w:val="24"/>
        </w:rPr>
        <w:t xml:space="preserve">сигуряване на достъп до дългосрочни грижи и подкрепа за </w:t>
      </w:r>
      <w:r w:rsidR="003206DC" w:rsidRPr="00423E37">
        <w:rPr>
          <w:rFonts w:ascii="Times New Roman" w:hAnsi="Times New Roman" w:cs="Times New Roman"/>
          <w:b/>
          <w:sz w:val="24"/>
          <w:szCs w:val="24"/>
        </w:rPr>
        <w:t>полагащите грижи и семействата</w:t>
      </w:r>
    </w:p>
    <w:p w14:paraId="310E7F2B" w14:textId="77777777" w:rsidR="006209EC" w:rsidRPr="00D20BC7" w:rsidRDefault="005E1CEF" w:rsidP="00130D1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Декларацията се формулира ангажимент за </w:t>
      </w:r>
      <w:r w:rsidR="006209EC" w:rsidRPr="00D20BC7">
        <w:rPr>
          <w:rFonts w:ascii="Times New Roman" w:hAnsi="Times New Roman" w:cs="Times New Roman"/>
          <w:sz w:val="24"/>
          <w:szCs w:val="24"/>
        </w:rPr>
        <w:t>прилагане на ориентиран към личността и съобразен с възрастта подход към грижите, осигуряващ най-висока степен на независимост, автономност и достойнство</w:t>
      </w:r>
      <w:r w:rsidR="001C4A0B">
        <w:rPr>
          <w:rFonts w:ascii="Times New Roman" w:hAnsi="Times New Roman" w:cs="Times New Roman"/>
          <w:sz w:val="24"/>
          <w:szCs w:val="24"/>
        </w:rPr>
        <w:t xml:space="preserve"> и осигуряващ</w:t>
      </w:r>
      <w:r w:rsidR="006209EC" w:rsidRPr="00D20BC7">
        <w:rPr>
          <w:rFonts w:ascii="Times New Roman" w:hAnsi="Times New Roman" w:cs="Times New Roman"/>
          <w:sz w:val="24"/>
          <w:szCs w:val="24"/>
        </w:rPr>
        <w:t xml:space="preserve"> универсален и равен достъп до здравн</w:t>
      </w:r>
      <w:r w:rsidR="001C4A0B">
        <w:rPr>
          <w:rFonts w:ascii="Times New Roman" w:hAnsi="Times New Roman" w:cs="Times New Roman"/>
          <w:sz w:val="24"/>
          <w:szCs w:val="24"/>
        </w:rPr>
        <w:t>и, социални и дългосрочни грижи и</w:t>
      </w:r>
      <w:r w:rsidR="006209EC" w:rsidRPr="00D20BC7">
        <w:rPr>
          <w:rFonts w:ascii="Times New Roman" w:hAnsi="Times New Roman" w:cs="Times New Roman"/>
          <w:sz w:val="24"/>
          <w:szCs w:val="24"/>
        </w:rPr>
        <w:t xml:space="preserve"> изграден върху принципите на превенция, ранна </w:t>
      </w:r>
      <w:r w:rsidR="001C4A0B">
        <w:rPr>
          <w:rFonts w:ascii="Times New Roman" w:hAnsi="Times New Roman" w:cs="Times New Roman"/>
          <w:sz w:val="24"/>
          <w:szCs w:val="24"/>
        </w:rPr>
        <w:t>интервенция и интегрирани грижи</w:t>
      </w:r>
      <w:r w:rsidR="00130D1D">
        <w:rPr>
          <w:rFonts w:ascii="Times New Roman" w:hAnsi="Times New Roman" w:cs="Times New Roman"/>
          <w:sz w:val="24"/>
          <w:szCs w:val="24"/>
        </w:rPr>
        <w:t xml:space="preserve">. </w:t>
      </w:r>
      <w:r>
        <w:rPr>
          <w:rFonts w:ascii="Times New Roman" w:hAnsi="Times New Roman" w:cs="Times New Roman"/>
          <w:sz w:val="24"/>
          <w:szCs w:val="24"/>
        </w:rPr>
        <w:t xml:space="preserve">Отчита се важността за подобряване на здравните грижи, </w:t>
      </w:r>
      <w:r w:rsidR="006209EC" w:rsidRPr="00D20BC7">
        <w:rPr>
          <w:rFonts w:ascii="Times New Roman" w:hAnsi="Times New Roman" w:cs="Times New Roman"/>
          <w:sz w:val="24"/>
          <w:szCs w:val="24"/>
        </w:rPr>
        <w:t>подобряване на условията на труд на здравните и социалните работници, включително</w:t>
      </w:r>
      <w:r w:rsidR="001C4A0B">
        <w:rPr>
          <w:rFonts w:ascii="Times New Roman" w:hAnsi="Times New Roman" w:cs="Times New Roman"/>
          <w:sz w:val="24"/>
          <w:szCs w:val="24"/>
        </w:rPr>
        <w:t xml:space="preserve"> осигуряване на</w:t>
      </w:r>
      <w:r w:rsidR="006209EC" w:rsidRPr="00D20BC7">
        <w:rPr>
          <w:rFonts w:ascii="Times New Roman" w:hAnsi="Times New Roman" w:cs="Times New Roman"/>
          <w:sz w:val="24"/>
          <w:szCs w:val="24"/>
        </w:rPr>
        <w:t xml:space="preserve"> адекватен персонал и здравосло</w:t>
      </w:r>
      <w:r w:rsidR="001C4A0B">
        <w:rPr>
          <w:rFonts w:ascii="Times New Roman" w:hAnsi="Times New Roman" w:cs="Times New Roman"/>
          <w:sz w:val="24"/>
          <w:szCs w:val="24"/>
        </w:rPr>
        <w:t>вни и безопасни условия на труд</w:t>
      </w:r>
      <w:r>
        <w:rPr>
          <w:rFonts w:ascii="Times New Roman" w:hAnsi="Times New Roman" w:cs="Times New Roman"/>
          <w:sz w:val="24"/>
          <w:szCs w:val="24"/>
        </w:rPr>
        <w:t>. Държавите следва да предприемат</w:t>
      </w:r>
      <w:r w:rsidR="006209EC" w:rsidRPr="00D20BC7">
        <w:rPr>
          <w:rFonts w:ascii="Times New Roman" w:hAnsi="Times New Roman" w:cs="Times New Roman"/>
          <w:sz w:val="24"/>
          <w:szCs w:val="24"/>
        </w:rPr>
        <w:t xml:space="preserve"> подходящи мерки за подготовка за очакваното увеличение на търсенето на услуги за дългосрочни грижи чрез цялостно стратегическо планиране за достатъчен капацитет както в количествено,</w:t>
      </w:r>
      <w:r>
        <w:rPr>
          <w:rFonts w:ascii="Times New Roman" w:hAnsi="Times New Roman" w:cs="Times New Roman"/>
          <w:sz w:val="24"/>
          <w:szCs w:val="24"/>
        </w:rPr>
        <w:t xml:space="preserve"> така и в качествено отношение </w:t>
      </w:r>
      <w:r w:rsidR="001C4A0B">
        <w:rPr>
          <w:rFonts w:ascii="Times New Roman" w:hAnsi="Times New Roman" w:cs="Times New Roman"/>
          <w:sz w:val="24"/>
          <w:szCs w:val="24"/>
        </w:rPr>
        <w:t>и осигуряване на</w:t>
      </w:r>
      <w:r>
        <w:rPr>
          <w:rFonts w:ascii="Times New Roman" w:hAnsi="Times New Roman" w:cs="Times New Roman"/>
          <w:sz w:val="24"/>
          <w:szCs w:val="24"/>
        </w:rPr>
        <w:t xml:space="preserve"> </w:t>
      </w:r>
      <w:r w:rsidR="006209EC" w:rsidRPr="00D20BC7">
        <w:rPr>
          <w:rFonts w:ascii="Times New Roman" w:hAnsi="Times New Roman" w:cs="Times New Roman"/>
          <w:sz w:val="24"/>
          <w:szCs w:val="24"/>
        </w:rPr>
        <w:t>справедливо и устойчиво финансиране.</w:t>
      </w:r>
      <w:r>
        <w:rPr>
          <w:rFonts w:ascii="Times New Roman" w:hAnsi="Times New Roman" w:cs="Times New Roman"/>
          <w:sz w:val="24"/>
          <w:szCs w:val="24"/>
        </w:rPr>
        <w:t xml:space="preserve"> Във връзка с неформалното полагане на грижи се насърчава </w:t>
      </w:r>
      <w:r w:rsidR="006209EC" w:rsidRPr="00D20BC7">
        <w:rPr>
          <w:rFonts w:ascii="Times New Roman" w:hAnsi="Times New Roman" w:cs="Times New Roman"/>
          <w:sz w:val="24"/>
          <w:szCs w:val="24"/>
        </w:rPr>
        <w:t>признаване</w:t>
      </w:r>
      <w:r w:rsidR="00F5653A">
        <w:rPr>
          <w:rFonts w:ascii="Times New Roman" w:hAnsi="Times New Roman" w:cs="Times New Roman"/>
          <w:sz w:val="24"/>
          <w:szCs w:val="24"/>
        </w:rPr>
        <w:t>то</w:t>
      </w:r>
      <w:r w:rsidR="006209EC" w:rsidRPr="00D20BC7">
        <w:rPr>
          <w:rFonts w:ascii="Times New Roman" w:hAnsi="Times New Roman" w:cs="Times New Roman"/>
          <w:sz w:val="24"/>
          <w:szCs w:val="24"/>
        </w:rPr>
        <w:t xml:space="preserve"> и подкрепа</w:t>
      </w:r>
      <w:r w:rsidR="00F5653A">
        <w:rPr>
          <w:rFonts w:ascii="Times New Roman" w:hAnsi="Times New Roman" w:cs="Times New Roman"/>
          <w:sz w:val="24"/>
          <w:szCs w:val="24"/>
        </w:rPr>
        <w:t>та</w:t>
      </w:r>
      <w:r w:rsidR="006209EC" w:rsidRPr="00D20BC7">
        <w:rPr>
          <w:rFonts w:ascii="Times New Roman" w:hAnsi="Times New Roman" w:cs="Times New Roman"/>
          <w:sz w:val="24"/>
          <w:szCs w:val="24"/>
        </w:rPr>
        <w:t xml:space="preserve"> на роля</w:t>
      </w:r>
      <w:r w:rsidR="001C4A0B">
        <w:rPr>
          <w:rFonts w:ascii="Times New Roman" w:hAnsi="Times New Roman" w:cs="Times New Roman"/>
          <w:sz w:val="24"/>
          <w:szCs w:val="24"/>
        </w:rPr>
        <w:t>та</w:t>
      </w:r>
      <w:r w:rsidR="006209EC" w:rsidRPr="00D20BC7">
        <w:rPr>
          <w:rFonts w:ascii="Times New Roman" w:hAnsi="Times New Roman" w:cs="Times New Roman"/>
          <w:sz w:val="24"/>
          <w:szCs w:val="24"/>
        </w:rPr>
        <w:t xml:space="preserve"> на неформалните и семейните грижи като важна част от предоставянето на грижи</w:t>
      </w:r>
      <w:r w:rsidR="001C4A0B">
        <w:rPr>
          <w:rFonts w:ascii="Times New Roman" w:hAnsi="Times New Roman" w:cs="Times New Roman"/>
          <w:sz w:val="24"/>
          <w:szCs w:val="24"/>
        </w:rPr>
        <w:t>.</w:t>
      </w:r>
      <w:r w:rsidR="006209EC" w:rsidRPr="00D20BC7">
        <w:rPr>
          <w:rFonts w:ascii="Times New Roman" w:hAnsi="Times New Roman" w:cs="Times New Roman"/>
          <w:sz w:val="24"/>
          <w:szCs w:val="24"/>
        </w:rPr>
        <w:t xml:space="preserve"> </w:t>
      </w:r>
      <w:r w:rsidR="001C4A0B">
        <w:rPr>
          <w:rFonts w:ascii="Times New Roman" w:hAnsi="Times New Roman" w:cs="Times New Roman"/>
          <w:sz w:val="24"/>
          <w:szCs w:val="24"/>
        </w:rPr>
        <w:t xml:space="preserve">Важен аспект при осигуряване на грижи е възможността за </w:t>
      </w:r>
      <w:r w:rsidR="00F5653A">
        <w:rPr>
          <w:rFonts w:ascii="Times New Roman" w:hAnsi="Times New Roman" w:cs="Times New Roman"/>
          <w:sz w:val="24"/>
          <w:szCs w:val="24"/>
        </w:rPr>
        <w:t>консултиране</w:t>
      </w:r>
      <w:r w:rsidR="001C4A0B">
        <w:rPr>
          <w:rFonts w:ascii="Times New Roman" w:hAnsi="Times New Roman" w:cs="Times New Roman"/>
          <w:sz w:val="24"/>
          <w:szCs w:val="24"/>
        </w:rPr>
        <w:t xml:space="preserve"> на семействата,</w:t>
      </w:r>
      <w:r w:rsidR="006209EC" w:rsidRPr="00D20BC7">
        <w:rPr>
          <w:rFonts w:ascii="Times New Roman" w:hAnsi="Times New Roman" w:cs="Times New Roman"/>
          <w:sz w:val="24"/>
          <w:szCs w:val="24"/>
        </w:rPr>
        <w:t xml:space="preserve"> предприемане на м</w:t>
      </w:r>
      <w:r w:rsidR="00F5653A">
        <w:rPr>
          <w:rFonts w:ascii="Times New Roman" w:hAnsi="Times New Roman" w:cs="Times New Roman"/>
          <w:sz w:val="24"/>
          <w:szCs w:val="24"/>
        </w:rPr>
        <w:t>ерки за балансиране на платения труд</w:t>
      </w:r>
      <w:r w:rsidR="006209EC" w:rsidRPr="00D20BC7">
        <w:rPr>
          <w:rFonts w:ascii="Times New Roman" w:hAnsi="Times New Roman" w:cs="Times New Roman"/>
          <w:sz w:val="24"/>
          <w:szCs w:val="24"/>
        </w:rPr>
        <w:t>, грижите и личния живот и укрепване на междупоколенческата</w:t>
      </w:r>
      <w:r w:rsidR="00F5653A">
        <w:rPr>
          <w:rFonts w:ascii="Times New Roman" w:hAnsi="Times New Roman" w:cs="Times New Roman"/>
          <w:sz w:val="24"/>
          <w:szCs w:val="24"/>
        </w:rPr>
        <w:t xml:space="preserve"> </w:t>
      </w:r>
      <w:r w:rsidR="006209EC" w:rsidRPr="00D20BC7">
        <w:rPr>
          <w:rFonts w:ascii="Times New Roman" w:hAnsi="Times New Roman" w:cs="Times New Roman"/>
          <w:sz w:val="24"/>
          <w:szCs w:val="24"/>
        </w:rPr>
        <w:t>солидарност, както и по-равномерно</w:t>
      </w:r>
      <w:r w:rsidR="001C4A0B">
        <w:rPr>
          <w:rFonts w:ascii="Times New Roman" w:hAnsi="Times New Roman" w:cs="Times New Roman"/>
          <w:sz w:val="24"/>
          <w:szCs w:val="24"/>
        </w:rPr>
        <w:t>то</w:t>
      </w:r>
      <w:r w:rsidR="006209EC" w:rsidRPr="00D20BC7">
        <w:rPr>
          <w:rFonts w:ascii="Times New Roman" w:hAnsi="Times New Roman" w:cs="Times New Roman"/>
          <w:sz w:val="24"/>
          <w:szCs w:val="24"/>
        </w:rPr>
        <w:t xml:space="preserve"> разпределение н</w:t>
      </w:r>
      <w:r w:rsidR="00F5653A">
        <w:rPr>
          <w:rFonts w:ascii="Times New Roman" w:hAnsi="Times New Roman" w:cs="Times New Roman"/>
          <w:sz w:val="24"/>
          <w:szCs w:val="24"/>
        </w:rPr>
        <w:t xml:space="preserve">а грижите между жените и мъжете. Във връзка с </w:t>
      </w:r>
      <w:r w:rsidR="006209EC" w:rsidRPr="00D20BC7">
        <w:rPr>
          <w:rFonts w:ascii="Times New Roman" w:hAnsi="Times New Roman" w:cs="Times New Roman"/>
          <w:sz w:val="24"/>
          <w:szCs w:val="24"/>
        </w:rPr>
        <w:t>разширяване</w:t>
      </w:r>
      <w:r w:rsidR="00F5653A">
        <w:rPr>
          <w:rFonts w:ascii="Times New Roman" w:hAnsi="Times New Roman" w:cs="Times New Roman"/>
          <w:sz w:val="24"/>
          <w:szCs w:val="24"/>
        </w:rPr>
        <w:t>то</w:t>
      </w:r>
      <w:r w:rsidR="006209EC" w:rsidRPr="00D20BC7">
        <w:rPr>
          <w:rFonts w:ascii="Times New Roman" w:hAnsi="Times New Roman" w:cs="Times New Roman"/>
          <w:sz w:val="24"/>
          <w:szCs w:val="24"/>
        </w:rPr>
        <w:t xml:space="preserve"> на защитата от пренебрегване и малтретиране </w:t>
      </w:r>
      <w:r w:rsidR="00F5653A">
        <w:rPr>
          <w:rFonts w:ascii="Times New Roman" w:hAnsi="Times New Roman" w:cs="Times New Roman"/>
          <w:sz w:val="24"/>
          <w:szCs w:val="24"/>
        </w:rPr>
        <w:t xml:space="preserve">при полагане на </w:t>
      </w:r>
      <w:r w:rsidR="006209EC" w:rsidRPr="00D20BC7">
        <w:rPr>
          <w:rFonts w:ascii="Times New Roman" w:hAnsi="Times New Roman" w:cs="Times New Roman"/>
          <w:sz w:val="24"/>
          <w:szCs w:val="24"/>
        </w:rPr>
        <w:t xml:space="preserve">грижи </w:t>
      </w:r>
      <w:r w:rsidR="00F5653A">
        <w:rPr>
          <w:rFonts w:ascii="Times New Roman" w:hAnsi="Times New Roman" w:cs="Times New Roman"/>
          <w:sz w:val="24"/>
          <w:szCs w:val="24"/>
        </w:rPr>
        <w:t>се насърчава</w:t>
      </w:r>
      <w:r w:rsidR="006209EC" w:rsidRPr="00D20BC7">
        <w:rPr>
          <w:rFonts w:ascii="Times New Roman" w:hAnsi="Times New Roman" w:cs="Times New Roman"/>
          <w:sz w:val="24"/>
          <w:szCs w:val="24"/>
        </w:rPr>
        <w:t xml:space="preserve"> </w:t>
      </w:r>
      <w:r w:rsidR="001C4A0B">
        <w:rPr>
          <w:rFonts w:ascii="Times New Roman" w:hAnsi="Times New Roman" w:cs="Times New Roman"/>
          <w:sz w:val="24"/>
          <w:szCs w:val="24"/>
        </w:rPr>
        <w:t>разработване</w:t>
      </w:r>
      <w:r w:rsidR="006209EC" w:rsidRPr="00D20BC7">
        <w:rPr>
          <w:rFonts w:ascii="Times New Roman" w:hAnsi="Times New Roman" w:cs="Times New Roman"/>
          <w:sz w:val="24"/>
          <w:szCs w:val="24"/>
        </w:rPr>
        <w:t xml:space="preserve"> и ефективно прилагане на механизми за защита, </w:t>
      </w:r>
      <w:r w:rsidR="00F5653A">
        <w:rPr>
          <w:rFonts w:ascii="Times New Roman" w:hAnsi="Times New Roman" w:cs="Times New Roman"/>
          <w:sz w:val="24"/>
          <w:szCs w:val="24"/>
        </w:rPr>
        <w:t xml:space="preserve">включително мерки за превенция. </w:t>
      </w:r>
    </w:p>
    <w:p w14:paraId="1431743C" w14:textId="77777777" w:rsidR="006209EC" w:rsidRPr="00423E37" w:rsidRDefault="006209EC" w:rsidP="003206DC">
      <w:pPr>
        <w:pStyle w:val="ListParagraph"/>
        <w:numPr>
          <w:ilvl w:val="0"/>
          <w:numId w:val="43"/>
        </w:numPr>
        <w:spacing w:after="0" w:line="240" w:lineRule="auto"/>
        <w:jc w:val="both"/>
        <w:rPr>
          <w:rFonts w:ascii="Times New Roman" w:hAnsi="Times New Roman" w:cs="Times New Roman"/>
          <w:b/>
          <w:sz w:val="24"/>
          <w:szCs w:val="24"/>
        </w:rPr>
      </w:pPr>
      <w:r w:rsidRPr="00423E37">
        <w:rPr>
          <w:rFonts w:ascii="Times New Roman" w:hAnsi="Times New Roman" w:cs="Times New Roman"/>
          <w:b/>
          <w:sz w:val="24"/>
          <w:szCs w:val="24"/>
        </w:rPr>
        <w:t>Интегриране на застаряването за развитие на общество за всички възрасти</w:t>
      </w:r>
    </w:p>
    <w:p w14:paraId="4844CC95" w14:textId="77777777" w:rsidR="006209EC" w:rsidRPr="00D20BC7" w:rsidRDefault="003206DC" w:rsidP="003206D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Този приоритет се отнася до разработване</w:t>
      </w:r>
      <w:r w:rsidR="001C4A0B">
        <w:rPr>
          <w:rFonts w:ascii="Times New Roman" w:hAnsi="Times New Roman" w:cs="Times New Roman"/>
          <w:sz w:val="24"/>
          <w:szCs w:val="24"/>
        </w:rPr>
        <w:t xml:space="preserve"> и укрепване</w:t>
      </w:r>
      <w:r w:rsidR="006209EC" w:rsidRPr="00D20BC7">
        <w:rPr>
          <w:rFonts w:ascii="Times New Roman" w:hAnsi="Times New Roman" w:cs="Times New Roman"/>
          <w:sz w:val="24"/>
          <w:szCs w:val="24"/>
        </w:rPr>
        <w:t xml:space="preserve"> на национална стратегическа рамка за интегриране на застаряването, за да се подпомогне систематичното разглеждане и интегриране както на индивидуалните, така и на </w:t>
      </w:r>
      <w:r>
        <w:rPr>
          <w:rFonts w:ascii="Times New Roman" w:hAnsi="Times New Roman" w:cs="Times New Roman"/>
          <w:sz w:val="24"/>
          <w:szCs w:val="24"/>
        </w:rPr>
        <w:t xml:space="preserve">обществените </w:t>
      </w:r>
      <w:r w:rsidR="006209EC" w:rsidRPr="00D20BC7">
        <w:rPr>
          <w:rFonts w:ascii="Times New Roman" w:hAnsi="Times New Roman" w:cs="Times New Roman"/>
          <w:sz w:val="24"/>
          <w:szCs w:val="24"/>
        </w:rPr>
        <w:t xml:space="preserve">аспекти на застаряването във всички политики на местно, </w:t>
      </w:r>
      <w:proofErr w:type="spellStart"/>
      <w:r w:rsidR="006209EC" w:rsidRPr="00D20BC7">
        <w:rPr>
          <w:rFonts w:ascii="Times New Roman" w:hAnsi="Times New Roman" w:cs="Times New Roman"/>
          <w:sz w:val="24"/>
          <w:szCs w:val="24"/>
        </w:rPr>
        <w:t>поднационално</w:t>
      </w:r>
      <w:proofErr w:type="spellEnd"/>
      <w:r w:rsidR="006209EC" w:rsidRPr="00D20BC7">
        <w:rPr>
          <w:rFonts w:ascii="Times New Roman" w:hAnsi="Times New Roman" w:cs="Times New Roman"/>
          <w:sz w:val="24"/>
          <w:szCs w:val="24"/>
        </w:rPr>
        <w:t>, национално и международно ниво</w:t>
      </w:r>
      <w:r>
        <w:rPr>
          <w:rFonts w:ascii="Times New Roman" w:hAnsi="Times New Roman" w:cs="Times New Roman"/>
          <w:sz w:val="24"/>
          <w:szCs w:val="24"/>
        </w:rPr>
        <w:t xml:space="preserve">. Отчита се важността на развиване на политики, основани на доказателства и в тази връзка се насърчават изследванията и събирането на данни за застаряването. Подходът за интегриране </w:t>
      </w:r>
      <w:r w:rsidR="001C4A0B">
        <w:rPr>
          <w:rFonts w:ascii="Times New Roman" w:hAnsi="Times New Roman" w:cs="Times New Roman"/>
          <w:sz w:val="24"/>
          <w:szCs w:val="24"/>
        </w:rPr>
        <w:t xml:space="preserve">на застаряването във всички политики </w:t>
      </w:r>
      <w:r>
        <w:rPr>
          <w:rFonts w:ascii="Times New Roman" w:hAnsi="Times New Roman" w:cs="Times New Roman"/>
          <w:sz w:val="24"/>
          <w:szCs w:val="24"/>
        </w:rPr>
        <w:t xml:space="preserve">следва да е основан върху </w:t>
      </w:r>
      <w:r w:rsidR="006209EC" w:rsidRPr="00D20BC7">
        <w:rPr>
          <w:rFonts w:ascii="Times New Roman" w:hAnsi="Times New Roman" w:cs="Times New Roman"/>
          <w:sz w:val="24"/>
          <w:szCs w:val="24"/>
        </w:rPr>
        <w:t xml:space="preserve">правата </w:t>
      </w:r>
      <w:r>
        <w:rPr>
          <w:rFonts w:ascii="Times New Roman" w:hAnsi="Times New Roman" w:cs="Times New Roman"/>
          <w:sz w:val="24"/>
          <w:szCs w:val="24"/>
        </w:rPr>
        <w:t xml:space="preserve">на човека и ориентиран към жизнения цикъл. Подчертава се необходимостта от </w:t>
      </w:r>
      <w:r w:rsidR="006209EC" w:rsidRPr="00D20BC7">
        <w:rPr>
          <w:rFonts w:ascii="Times New Roman" w:hAnsi="Times New Roman" w:cs="Times New Roman"/>
          <w:sz w:val="24"/>
          <w:szCs w:val="24"/>
        </w:rPr>
        <w:t>координиране на политиките, свързани с</w:t>
      </w:r>
      <w:r>
        <w:rPr>
          <w:rFonts w:ascii="Times New Roman" w:hAnsi="Times New Roman" w:cs="Times New Roman"/>
          <w:sz w:val="24"/>
          <w:szCs w:val="24"/>
        </w:rPr>
        <w:t>ъс застаряването на населението</w:t>
      </w:r>
      <w:r w:rsidR="006209EC" w:rsidRPr="00D20BC7">
        <w:rPr>
          <w:rFonts w:ascii="Times New Roman" w:hAnsi="Times New Roman" w:cs="Times New Roman"/>
          <w:sz w:val="24"/>
          <w:szCs w:val="24"/>
        </w:rPr>
        <w:t xml:space="preserve"> на всички нива на управление чрез създаване или укрепване на междуинституционални механизми за координация, за да се осигури систематично интегриране на застаряване</w:t>
      </w:r>
      <w:r>
        <w:rPr>
          <w:rFonts w:ascii="Times New Roman" w:hAnsi="Times New Roman" w:cs="Times New Roman"/>
          <w:sz w:val="24"/>
          <w:szCs w:val="24"/>
        </w:rPr>
        <w:t xml:space="preserve">то във всички публични политики. В тази връзка е необходимо </w:t>
      </w:r>
      <w:r w:rsidR="006209EC" w:rsidRPr="00D20BC7">
        <w:rPr>
          <w:rFonts w:ascii="Times New Roman" w:hAnsi="Times New Roman" w:cs="Times New Roman"/>
          <w:sz w:val="24"/>
          <w:szCs w:val="24"/>
        </w:rPr>
        <w:t>изграждане на капацитет за интегриране на застаряването чрез разработване на методологии за анализ и оценки на въздействието</w:t>
      </w:r>
      <w:r>
        <w:rPr>
          <w:rFonts w:ascii="Times New Roman" w:hAnsi="Times New Roman" w:cs="Times New Roman"/>
          <w:sz w:val="24"/>
          <w:szCs w:val="24"/>
        </w:rPr>
        <w:t xml:space="preserve">, съобразени с възрастта и пола. Интегрирането на застаряването във всички сфери е свързано с </w:t>
      </w:r>
      <w:r w:rsidR="006209EC" w:rsidRPr="00D20BC7">
        <w:rPr>
          <w:rFonts w:ascii="Times New Roman" w:hAnsi="Times New Roman" w:cs="Times New Roman"/>
          <w:sz w:val="24"/>
          <w:szCs w:val="24"/>
        </w:rPr>
        <w:t>разработване на подход за ангажиране на заинтересованите страни, основан на участието на цялото правителство и цялото общество, за да се гарантира, че възрастните хора и организаци</w:t>
      </w:r>
      <w:r>
        <w:rPr>
          <w:rFonts w:ascii="Times New Roman" w:hAnsi="Times New Roman" w:cs="Times New Roman"/>
          <w:sz w:val="24"/>
          <w:szCs w:val="24"/>
        </w:rPr>
        <w:t xml:space="preserve">ите, които ги представляват, </w:t>
      </w:r>
      <w:r w:rsidR="006209EC" w:rsidRPr="00D20BC7">
        <w:rPr>
          <w:rFonts w:ascii="Times New Roman" w:hAnsi="Times New Roman" w:cs="Times New Roman"/>
          <w:sz w:val="24"/>
          <w:szCs w:val="24"/>
        </w:rPr>
        <w:t xml:space="preserve">активно участват в </w:t>
      </w:r>
      <w:r>
        <w:rPr>
          <w:rFonts w:ascii="Times New Roman" w:hAnsi="Times New Roman" w:cs="Times New Roman"/>
          <w:sz w:val="24"/>
          <w:szCs w:val="24"/>
        </w:rPr>
        <w:t>междусекторния</w:t>
      </w:r>
      <w:r w:rsidR="006209EC" w:rsidRPr="00D20BC7">
        <w:rPr>
          <w:rFonts w:ascii="Times New Roman" w:hAnsi="Times New Roman" w:cs="Times New Roman"/>
          <w:sz w:val="24"/>
          <w:szCs w:val="24"/>
        </w:rPr>
        <w:t xml:space="preserve"> диалог и сътрудничество по въпросите на застаряването между всички </w:t>
      </w:r>
      <w:r w:rsidR="001C4A0B">
        <w:rPr>
          <w:rFonts w:ascii="Times New Roman" w:hAnsi="Times New Roman" w:cs="Times New Roman"/>
          <w:sz w:val="24"/>
          <w:szCs w:val="24"/>
        </w:rPr>
        <w:t xml:space="preserve">заинтересовани страни </w:t>
      </w:r>
      <w:r w:rsidR="006209EC" w:rsidRPr="00D20BC7">
        <w:rPr>
          <w:rFonts w:ascii="Times New Roman" w:hAnsi="Times New Roman" w:cs="Times New Roman"/>
          <w:sz w:val="24"/>
          <w:szCs w:val="24"/>
        </w:rPr>
        <w:t xml:space="preserve">в </w:t>
      </w:r>
      <w:r w:rsidR="006209EC" w:rsidRPr="00D20BC7">
        <w:rPr>
          <w:rFonts w:ascii="Times New Roman" w:hAnsi="Times New Roman" w:cs="Times New Roman"/>
          <w:sz w:val="24"/>
          <w:szCs w:val="24"/>
        </w:rPr>
        <w:lastRenderedPageBreak/>
        <w:t>публичния и частния сектор, академичните среди, социалните па</w:t>
      </w:r>
      <w:r>
        <w:rPr>
          <w:rFonts w:ascii="Times New Roman" w:hAnsi="Times New Roman" w:cs="Times New Roman"/>
          <w:sz w:val="24"/>
          <w:szCs w:val="24"/>
        </w:rPr>
        <w:t>ртньори и гражданското общество.</w:t>
      </w:r>
    </w:p>
    <w:p w14:paraId="12693F1B" w14:textId="77777777" w:rsidR="00327365" w:rsidRPr="00327365" w:rsidRDefault="00327365" w:rsidP="00327365">
      <w:pPr>
        <w:autoSpaceDE w:val="0"/>
        <w:autoSpaceDN w:val="0"/>
        <w:adjustRightInd w:val="0"/>
        <w:spacing w:after="0" w:line="240" w:lineRule="auto"/>
        <w:ind w:firstLine="720"/>
        <w:jc w:val="both"/>
        <w:rPr>
          <w:rFonts w:ascii="Times New Roman" w:hAnsi="Times New Roman" w:cs="Times New Roman"/>
          <w:sz w:val="24"/>
          <w:szCs w:val="24"/>
        </w:rPr>
      </w:pPr>
      <w:r w:rsidRPr="00327365">
        <w:rPr>
          <w:rFonts w:ascii="Times New Roman" w:hAnsi="Times New Roman" w:cs="Times New Roman"/>
          <w:sz w:val="24"/>
          <w:szCs w:val="24"/>
        </w:rPr>
        <w:t xml:space="preserve">Във връзка с интегрирането на въпросите на застаряването във всички политики Икономическата комисия за Европа на ООН през 2021 г. </w:t>
      </w:r>
      <w:r w:rsidR="00DD20B4">
        <w:rPr>
          <w:rFonts w:ascii="Times New Roman" w:hAnsi="Times New Roman" w:cs="Times New Roman"/>
          <w:sz w:val="24"/>
          <w:szCs w:val="24"/>
        </w:rPr>
        <w:t>е разработила</w:t>
      </w:r>
      <w:r w:rsidRPr="00327365">
        <w:rPr>
          <w:rFonts w:ascii="Times New Roman" w:hAnsi="Times New Roman" w:cs="Times New Roman"/>
          <w:sz w:val="24"/>
          <w:szCs w:val="24"/>
        </w:rPr>
        <w:t xml:space="preserve"> </w:t>
      </w:r>
      <w:r w:rsidRPr="00327365">
        <w:rPr>
          <w:rFonts w:ascii="Times New Roman" w:hAnsi="Times New Roman" w:cs="Times New Roman"/>
          <w:b/>
          <w:i/>
          <w:sz w:val="24"/>
          <w:szCs w:val="24"/>
        </w:rPr>
        <w:t>Насоки за интегриране на застаряването на населението в публичните политики</w:t>
      </w:r>
      <w:r w:rsidRPr="00327365">
        <w:rPr>
          <w:rFonts w:ascii="Times New Roman" w:hAnsi="Times New Roman" w:cs="Times New Roman"/>
          <w:b/>
          <w:sz w:val="24"/>
          <w:szCs w:val="24"/>
        </w:rPr>
        <w:t xml:space="preserve">. </w:t>
      </w:r>
      <w:r w:rsidR="00DD20B4" w:rsidRPr="00DD20B4">
        <w:rPr>
          <w:rFonts w:ascii="Times New Roman" w:hAnsi="Times New Roman" w:cs="Times New Roman"/>
          <w:sz w:val="24"/>
          <w:szCs w:val="24"/>
        </w:rPr>
        <w:t>Отчита се, че п</w:t>
      </w:r>
      <w:r w:rsidRPr="00DD20B4">
        <w:rPr>
          <w:rFonts w:ascii="Times New Roman" w:hAnsi="Times New Roman" w:cs="Times New Roman"/>
          <w:sz w:val="24"/>
          <w:szCs w:val="24"/>
        </w:rPr>
        <w:t>рез последните две десетилетия на прилагане на Регионалната стратегия за изпълнение на ИКЕ на ООН към Мадридския международен план за действие</w:t>
      </w:r>
      <w:r w:rsidRPr="00327365">
        <w:rPr>
          <w:rFonts w:ascii="Times New Roman" w:hAnsi="Times New Roman" w:cs="Times New Roman"/>
          <w:sz w:val="24"/>
          <w:szCs w:val="24"/>
        </w:rPr>
        <w:t xml:space="preserve"> по застаряването много държави са въвели междусекторни политики по застаряването, за да адаптират пенсионните системи, системите за здравеопазване и грижи, пазара на труда към застаряването на населението и да подобрят положението на възрастните хора. Но в много случаи не е поставен акцент за системно осигуряване на координация и съгласуваност на политиките между областите на политиката и равнищата на управление. В </w:t>
      </w:r>
      <w:r w:rsidRPr="00327365">
        <w:rPr>
          <w:rFonts w:ascii="Times New Roman" w:hAnsi="Times New Roman" w:cs="Times New Roman"/>
          <w:i/>
          <w:sz w:val="24"/>
          <w:szCs w:val="24"/>
        </w:rPr>
        <w:t>Насоките за интегриране на застаряването на населението в публичните политики</w:t>
      </w:r>
      <w:r w:rsidRPr="00327365">
        <w:rPr>
          <w:rFonts w:ascii="Times New Roman" w:hAnsi="Times New Roman" w:cs="Times New Roman"/>
          <w:sz w:val="24"/>
          <w:szCs w:val="24"/>
        </w:rPr>
        <w:t xml:space="preserve"> се посочва, че за да бъде ефективно интегрирането на застаряването, това усилие трябва да бъде подкрепено от политически ангажимент и лидерство, както и от ефективни механизми за координация. Отчита се потребност от усъвършенстване на анализа на политиките по застаряването, който следва да бъде ориентиран към адресиране на потребностите на всяка възраст, а оценките на въздействието на застаряването трябва систематично да бъдат интегрирани в законодателния процес и оперативното програмиране, като се основават на надеждни данни и информация. </w:t>
      </w:r>
      <w:r w:rsidRPr="00327365">
        <w:rPr>
          <w:rFonts w:ascii="Times New Roman" w:hAnsi="Times New Roman" w:cs="Times New Roman"/>
          <w:i/>
          <w:sz w:val="24"/>
          <w:szCs w:val="24"/>
        </w:rPr>
        <w:t>Насоките</w:t>
      </w:r>
      <w:r w:rsidRPr="00327365">
        <w:rPr>
          <w:rFonts w:ascii="Times New Roman" w:hAnsi="Times New Roman" w:cs="Times New Roman"/>
          <w:sz w:val="24"/>
          <w:szCs w:val="24"/>
        </w:rPr>
        <w:t xml:space="preserve"> отправят предложения за това как тези потенциални недостатъци и предизвикателства могат да бъдат систематично адресирани.</w:t>
      </w:r>
    </w:p>
    <w:p w14:paraId="6AA6B384" w14:textId="77777777" w:rsidR="00327365" w:rsidRPr="00002FED" w:rsidRDefault="00327365" w:rsidP="00327365">
      <w:pPr>
        <w:spacing w:after="0" w:line="240" w:lineRule="auto"/>
        <w:ind w:firstLine="709"/>
        <w:jc w:val="both"/>
        <w:rPr>
          <w:rFonts w:ascii="Times New Roman" w:hAnsi="Times New Roman" w:cs="Times New Roman"/>
          <w:sz w:val="24"/>
          <w:szCs w:val="24"/>
        </w:rPr>
      </w:pPr>
      <w:r w:rsidRPr="00327365">
        <w:rPr>
          <w:rFonts w:ascii="Times New Roman" w:hAnsi="Times New Roman" w:cs="Times New Roman"/>
          <w:sz w:val="24"/>
          <w:szCs w:val="24"/>
        </w:rPr>
        <w:t xml:space="preserve">Ползите от интегрирането на застаряването включват разработването на публична политика с голяма степен на съответствие с потребностите на обществото, тъй като позволява по-ефективно адресиране на нуждите на всички възрастови групи. Като взема предвид всички поколения и признава хетерогенността и разнообразието във и между възрастовите групи, интегрирането на застаряването насърчава солидарността между поколенията и социалното сближаване. </w:t>
      </w:r>
      <w:r w:rsidR="00DD20B4">
        <w:rPr>
          <w:rFonts w:ascii="Times New Roman" w:hAnsi="Times New Roman" w:cs="Times New Roman"/>
          <w:sz w:val="24"/>
          <w:szCs w:val="24"/>
        </w:rPr>
        <w:t>С</w:t>
      </w:r>
      <w:r w:rsidRPr="00327365">
        <w:rPr>
          <w:rFonts w:ascii="Times New Roman" w:hAnsi="Times New Roman" w:cs="Times New Roman"/>
          <w:sz w:val="24"/>
          <w:szCs w:val="24"/>
        </w:rPr>
        <w:t xml:space="preserve">ъгласуваността и интеграцията на политиката </w:t>
      </w:r>
      <w:r w:rsidR="00DD20B4">
        <w:rPr>
          <w:rFonts w:ascii="Times New Roman" w:hAnsi="Times New Roman" w:cs="Times New Roman"/>
          <w:sz w:val="24"/>
          <w:szCs w:val="24"/>
        </w:rPr>
        <w:t xml:space="preserve">по застаряването </w:t>
      </w:r>
      <w:r w:rsidRPr="00327365">
        <w:rPr>
          <w:rFonts w:ascii="Times New Roman" w:hAnsi="Times New Roman" w:cs="Times New Roman"/>
          <w:sz w:val="24"/>
          <w:szCs w:val="24"/>
        </w:rPr>
        <w:t>чрез подобрена координация и сътрудничество между областите на политиката, нивата на управление и между ра</w:t>
      </w:r>
      <w:r w:rsidR="00DD20B4">
        <w:rPr>
          <w:rFonts w:ascii="Times New Roman" w:hAnsi="Times New Roman" w:cs="Times New Roman"/>
          <w:sz w:val="24"/>
          <w:szCs w:val="24"/>
        </w:rPr>
        <w:t xml:space="preserve">зличните заинтересовани страни ще има за резултат </w:t>
      </w:r>
      <w:r w:rsidRPr="00327365">
        <w:rPr>
          <w:rFonts w:ascii="Times New Roman" w:hAnsi="Times New Roman" w:cs="Times New Roman"/>
          <w:sz w:val="24"/>
          <w:szCs w:val="24"/>
        </w:rPr>
        <w:t>по-високо качество и по-ефективни публични политики. Крайната цел на интегрирането на застаряването е да се постигне общество за всички възрасти, в което по-справедливото развитие в обществото ще бъде от полза за всички възрастови групи.</w:t>
      </w:r>
    </w:p>
    <w:p w14:paraId="1841BE73" w14:textId="77777777" w:rsidR="00002FED" w:rsidRPr="00002FED" w:rsidRDefault="00002FED"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2D34000B" w14:textId="77777777" w:rsidR="00002FED" w:rsidRDefault="00002FED"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3EF27DAA"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77CBAA29"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5B4BEB11"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0A85D4E7"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4B4560B5"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3F9BE1D6"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5A339FAA"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09811D32"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3949B1E0"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5B39A661"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4DB0C66E"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11B95915"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0E9B3C6B" w14:textId="77777777" w:rsidR="001C4A0B" w:rsidRDefault="001C4A0B"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74699AC7" w14:textId="77777777" w:rsidR="008231FD" w:rsidRPr="00002FED" w:rsidRDefault="008231FD"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1263B031" w14:textId="77777777" w:rsidR="00002FED" w:rsidRPr="00002FED" w:rsidRDefault="00002FED"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156B10DC" w14:textId="77777777" w:rsidR="00002FED" w:rsidRPr="00002FED" w:rsidRDefault="00002FED" w:rsidP="00002FED">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47727F38" w14:textId="77777777" w:rsidR="00A97432" w:rsidRPr="00FA2FE5" w:rsidRDefault="00A97432" w:rsidP="00A97432">
      <w:pPr>
        <w:shd w:val="clear" w:color="auto" w:fill="FFFFFF"/>
        <w:tabs>
          <w:tab w:val="left" w:pos="993"/>
        </w:tabs>
        <w:autoSpaceDE w:val="0"/>
        <w:autoSpaceDN w:val="0"/>
        <w:adjustRightInd w:val="0"/>
        <w:spacing w:after="0" w:line="240" w:lineRule="auto"/>
        <w:jc w:val="center"/>
        <w:rPr>
          <w:rFonts w:ascii="Times New Roman" w:eastAsia="Calibri" w:hAnsi="Times New Roman" w:cs="Times New Roman"/>
          <w:b/>
          <w:caps/>
          <w:sz w:val="28"/>
          <w:szCs w:val="28"/>
          <w:lang w:val="en-US"/>
        </w:rPr>
      </w:pPr>
      <w:r w:rsidRPr="006C13DF">
        <w:rPr>
          <w:rFonts w:ascii="Times New Roman" w:eastAsia="Calibri" w:hAnsi="Times New Roman" w:cs="Times New Roman"/>
          <w:b/>
          <w:caps/>
          <w:sz w:val="28"/>
          <w:szCs w:val="28"/>
        </w:rPr>
        <w:lastRenderedPageBreak/>
        <w:t xml:space="preserve">Част </w:t>
      </w:r>
      <w:r w:rsidR="00FA2FE5">
        <w:rPr>
          <w:rFonts w:ascii="Times New Roman" w:eastAsia="Calibri" w:hAnsi="Times New Roman" w:cs="Times New Roman"/>
          <w:b/>
          <w:caps/>
          <w:sz w:val="28"/>
          <w:szCs w:val="28"/>
          <w:lang w:val="en-US"/>
        </w:rPr>
        <w:t>3</w:t>
      </w:r>
    </w:p>
    <w:p w14:paraId="0E876322" w14:textId="77777777" w:rsidR="00A97432" w:rsidRPr="006C13DF" w:rsidRDefault="00A97432" w:rsidP="00A97432">
      <w:pPr>
        <w:shd w:val="clear" w:color="auto" w:fill="FFFFFF"/>
        <w:tabs>
          <w:tab w:val="left" w:pos="993"/>
        </w:tabs>
        <w:autoSpaceDE w:val="0"/>
        <w:autoSpaceDN w:val="0"/>
        <w:adjustRightInd w:val="0"/>
        <w:spacing w:after="0" w:line="240" w:lineRule="auto"/>
        <w:jc w:val="center"/>
        <w:rPr>
          <w:rFonts w:ascii="Times New Roman" w:eastAsia="MS Mincho" w:hAnsi="Times New Roman" w:cs="Times New Roman"/>
          <w:sz w:val="24"/>
          <w:szCs w:val="24"/>
        </w:rPr>
      </w:pPr>
    </w:p>
    <w:p w14:paraId="7AF2D661" w14:textId="77777777" w:rsidR="00A97432" w:rsidRPr="006C13DF" w:rsidRDefault="00A97432" w:rsidP="00A97432">
      <w:pPr>
        <w:spacing w:after="0" w:line="240" w:lineRule="auto"/>
        <w:jc w:val="center"/>
        <w:rPr>
          <w:rFonts w:ascii="Times New Roman" w:eastAsia="Calibri" w:hAnsi="Times New Roman" w:cs="Times New Roman"/>
          <w:b/>
          <w:caps/>
          <w:sz w:val="28"/>
          <w:szCs w:val="28"/>
        </w:rPr>
      </w:pPr>
      <w:r w:rsidRPr="006C13DF">
        <w:rPr>
          <w:rFonts w:ascii="Times New Roman" w:eastAsia="Calibri" w:hAnsi="Times New Roman" w:cs="Times New Roman"/>
          <w:b/>
          <w:caps/>
          <w:sz w:val="28"/>
          <w:szCs w:val="28"/>
        </w:rPr>
        <w:t xml:space="preserve">ОТЧЕТ ЗА 2023 – 2024 </w:t>
      </w:r>
      <w:r w:rsidRPr="006C13DF">
        <w:rPr>
          <w:rFonts w:ascii="Times New Roman" w:eastAsia="Calibri" w:hAnsi="Times New Roman" w:cs="Times New Roman"/>
          <w:b/>
          <w:sz w:val="28"/>
          <w:szCs w:val="28"/>
        </w:rPr>
        <w:t>г</w:t>
      </w:r>
      <w:r w:rsidRPr="006C13DF">
        <w:rPr>
          <w:rFonts w:ascii="Times New Roman" w:eastAsia="Calibri" w:hAnsi="Times New Roman" w:cs="Times New Roman"/>
          <w:b/>
          <w:caps/>
          <w:sz w:val="28"/>
          <w:szCs w:val="28"/>
        </w:rPr>
        <w:t xml:space="preserve">. за изпълнение на Националната стратегия за активен живот на възрастните хора в България (2019-2030 </w:t>
      </w:r>
      <w:r w:rsidRPr="006C13DF">
        <w:rPr>
          <w:rFonts w:ascii="Times New Roman" w:eastAsia="Calibri" w:hAnsi="Times New Roman" w:cs="Times New Roman"/>
          <w:b/>
          <w:sz w:val="28"/>
          <w:szCs w:val="28"/>
        </w:rPr>
        <w:t>г</w:t>
      </w:r>
      <w:r w:rsidRPr="006C13DF">
        <w:rPr>
          <w:rFonts w:ascii="Times New Roman" w:eastAsia="Calibri" w:hAnsi="Times New Roman" w:cs="Times New Roman"/>
          <w:b/>
          <w:caps/>
          <w:sz w:val="28"/>
          <w:szCs w:val="28"/>
        </w:rPr>
        <w:t xml:space="preserve">.) </w:t>
      </w:r>
    </w:p>
    <w:p w14:paraId="51174EEF" w14:textId="77777777" w:rsidR="00D30296" w:rsidRPr="006C13DF" w:rsidRDefault="00D30296" w:rsidP="009809AE">
      <w:pPr>
        <w:shd w:val="clear" w:color="auto" w:fill="FFFFFF" w:themeFill="background1"/>
        <w:tabs>
          <w:tab w:val="left" w:pos="993"/>
        </w:tabs>
        <w:autoSpaceDE w:val="0"/>
        <w:autoSpaceDN w:val="0"/>
        <w:adjustRightInd w:val="0"/>
        <w:spacing w:after="0" w:line="240" w:lineRule="auto"/>
        <w:rPr>
          <w:rFonts w:ascii="Times New Roman" w:hAnsi="Times New Roman" w:cs="Times New Roman"/>
          <w:b/>
          <w:caps/>
          <w:sz w:val="24"/>
          <w:szCs w:val="24"/>
        </w:rPr>
      </w:pPr>
    </w:p>
    <w:p w14:paraId="063BFEDE" w14:textId="77777777" w:rsidR="00A97432" w:rsidRPr="006C13DF" w:rsidRDefault="00A97432" w:rsidP="00A97432">
      <w:pPr>
        <w:spacing w:after="0" w:line="240" w:lineRule="auto"/>
        <w:ind w:firstLine="708"/>
        <w:jc w:val="both"/>
        <w:rPr>
          <w:rFonts w:ascii="Times New Roman" w:hAnsi="Times New Roman" w:cs="Times New Roman"/>
          <w:b/>
          <w:sz w:val="24"/>
          <w:szCs w:val="24"/>
        </w:rPr>
      </w:pPr>
      <w:r w:rsidRPr="006C13DF">
        <w:rPr>
          <w:rFonts w:ascii="Times New Roman" w:hAnsi="Times New Roman" w:cs="Times New Roman"/>
          <w:sz w:val="24"/>
          <w:szCs w:val="24"/>
        </w:rPr>
        <w:t xml:space="preserve">Основните стратегически документи за посрещане на демографските предизвикателства в Република България, в това число и застаряването, са </w:t>
      </w:r>
      <w:r w:rsidRPr="006C13DF">
        <w:rPr>
          <w:rFonts w:ascii="Times New Roman" w:hAnsi="Times New Roman" w:cs="Times New Roman"/>
          <w:b/>
          <w:sz w:val="24"/>
          <w:szCs w:val="24"/>
        </w:rPr>
        <w:t>Актуализирана национална стратегия за демографско развитие на населението в Република България (2012 – 2030 г.)</w:t>
      </w:r>
      <w:r w:rsidRPr="006C13DF">
        <w:rPr>
          <w:rFonts w:ascii="Times New Roman" w:hAnsi="Times New Roman" w:cs="Times New Roman"/>
          <w:sz w:val="24"/>
          <w:szCs w:val="24"/>
        </w:rPr>
        <w:t xml:space="preserve"> и </w:t>
      </w:r>
      <w:r w:rsidRPr="006C13DF">
        <w:rPr>
          <w:rFonts w:ascii="Times New Roman" w:hAnsi="Times New Roman" w:cs="Times New Roman"/>
          <w:b/>
          <w:sz w:val="24"/>
          <w:szCs w:val="24"/>
        </w:rPr>
        <w:t xml:space="preserve">Националната стратегия за активен живот на възрастните хора в България (2019 </w:t>
      </w:r>
      <w:r w:rsidR="000373F9" w:rsidRPr="006C13DF">
        <w:rPr>
          <w:rFonts w:ascii="Times New Roman" w:hAnsi="Times New Roman" w:cs="Times New Roman"/>
          <w:b/>
          <w:sz w:val="24"/>
          <w:szCs w:val="24"/>
        </w:rPr>
        <w:t xml:space="preserve">– </w:t>
      </w:r>
      <w:r w:rsidRPr="006C13DF">
        <w:rPr>
          <w:rFonts w:ascii="Times New Roman" w:hAnsi="Times New Roman" w:cs="Times New Roman"/>
          <w:b/>
          <w:sz w:val="24"/>
          <w:szCs w:val="24"/>
        </w:rPr>
        <w:t>2030 г.).</w:t>
      </w:r>
      <w:r w:rsidRPr="006C13DF">
        <w:rPr>
          <w:rFonts w:ascii="Times New Roman" w:hAnsi="Times New Roman" w:cs="Times New Roman"/>
          <w:sz w:val="24"/>
          <w:szCs w:val="24"/>
        </w:rPr>
        <w:t xml:space="preserve"> Дългосрочната стратегическа цел по отношение на застаряването е насочена към създаване на условия за активен и достоен живот на възрастните хора чрез осигуряване на равни възможности за пълноценното им участие в икономическия и социален живот на обществото. </w:t>
      </w:r>
      <w:r w:rsidRPr="006C13DF">
        <w:rPr>
          <w:rFonts w:ascii="Times New Roman" w:hAnsi="Times New Roman" w:cs="Times New Roman"/>
          <w:b/>
          <w:sz w:val="24"/>
          <w:szCs w:val="24"/>
        </w:rPr>
        <w:t xml:space="preserve">Стратегията е приета от Министерския съвет на Република България на 15 март 2019 г. </w:t>
      </w:r>
    </w:p>
    <w:p w14:paraId="46AD4E89" w14:textId="77777777" w:rsidR="00A97432" w:rsidRPr="006C13DF" w:rsidRDefault="00A97432" w:rsidP="00A97432">
      <w:pPr>
        <w:pStyle w:val="BodyText2"/>
        <w:spacing w:after="0" w:line="240" w:lineRule="auto"/>
        <w:ind w:firstLine="708"/>
        <w:jc w:val="both"/>
        <w:rPr>
          <w:rFonts w:ascii="Times New Roman" w:hAnsi="Times New Roman" w:cs="Times New Roman"/>
          <w:b/>
          <w:sz w:val="24"/>
          <w:szCs w:val="24"/>
        </w:rPr>
      </w:pPr>
      <w:r w:rsidRPr="006C13DF">
        <w:rPr>
          <w:rFonts w:ascii="Times New Roman" w:hAnsi="Times New Roman" w:cs="Times New Roman"/>
          <w:b/>
          <w:sz w:val="24"/>
          <w:szCs w:val="24"/>
        </w:rPr>
        <w:t xml:space="preserve">Националната стратегия за активен живот на възрастните хора в България (2019 - 2030 г.) съдържа четири приоритета: </w:t>
      </w:r>
    </w:p>
    <w:p w14:paraId="01AAA6FB" w14:textId="77777777" w:rsidR="00A97432" w:rsidRPr="006C13DF" w:rsidRDefault="00A97432" w:rsidP="00A97432">
      <w:pPr>
        <w:spacing w:after="0" w:line="240" w:lineRule="auto"/>
        <w:ind w:firstLine="706"/>
        <w:jc w:val="both"/>
        <w:rPr>
          <w:rFonts w:ascii="Times New Roman" w:eastAsia="Calibri" w:hAnsi="Times New Roman" w:cs="Times New Roman"/>
          <w:sz w:val="24"/>
          <w:szCs w:val="24"/>
        </w:rPr>
      </w:pPr>
      <w:r w:rsidRPr="006C13DF">
        <w:rPr>
          <w:rFonts w:ascii="Times New Roman" w:eastAsia="Calibri" w:hAnsi="Times New Roman" w:cs="Times New Roman"/>
          <w:b/>
          <w:sz w:val="24"/>
          <w:szCs w:val="24"/>
        </w:rPr>
        <w:t>Приоритет 1:</w:t>
      </w:r>
      <w:r w:rsidRPr="006C13DF">
        <w:rPr>
          <w:rFonts w:ascii="Times New Roman" w:eastAsia="Calibri" w:hAnsi="Times New Roman" w:cs="Times New Roman"/>
          <w:sz w:val="24"/>
          <w:szCs w:val="24"/>
        </w:rPr>
        <w:t xml:space="preserve"> Насърчаване на активния живот на възрастните хора в сферата на заетостта;</w:t>
      </w:r>
    </w:p>
    <w:p w14:paraId="0AD48A0F" w14:textId="77777777" w:rsidR="00A97432" w:rsidRPr="006C13DF" w:rsidRDefault="00A97432" w:rsidP="00A97432">
      <w:pPr>
        <w:spacing w:after="0" w:line="240" w:lineRule="auto"/>
        <w:ind w:firstLine="706"/>
        <w:jc w:val="both"/>
        <w:rPr>
          <w:rFonts w:ascii="Times New Roman" w:eastAsia="Calibri" w:hAnsi="Times New Roman" w:cs="Times New Roman"/>
          <w:sz w:val="24"/>
          <w:szCs w:val="24"/>
        </w:rPr>
      </w:pPr>
      <w:r w:rsidRPr="006C13DF">
        <w:rPr>
          <w:rFonts w:ascii="Times New Roman" w:eastAsia="Calibri" w:hAnsi="Times New Roman" w:cs="Times New Roman"/>
          <w:b/>
          <w:sz w:val="24"/>
          <w:szCs w:val="24"/>
        </w:rPr>
        <w:t>Приоритет 2:</w:t>
      </w:r>
      <w:r w:rsidRPr="006C13DF">
        <w:rPr>
          <w:rFonts w:ascii="Times New Roman" w:eastAsia="Calibri" w:hAnsi="Times New Roman" w:cs="Times New Roman"/>
          <w:sz w:val="24"/>
          <w:szCs w:val="24"/>
        </w:rPr>
        <w:t xml:space="preserve"> Насърчаване на активния живот на възрастните хора в сферата на участието в обществото;</w:t>
      </w:r>
    </w:p>
    <w:p w14:paraId="16C10EA3" w14:textId="77777777" w:rsidR="00A97432" w:rsidRPr="006C13DF" w:rsidRDefault="00A97432" w:rsidP="00A97432">
      <w:pPr>
        <w:spacing w:after="0" w:line="240" w:lineRule="auto"/>
        <w:ind w:firstLine="706"/>
        <w:jc w:val="both"/>
        <w:rPr>
          <w:rFonts w:ascii="Times New Roman" w:eastAsia="Calibri" w:hAnsi="Times New Roman" w:cs="Times New Roman"/>
          <w:sz w:val="24"/>
          <w:szCs w:val="24"/>
        </w:rPr>
      </w:pPr>
      <w:r w:rsidRPr="006C13DF">
        <w:rPr>
          <w:rFonts w:ascii="Times New Roman" w:eastAsia="Calibri" w:hAnsi="Times New Roman" w:cs="Times New Roman"/>
          <w:b/>
          <w:sz w:val="24"/>
          <w:szCs w:val="24"/>
        </w:rPr>
        <w:t>Приоритет 3:</w:t>
      </w:r>
      <w:r w:rsidRPr="006C13DF">
        <w:rPr>
          <w:rFonts w:ascii="Times New Roman" w:eastAsia="Calibri" w:hAnsi="Times New Roman" w:cs="Times New Roman"/>
          <w:sz w:val="24"/>
          <w:szCs w:val="24"/>
        </w:rPr>
        <w:t xml:space="preserve"> Насърчаване на активния живот на възрастните хора в сферата на самостоятелния живот;</w:t>
      </w:r>
    </w:p>
    <w:p w14:paraId="075B3BA1" w14:textId="77777777" w:rsidR="00A97432" w:rsidRPr="006C13DF" w:rsidRDefault="00A97432" w:rsidP="00A97432">
      <w:pPr>
        <w:spacing w:after="0" w:line="240" w:lineRule="auto"/>
        <w:ind w:firstLine="706"/>
        <w:jc w:val="both"/>
        <w:rPr>
          <w:rFonts w:ascii="Times New Roman" w:eastAsia="Calibri" w:hAnsi="Times New Roman" w:cs="Times New Roman"/>
          <w:sz w:val="24"/>
          <w:szCs w:val="24"/>
        </w:rPr>
      </w:pPr>
      <w:r w:rsidRPr="006C13DF">
        <w:rPr>
          <w:rFonts w:ascii="Times New Roman" w:eastAsia="Calibri" w:hAnsi="Times New Roman" w:cs="Times New Roman"/>
          <w:b/>
          <w:sz w:val="24"/>
          <w:szCs w:val="24"/>
        </w:rPr>
        <w:t>Приоритет 4:</w:t>
      </w:r>
      <w:r w:rsidRPr="006C13DF">
        <w:rPr>
          <w:rFonts w:ascii="Times New Roman" w:eastAsia="Calibri" w:hAnsi="Times New Roman" w:cs="Times New Roman"/>
          <w:sz w:val="24"/>
          <w:szCs w:val="24"/>
        </w:rPr>
        <w:t xml:space="preserve"> Създаване на капацитет и благоприятна среда за активен живот на възрастните хора на национално и на регионално ниво.</w:t>
      </w:r>
    </w:p>
    <w:p w14:paraId="520B5176" w14:textId="77777777" w:rsidR="00A97432" w:rsidRPr="006C13DF" w:rsidRDefault="00A97432" w:rsidP="00A97432">
      <w:pPr>
        <w:pStyle w:val="BodyText2"/>
        <w:spacing w:after="0" w:line="240" w:lineRule="auto"/>
        <w:ind w:firstLine="706"/>
        <w:jc w:val="both"/>
        <w:rPr>
          <w:rFonts w:ascii="Times New Roman" w:hAnsi="Times New Roman" w:cs="Times New Roman"/>
          <w:b/>
          <w:sz w:val="24"/>
          <w:szCs w:val="24"/>
        </w:rPr>
      </w:pPr>
      <w:r w:rsidRPr="006C13DF">
        <w:rPr>
          <w:rFonts w:ascii="Times New Roman" w:hAnsi="Times New Roman" w:cs="Times New Roman"/>
          <w:b/>
          <w:sz w:val="24"/>
          <w:szCs w:val="24"/>
        </w:rPr>
        <w:t xml:space="preserve">Към всеки от приоритетите са разписани конкретни мерки, които се проследяват чрез двугодишни планове и двугодишни отчети за изпълнение на Стратегията. </w:t>
      </w:r>
    </w:p>
    <w:p w14:paraId="17410661" w14:textId="77777777" w:rsidR="00A97432" w:rsidRPr="006C13DF" w:rsidRDefault="00A97432" w:rsidP="00A97432">
      <w:pPr>
        <w:pStyle w:val="BodyText2"/>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Успешното прилагане на Националната стратегия за активен живот на възрастните хора следва да се извършва с обединените усилия на всички заинтересовани страни. За тази цел се поддържа постоянен работен формат за междуведомствено взаимодействие по въпросите на застаряването, чрез Междуведомствената работна група </w:t>
      </w:r>
      <w:r w:rsidR="000373F9" w:rsidRPr="006C13DF">
        <w:rPr>
          <w:rFonts w:ascii="Times New Roman" w:hAnsi="Times New Roman" w:cs="Times New Roman"/>
          <w:sz w:val="24"/>
          <w:szCs w:val="24"/>
        </w:rPr>
        <w:t xml:space="preserve">по демографските въпроси </w:t>
      </w:r>
      <w:r w:rsidRPr="006C13DF">
        <w:rPr>
          <w:rFonts w:ascii="Times New Roman" w:hAnsi="Times New Roman" w:cs="Times New Roman"/>
          <w:sz w:val="24"/>
          <w:szCs w:val="24"/>
        </w:rPr>
        <w:t xml:space="preserve">към министъра на труда и социалната политика. В състава на работната група са включени широк кръг представители на отговорните институции, включително представители на министерства, държавни агенции, представители на Националния осигурителен институт, Националния статистически институт, Българската академия на науките, Българския червен кръст, представители на общините (НСОРБ), социалните партньори и др. </w:t>
      </w:r>
    </w:p>
    <w:p w14:paraId="349E859D" w14:textId="77777777" w:rsidR="00A97432" w:rsidRPr="006C13DF" w:rsidRDefault="00A97432" w:rsidP="00A97432">
      <w:pPr>
        <w:pStyle w:val="BodyText2"/>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В настоящата трета</w:t>
      </w:r>
      <w:r w:rsidR="000373F9" w:rsidRPr="006C13DF">
        <w:rPr>
          <w:rFonts w:ascii="Times New Roman" w:hAnsi="Times New Roman" w:cs="Times New Roman"/>
          <w:sz w:val="24"/>
          <w:szCs w:val="24"/>
        </w:rPr>
        <w:t xml:space="preserve"> част на Отчета за периода 2023 – </w:t>
      </w:r>
      <w:r w:rsidRPr="006C13DF">
        <w:rPr>
          <w:rFonts w:ascii="Times New Roman" w:hAnsi="Times New Roman" w:cs="Times New Roman"/>
          <w:sz w:val="24"/>
          <w:szCs w:val="24"/>
        </w:rPr>
        <w:t>2024 г. за изпълнение на Националната стратегия за активен живот на въ</w:t>
      </w:r>
      <w:r w:rsidR="000373F9" w:rsidRPr="006C13DF">
        <w:rPr>
          <w:rFonts w:ascii="Times New Roman" w:hAnsi="Times New Roman" w:cs="Times New Roman"/>
          <w:sz w:val="24"/>
          <w:szCs w:val="24"/>
        </w:rPr>
        <w:t>зрастните хора в България (2019 –</w:t>
      </w:r>
      <w:r w:rsidR="000373F9" w:rsidRPr="006C13DF">
        <w:rPr>
          <w:rFonts w:ascii="Times New Roman" w:hAnsi="Times New Roman" w:cs="Times New Roman"/>
          <w:b/>
          <w:sz w:val="24"/>
          <w:szCs w:val="24"/>
        </w:rPr>
        <w:t xml:space="preserve"> </w:t>
      </w:r>
      <w:r w:rsidRPr="006C13DF">
        <w:rPr>
          <w:rFonts w:ascii="Times New Roman" w:hAnsi="Times New Roman" w:cs="Times New Roman"/>
          <w:sz w:val="24"/>
          <w:szCs w:val="24"/>
        </w:rPr>
        <w:t xml:space="preserve">2030 г.) е обобщена именно информацията, подадена от ведомствата в рамките на Междуведомствената работна група по демографските въпроси към министъра на труда и социалната политика. </w:t>
      </w:r>
    </w:p>
    <w:p w14:paraId="4078B1BA" w14:textId="77777777" w:rsidR="00A97432" w:rsidRPr="006C13DF" w:rsidRDefault="00A97432" w:rsidP="00A97432">
      <w:pPr>
        <w:pStyle w:val="ListParagraph"/>
        <w:spacing w:after="0" w:line="240" w:lineRule="auto"/>
        <w:ind w:left="0" w:firstLine="709"/>
        <w:jc w:val="both"/>
        <w:rPr>
          <w:rFonts w:ascii="Times New Roman" w:hAnsi="Times New Roman" w:cs="Times New Roman"/>
          <w:sz w:val="24"/>
          <w:szCs w:val="24"/>
        </w:rPr>
      </w:pPr>
      <w:r w:rsidRPr="006C13DF">
        <w:rPr>
          <w:rFonts w:ascii="Times New Roman" w:hAnsi="Times New Roman" w:cs="Times New Roman"/>
          <w:sz w:val="24"/>
          <w:szCs w:val="24"/>
        </w:rPr>
        <w:t>Структурата на Отчета следва четирите приоритета на Националната стратегия за активен живот на въ</w:t>
      </w:r>
      <w:r w:rsidR="000373F9" w:rsidRPr="006C13DF">
        <w:rPr>
          <w:rFonts w:ascii="Times New Roman" w:hAnsi="Times New Roman" w:cs="Times New Roman"/>
          <w:sz w:val="24"/>
          <w:szCs w:val="24"/>
        </w:rPr>
        <w:t>зрастните хора в България (2019</w:t>
      </w:r>
      <w:r w:rsidR="000373F9" w:rsidRPr="006C13DF">
        <w:rPr>
          <w:rFonts w:ascii="Times New Roman" w:hAnsi="Times New Roman" w:cs="Times New Roman"/>
          <w:b/>
          <w:sz w:val="24"/>
          <w:szCs w:val="24"/>
        </w:rPr>
        <w:t xml:space="preserve"> </w:t>
      </w:r>
      <w:r w:rsidR="000373F9" w:rsidRPr="006C13DF">
        <w:rPr>
          <w:rFonts w:ascii="Times New Roman" w:hAnsi="Times New Roman" w:cs="Times New Roman"/>
          <w:sz w:val="24"/>
          <w:szCs w:val="24"/>
        </w:rPr>
        <w:t>–</w:t>
      </w:r>
      <w:r w:rsidR="000373F9" w:rsidRPr="006C13DF">
        <w:rPr>
          <w:rFonts w:ascii="Times New Roman" w:hAnsi="Times New Roman" w:cs="Times New Roman"/>
          <w:b/>
          <w:sz w:val="24"/>
          <w:szCs w:val="24"/>
        </w:rPr>
        <w:t xml:space="preserve"> </w:t>
      </w:r>
      <w:r w:rsidRPr="006C13DF">
        <w:rPr>
          <w:rFonts w:ascii="Times New Roman" w:hAnsi="Times New Roman" w:cs="Times New Roman"/>
          <w:sz w:val="24"/>
          <w:szCs w:val="24"/>
        </w:rPr>
        <w:t>2030 г.) и заложените мерки за изпъ</w:t>
      </w:r>
      <w:r w:rsidR="000373F9" w:rsidRPr="006C13DF">
        <w:rPr>
          <w:rFonts w:ascii="Times New Roman" w:hAnsi="Times New Roman" w:cs="Times New Roman"/>
          <w:sz w:val="24"/>
          <w:szCs w:val="24"/>
        </w:rPr>
        <w:t>лнение от Плана за периода 2023</w:t>
      </w:r>
      <w:r w:rsidR="000373F9" w:rsidRPr="006C13DF">
        <w:rPr>
          <w:rFonts w:ascii="Times New Roman" w:hAnsi="Times New Roman" w:cs="Times New Roman"/>
          <w:b/>
          <w:sz w:val="24"/>
          <w:szCs w:val="24"/>
        </w:rPr>
        <w:t xml:space="preserve"> </w:t>
      </w:r>
      <w:r w:rsidR="000373F9" w:rsidRPr="006C13DF">
        <w:rPr>
          <w:rFonts w:ascii="Times New Roman" w:hAnsi="Times New Roman" w:cs="Times New Roman"/>
          <w:sz w:val="24"/>
          <w:szCs w:val="24"/>
        </w:rPr>
        <w:t>–</w:t>
      </w:r>
      <w:r w:rsidR="000373F9" w:rsidRPr="006C13DF">
        <w:rPr>
          <w:rFonts w:ascii="Times New Roman" w:hAnsi="Times New Roman" w:cs="Times New Roman"/>
          <w:b/>
          <w:sz w:val="24"/>
          <w:szCs w:val="24"/>
        </w:rPr>
        <w:t xml:space="preserve"> </w:t>
      </w:r>
      <w:r w:rsidRPr="006C13DF">
        <w:rPr>
          <w:rFonts w:ascii="Times New Roman" w:hAnsi="Times New Roman" w:cs="Times New Roman"/>
          <w:sz w:val="24"/>
          <w:szCs w:val="24"/>
        </w:rPr>
        <w:t>2024 г.</w:t>
      </w:r>
    </w:p>
    <w:p w14:paraId="7146F04E" w14:textId="77777777" w:rsidR="00A97432" w:rsidRPr="006C13DF" w:rsidRDefault="00A97432" w:rsidP="000D22A0">
      <w:pPr>
        <w:pStyle w:val="ListParagraph"/>
        <w:spacing w:after="0" w:line="240" w:lineRule="auto"/>
        <w:ind w:left="0"/>
        <w:jc w:val="both"/>
        <w:rPr>
          <w:rFonts w:ascii="Times New Roman" w:hAnsi="Times New Roman" w:cs="Times New Roman"/>
          <w:b/>
          <w:sz w:val="24"/>
          <w:szCs w:val="24"/>
        </w:rPr>
      </w:pPr>
    </w:p>
    <w:tbl>
      <w:tblPr>
        <w:tblStyle w:val="TableGrid"/>
        <w:tblW w:w="9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C668"/>
        <w:tblLook w:val="04A0" w:firstRow="1" w:lastRow="0" w:firstColumn="1" w:lastColumn="0" w:noHBand="0" w:noVBand="1"/>
      </w:tblPr>
      <w:tblGrid>
        <w:gridCol w:w="9095"/>
      </w:tblGrid>
      <w:tr w:rsidR="00A97432" w:rsidRPr="006C13DF" w14:paraId="712FD7B4" w14:textId="77777777" w:rsidTr="00A97432">
        <w:trPr>
          <w:trHeight w:val="1266"/>
        </w:trPr>
        <w:tc>
          <w:tcPr>
            <w:tcW w:w="9095" w:type="dxa"/>
            <w:shd w:val="clear" w:color="auto" w:fill="D6C668"/>
          </w:tcPr>
          <w:p w14:paraId="497DC1F8" w14:textId="77777777" w:rsidR="00A97432" w:rsidRPr="006C13DF" w:rsidRDefault="00A97432" w:rsidP="00A97432">
            <w:pPr>
              <w:jc w:val="center"/>
              <w:rPr>
                <w:rFonts w:ascii="Times New Roman" w:hAnsi="Times New Roman" w:cs="Times New Roman"/>
                <w:b/>
                <w:sz w:val="28"/>
                <w:szCs w:val="28"/>
              </w:rPr>
            </w:pPr>
            <w:r w:rsidRPr="006C13DF">
              <w:rPr>
                <w:rFonts w:ascii="Times New Roman" w:hAnsi="Times New Roman" w:cs="Times New Roman"/>
                <w:b/>
                <w:sz w:val="28"/>
                <w:szCs w:val="28"/>
              </w:rPr>
              <w:lastRenderedPageBreak/>
              <w:t>Приоритет I</w:t>
            </w:r>
          </w:p>
          <w:p w14:paraId="788714A4" w14:textId="77777777" w:rsidR="00A97432" w:rsidRPr="006C13DF" w:rsidRDefault="00A97432" w:rsidP="00A97432">
            <w:pPr>
              <w:jc w:val="center"/>
              <w:rPr>
                <w:rFonts w:ascii="Times New Roman" w:hAnsi="Times New Roman" w:cs="Times New Roman"/>
                <w:b/>
                <w:sz w:val="28"/>
                <w:szCs w:val="28"/>
              </w:rPr>
            </w:pPr>
            <w:r w:rsidRPr="006C13DF">
              <w:rPr>
                <w:rFonts w:ascii="Times New Roman" w:hAnsi="Times New Roman" w:cs="Times New Roman"/>
                <w:b/>
                <w:sz w:val="28"/>
                <w:szCs w:val="28"/>
              </w:rPr>
              <w:t>Насърчаване на активния живот на възрастните хора в сферата на заетостта</w:t>
            </w:r>
          </w:p>
        </w:tc>
      </w:tr>
    </w:tbl>
    <w:p w14:paraId="5373059B" w14:textId="77777777" w:rsidR="00A97432" w:rsidRPr="006C13DF" w:rsidRDefault="00A97432" w:rsidP="00A97432">
      <w:pPr>
        <w:pStyle w:val="ListParagraph"/>
        <w:spacing w:after="0" w:line="240" w:lineRule="auto"/>
        <w:ind w:left="0" w:firstLine="709"/>
        <w:jc w:val="both"/>
        <w:rPr>
          <w:rFonts w:ascii="Times New Roman" w:hAnsi="Times New Roman" w:cs="Times New Roman"/>
          <w:b/>
          <w:sz w:val="24"/>
          <w:szCs w:val="24"/>
        </w:rPr>
      </w:pPr>
    </w:p>
    <w:tbl>
      <w:tblPr>
        <w:tblStyle w:val="TableGrid"/>
        <w:tblW w:w="9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119"/>
      </w:tblGrid>
      <w:tr w:rsidR="00A97432" w:rsidRPr="006C13DF" w14:paraId="7FCC15F4" w14:textId="77777777" w:rsidTr="00E655FD">
        <w:trPr>
          <w:trHeight w:val="1030"/>
        </w:trPr>
        <w:tc>
          <w:tcPr>
            <w:tcW w:w="9119" w:type="dxa"/>
            <w:shd w:val="clear" w:color="auto" w:fill="EBE453"/>
          </w:tcPr>
          <w:p w14:paraId="7EAAF6D4" w14:textId="77777777" w:rsidR="00A97432" w:rsidRPr="006C13DF" w:rsidRDefault="00A97432" w:rsidP="00A97432">
            <w:pPr>
              <w:jc w:val="both"/>
              <w:rPr>
                <w:rFonts w:ascii="Times New Roman" w:hAnsi="Times New Roman" w:cs="Times New Roman"/>
                <w:b/>
                <w:sz w:val="28"/>
                <w:szCs w:val="28"/>
              </w:rPr>
            </w:pPr>
            <w:r w:rsidRPr="006C13DF">
              <w:rPr>
                <w:rFonts w:ascii="Times New Roman" w:hAnsi="Times New Roman" w:cs="Times New Roman"/>
                <w:b/>
                <w:sz w:val="28"/>
                <w:szCs w:val="28"/>
              </w:rPr>
              <w:t>1.1. Насърчаване на възможностите</w:t>
            </w:r>
            <w:r w:rsidRPr="006C13DF">
              <w:rPr>
                <w:rFonts w:ascii="Times New Roman" w:hAnsi="Times New Roman" w:cs="Times New Roman"/>
                <w:b/>
                <w:sz w:val="28"/>
                <w:szCs w:val="28"/>
                <w:lang w:val="en-US"/>
              </w:rPr>
              <w:t xml:space="preserve"> </w:t>
            </w:r>
            <w:r w:rsidRPr="006C13DF">
              <w:rPr>
                <w:rFonts w:ascii="Times New Roman" w:hAnsi="Times New Roman" w:cs="Times New Roman"/>
                <w:b/>
                <w:sz w:val="28"/>
                <w:szCs w:val="28"/>
              </w:rPr>
              <w:t>за участие на възрастните хора на пазара на труда</w:t>
            </w:r>
          </w:p>
        </w:tc>
      </w:tr>
    </w:tbl>
    <w:p w14:paraId="5373240E" w14:textId="77777777" w:rsidR="00A97432" w:rsidRPr="006C13DF" w:rsidRDefault="00A97432" w:rsidP="00A97432">
      <w:pPr>
        <w:pStyle w:val="ListParagraph"/>
        <w:spacing w:after="0" w:line="240" w:lineRule="auto"/>
        <w:ind w:left="0" w:firstLine="709"/>
        <w:jc w:val="both"/>
        <w:rPr>
          <w:rFonts w:ascii="Times New Roman" w:hAnsi="Times New Roman" w:cs="Times New Roman"/>
          <w:b/>
          <w:sz w:val="24"/>
          <w:szCs w:val="24"/>
        </w:rPr>
      </w:pPr>
    </w:p>
    <w:p w14:paraId="033B1504" w14:textId="77777777" w:rsidR="00A97432" w:rsidRPr="006C13DF" w:rsidRDefault="00A97432" w:rsidP="00A9743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0CA1EB76" w14:textId="77777777" w:rsidR="00A97432" w:rsidRPr="006C13DF" w:rsidRDefault="00A97432" w:rsidP="00A97432">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АГЕНЦИЯ ПО </w:t>
      </w:r>
      <w:r w:rsidR="00402584" w:rsidRPr="006C13DF">
        <w:rPr>
          <w:rFonts w:ascii="Times New Roman" w:eastAsia="Calibri" w:hAnsi="Times New Roman" w:cs="Times New Roman"/>
          <w:b/>
          <w:color w:val="C0504D"/>
          <w:sz w:val="24"/>
          <w:szCs w:val="24"/>
        </w:rPr>
        <w:t>ЗАЕТОСТТА</w:t>
      </w:r>
    </w:p>
    <w:p w14:paraId="3AD2B967" w14:textId="77777777" w:rsidR="006E5C93" w:rsidRPr="006C13DF" w:rsidRDefault="006E5C93" w:rsidP="00E91E47">
      <w:pPr>
        <w:spacing w:after="0" w:line="240" w:lineRule="auto"/>
        <w:ind w:firstLine="708"/>
        <w:jc w:val="both"/>
        <w:rPr>
          <w:rFonts w:ascii="Times New Roman" w:hAnsi="Times New Roman" w:cs="Times New Roman"/>
          <w:i/>
          <w:sz w:val="24"/>
          <w:szCs w:val="24"/>
        </w:rPr>
      </w:pPr>
    </w:p>
    <w:p w14:paraId="411F8358" w14:textId="77777777" w:rsidR="000A35FE" w:rsidRPr="006C13DF" w:rsidRDefault="00B237EC" w:rsidP="00554703">
      <w:pPr>
        <w:pStyle w:val="ListParagraph"/>
        <w:numPr>
          <w:ilvl w:val="2"/>
          <w:numId w:val="18"/>
        </w:numPr>
        <w:spacing w:after="0" w:line="240" w:lineRule="auto"/>
        <w:jc w:val="both"/>
        <w:rPr>
          <w:rFonts w:ascii="Times New Roman" w:hAnsi="Times New Roman" w:cs="Times New Roman"/>
          <w:b/>
          <w:bCs/>
          <w:sz w:val="24"/>
          <w:szCs w:val="24"/>
        </w:rPr>
      </w:pPr>
      <w:r w:rsidRPr="006C13DF">
        <w:rPr>
          <w:rFonts w:ascii="Times New Roman" w:hAnsi="Times New Roman" w:cs="Times New Roman"/>
          <w:b/>
          <w:bCs/>
          <w:sz w:val="24"/>
          <w:szCs w:val="24"/>
        </w:rPr>
        <w:t xml:space="preserve">Изпълнение на Националната програма „Помощ за пенсиониране” </w:t>
      </w:r>
    </w:p>
    <w:p w14:paraId="70FE96D7" w14:textId="77777777" w:rsidR="00402584" w:rsidRPr="006C13DF" w:rsidRDefault="00402584" w:rsidP="00402584">
      <w:pPr>
        <w:spacing w:after="0" w:line="240" w:lineRule="auto"/>
        <w:jc w:val="both"/>
        <w:rPr>
          <w:rFonts w:ascii="Times New Roman" w:hAnsi="Times New Roman" w:cs="Times New Roman"/>
          <w:sz w:val="24"/>
          <w:szCs w:val="24"/>
        </w:rPr>
      </w:pPr>
    </w:p>
    <w:p w14:paraId="71EDA812" w14:textId="77777777" w:rsidR="00402584" w:rsidRPr="006C13DF" w:rsidRDefault="00402584" w:rsidP="00402584">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Pr="006C13DF">
        <w:rPr>
          <w:rFonts w:ascii="Times New Roman" w:hAnsi="Times New Roman" w:cs="Times New Roman"/>
          <w:b/>
          <w:sz w:val="24"/>
          <w:szCs w:val="24"/>
        </w:rPr>
        <w:t>Националната програма „Помощ за пенсиониране“</w:t>
      </w:r>
      <w:r w:rsidRPr="006C13DF">
        <w:rPr>
          <w:rFonts w:ascii="Times New Roman" w:hAnsi="Times New Roman" w:cs="Times New Roman"/>
          <w:sz w:val="24"/>
          <w:szCs w:val="24"/>
        </w:rPr>
        <w:t xml:space="preserve"> е насочена към подкрепа за преход от безработица към работа и пенсиониране. Целева група на програмата са </w:t>
      </w:r>
      <w:r w:rsidRPr="006C13DF">
        <w:rPr>
          <w:rFonts w:ascii="Times New Roman" w:hAnsi="Times New Roman" w:cs="Times New Roman"/>
          <w:b/>
          <w:sz w:val="24"/>
          <w:szCs w:val="24"/>
        </w:rPr>
        <w:t>безработни лица над 60 г</w:t>
      </w:r>
      <w:r w:rsidRPr="006C13DF">
        <w:rPr>
          <w:rFonts w:ascii="Times New Roman" w:hAnsi="Times New Roman" w:cs="Times New Roman"/>
          <w:sz w:val="24"/>
          <w:szCs w:val="24"/>
        </w:rPr>
        <w:t>., които търсят работа и са регистрирани в Дирекции „Бюро по труда“ (ДБТ). С цел използване на експертните им възможности, лица от тази група с висок образователен статус и квалификация могат да се назначават като консултанти за подпомагане на работодателите и за предаване на натрупания опит между генерациите. Регламентът на Националната програма „Помощ за пенсиониране“ предвижда лицата да се наемат на пълно или непълно работно време. Чрез дейностите за реализация на програмата се осигурява заетост на включени в програмата лица за срок не по-малко от 3 месеца и не повече от 24 месеца. Програмата е насочена към целева група с много широк обхват и предлага дългосрочна субсидирана заетост, която да подпомогне достигането на изисквания стаж за пенсиониране, а това прави програмата търсена и от безработни, и от работодатели, особено в малките населени места. През 2024 г. за първи път със средства от държавния бюджет са финансирани, освен разходи за трудови възнаграждения, допълнителни плащания по трудовото законодателство и осигуровки за сметка на работодателя, и дължимите вноски за сметка на работодателя за фонд „Безработица“. Тази стъпка осигурява възможност за подкрепа на лица, които въпреки участието си в програмата не могат да се пенсионират или да започнат работа. По този начин се урежда правото на лицата да получават обезщетение за безработица.</w:t>
      </w:r>
    </w:p>
    <w:p w14:paraId="45559F05" w14:textId="77777777" w:rsidR="00402584" w:rsidRPr="006C13DF" w:rsidRDefault="00402584" w:rsidP="00402584">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За периода 2023 – 2024 г. по Програмата е </w:t>
      </w:r>
      <w:r w:rsidRPr="006C13DF">
        <w:rPr>
          <w:rFonts w:ascii="Times New Roman" w:hAnsi="Times New Roman" w:cs="Times New Roman"/>
          <w:b/>
          <w:sz w:val="24"/>
          <w:szCs w:val="24"/>
        </w:rPr>
        <w:t>осигурена заетостта на общо 2 619 лица</w:t>
      </w:r>
      <w:r w:rsidRPr="006C13DF">
        <w:rPr>
          <w:rFonts w:ascii="Times New Roman" w:hAnsi="Times New Roman" w:cs="Times New Roman"/>
          <w:sz w:val="24"/>
          <w:szCs w:val="24"/>
        </w:rPr>
        <w:t xml:space="preserve"> и са изразходвани средства в размер на 18 964 540 лв., като разпределението им през годините е, както следва:</w:t>
      </w:r>
    </w:p>
    <w:p w14:paraId="00C24CA0" w14:textId="77777777" w:rsidR="00402584" w:rsidRPr="006C13DF" w:rsidRDefault="00402584" w:rsidP="00554703">
      <w:pPr>
        <w:pStyle w:val="ListParagraph"/>
        <w:numPr>
          <w:ilvl w:val="0"/>
          <w:numId w:val="19"/>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през 2023 г. – 1 397 лица, изразходвани средства в размер на 10 827 626 лв.;</w:t>
      </w:r>
    </w:p>
    <w:p w14:paraId="39024661" w14:textId="77777777" w:rsidR="00402584" w:rsidRPr="006C13DF" w:rsidRDefault="00402584" w:rsidP="00554703">
      <w:pPr>
        <w:pStyle w:val="ListParagraph"/>
        <w:numPr>
          <w:ilvl w:val="0"/>
          <w:numId w:val="19"/>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през 2024 г. – 1 222 лица, изразходвани средства в размер на 8 136 914 лв.</w:t>
      </w:r>
    </w:p>
    <w:p w14:paraId="2752D02E" w14:textId="77777777" w:rsidR="00402584" w:rsidRPr="006C13DF" w:rsidRDefault="00402584" w:rsidP="00402584">
      <w:pPr>
        <w:spacing w:after="0" w:line="240" w:lineRule="auto"/>
        <w:jc w:val="both"/>
        <w:rPr>
          <w:rFonts w:ascii="Times New Roman" w:hAnsi="Times New Roman" w:cs="Times New Roman"/>
          <w:sz w:val="24"/>
          <w:szCs w:val="24"/>
        </w:rPr>
      </w:pPr>
    </w:p>
    <w:p w14:paraId="2F094AF4" w14:textId="77777777" w:rsidR="00914282" w:rsidRPr="006C13DF" w:rsidRDefault="00914282" w:rsidP="0091428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128D4F1B" w14:textId="77777777" w:rsidR="00402584" w:rsidRPr="006C13DF" w:rsidRDefault="00402584" w:rsidP="00402584">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522077D4" w14:textId="77777777" w:rsidR="006E5C93" w:rsidRPr="006C13DF" w:rsidRDefault="006E5C93" w:rsidP="00E91E47">
      <w:pPr>
        <w:spacing w:after="0" w:line="240" w:lineRule="auto"/>
        <w:ind w:firstLine="708"/>
        <w:jc w:val="both"/>
        <w:rPr>
          <w:rFonts w:ascii="Times New Roman" w:hAnsi="Times New Roman" w:cs="Times New Roman"/>
          <w:bCs/>
          <w:sz w:val="24"/>
          <w:lang w:val="en-US"/>
        </w:rPr>
      </w:pPr>
    </w:p>
    <w:p w14:paraId="42A1E29F" w14:textId="77777777" w:rsidR="006E5C93" w:rsidRPr="006C13DF" w:rsidRDefault="006E5C93" w:rsidP="00067951">
      <w:pPr>
        <w:spacing w:after="0" w:line="240" w:lineRule="auto"/>
        <w:jc w:val="both"/>
        <w:rPr>
          <w:rFonts w:ascii="Times New Roman" w:hAnsi="Times New Roman" w:cs="Times New Roman"/>
          <w:b/>
          <w:bCs/>
          <w:sz w:val="24"/>
          <w:szCs w:val="24"/>
        </w:rPr>
      </w:pPr>
      <w:r w:rsidRPr="006C13DF">
        <w:rPr>
          <w:rFonts w:ascii="Times New Roman" w:hAnsi="Times New Roman" w:cs="Times New Roman"/>
          <w:b/>
          <w:bCs/>
          <w:sz w:val="24"/>
          <w:szCs w:val="24"/>
        </w:rPr>
        <w:t>1.1.2. Включване на безработни лица над 50-годишна възраст в Националната програма за заетост и обучение на хора с трайни увреждания</w:t>
      </w:r>
    </w:p>
    <w:p w14:paraId="577FC919" w14:textId="77777777" w:rsidR="00402584" w:rsidRPr="006C13DF" w:rsidRDefault="00402584" w:rsidP="00067951">
      <w:pPr>
        <w:spacing w:after="0" w:line="240" w:lineRule="auto"/>
        <w:jc w:val="both"/>
        <w:rPr>
          <w:rFonts w:ascii="Times New Roman" w:hAnsi="Times New Roman" w:cs="Times New Roman"/>
          <w:bCs/>
          <w:sz w:val="24"/>
          <w:szCs w:val="24"/>
        </w:rPr>
      </w:pPr>
    </w:p>
    <w:p w14:paraId="5C52AE07" w14:textId="77777777" w:rsidR="00402584" w:rsidRPr="006C13DF" w:rsidRDefault="00402584" w:rsidP="00402584">
      <w:pPr>
        <w:spacing w:after="0" w:line="240" w:lineRule="auto"/>
        <w:jc w:val="both"/>
        <w:rPr>
          <w:rFonts w:ascii="Times New Roman" w:hAnsi="Times New Roman" w:cs="Times New Roman"/>
          <w:bCs/>
          <w:sz w:val="24"/>
          <w:szCs w:val="24"/>
        </w:rPr>
      </w:pPr>
      <w:r w:rsidRPr="006C13DF">
        <w:rPr>
          <w:rFonts w:ascii="Times New Roman" w:hAnsi="Times New Roman" w:cs="Times New Roman"/>
          <w:b/>
          <w:bCs/>
          <w:sz w:val="24"/>
          <w:szCs w:val="24"/>
        </w:rPr>
        <w:tab/>
        <w:t>Национална програма за заетост и обучение на хора с трайни увреждания</w:t>
      </w:r>
      <w:r w:rsidRPr="006C13DF">
        <w:rPr>
          <w:rFonts w:ascii="Times New Roman" w:hAnsi="Times New Roman" w:cs="Times New Roman"/>
          <w:bCs/>
          <w:sz w:val="24"/>
          <w:szCs w:val="24"/>
        </w:rPr>
        <w:t xml:space="preserve"> цели повишаване пригодността за заетост и осигуряване на заетост на регистрирани в </w:t>
      </w:r>
      <w:r w:rsidR="006B3D6D" w:rsidRPr="006C13DF">
        <w:rPr>
          <w:rFonts w:ascii="Times New Roman" w:hAnsi="Times New Roman" w:cs="Times New Roman"/>
          <w:bCs/>
          <w:sz w:val="24"/>
          <w:szCs w:val="24"/>
        </w:rPr>
        <w:t>Д</w:t>
      </w:r>
      <w:r w:rsidRPr="006C13DF">
        <w:rPr>
          <w:rFonts w:ascii="Times New Roman" w:hAnsi="Times New Roman" w:cs="Times New Roman"/>
          <w:bCs/>
          <w:sz w:val="24"/>
          <w:szCs w:val="24"/>
        </w:rPr>
        <w:t xml:space="preserve">ирекции „Бюро по труда” безработни хора с трайни увреждания или преминали успешно курс на лечение за зависимост към наркотични вещества хора </w:t>
      </w:r>
      <w:r w:rsidRPr="006C13DF">
        <w:rPr>
          <w:rFonts w:ascii="Times New Roman" w:hAnsi="Times New Roman" w:cs="Times New Roman"/>
          <w:b/>
          <w:bCs/>
          <w:sz w:val="24"/>
          <w:szCs w:val="24"/>
        </w:rPr>
        <w:t>в трудоспособна възраст, вкл. хора над 50 г.,</w:t>
      </w:r>
      <w:r w:rsidRPr="006C13DF">
        <w:rPr>
          <w:rFonts w:ascii="Times New Roman" w:hAnsi="Times New Roman" w:cs="Times New Roman"/>
          <w:bCs/>
          <w:sz w:val="24"/>
          <w:szCs w:val="24"/>
        </w:rPr>
        <w:t xml:space="preserve"> като предпоставка за преодоляване на социалната им </w:t>
      </w:r>
      <w:r w:rsidRPr="006C13DF">
        <w:rPr>
          <w:rFonts w:ascii="Times New Roman" w:hAnsi="Times New Roman" w:cs="Times New Roman"/>
          <w:bCs/>
          <w:sz w:val="24"/>
          <w:szCs w:val="24"/>
        </w:rPr>
        <w:lastRenderedPageBreak/>
        <w:t>изолация и за пълноценното им интегриране в обществото чрез осигуряване на субсидирана заетост до 24 месеца. Съгласно Националните планове за действие по заетостта през 2023 г. и 2024 г. е приложен диференциран подход по отношение на субсидираното трудово възнаграждение – по-високо за лица с висше образование, наети на длъжности, които изискват висше образование.</w:t>
      </w:r>
    </w:p>
    <w:p w14:paraId="6AEB3C99" w14:textId="77777777" w:rsidR="00402584" w:rsidRPr="006C13DF" w:rsidRDefault="00402584" w:rsidP="00402584">
      <w:pPr>
        <w:spacing w:after="0" w:line="240" w:lineRule="auto"/>
        <w:jc w:val="both"/>
        <w:rPr>
          <w:rFonts w:ascii="Times New Roman" w:hAnsi="Times New Roman" w:cs="Times New Roman"/>
          <w:bCs/>
          <w:sz w:val="24"/>
          <w:szCs w:val="24"/>
        </w:rPr>
      </w:pPr>
      <w:r w:rsidRPr="006C13DF">
        <w:rPr>
          <w:rFonts w:ascii="Times New Roman" w:hAnsi="Times New Roman" w:cs="Times New Roman"/>
          <w:bCs/>
          <w:sz w:val="24"/>
          <w:szCs w:val="24"/>
        </w:rPr>
        <w:tab/>
        <w:t xml:space="preserve">За периода 2023 – 2024 г. по Програмата са </w:t>
      </w:r>
      <w:r w:rsidRPr="006C13DF">
        <w:rPr>
          <w:rFonts w:ascii="Times New Roman" w:hAnsi="Times New Roman" w:cs="Times New Roman"/>
          <w:b/>
          <w:bCs/>
          <w:sz w:val="24"/>
          <w:szCs w:val="24"/>
        </w:rPr>
        <w:t xml:space="preserve">включени общо в заетост </w:t>
      </w:r>
      <w:r w:rsidRPr="006C13DF">
        <w:rPr>
          <w:rFonts w:ascii="Times New Roman" w:hAnsi="Times New Roman" w:cs="Times New Roman"/>
          <w:b/>
          <w:bCs/>
          <w:sz w:val="24"/>
          <w:szCs w:val="24"/>
          <w:lang w:val="ru-MD"/>
        </w:rPr>
        <w:t>332</w:t>
      </w:r>
      <w:r w:rsidRPr="006C13DF">
        <w:rPr>
          <w:rFonts w:ascii="Times New Roman" w:hAnsi="Times New Roman" w:cs="Times New Roman"/>
          <w:b/>
          <w:bCs/>
          <w:sz w:val="24"/>
          <w:szCs w:val="24"/>
        </w:rPr>
        <w:t xml:space="preserve"> безработни лица</w:t>
      </w:r>
      <w:r w:rsidRPr="006C13DF">
        <w:rPr>
          <w:rFonts w:ascii="Times New Roman" w:hAnsi="Times New Roman" w:cs="Times New Roman"/>
          <w:bCs/>
          <w:sz w:val="24"/>
          <w:szCs w:val="24"/>
        </w:rPr>
        <w:t xml:space="preserve"> над 50 г., като разпределението им през годините е, както следва:</w:t>
      </w:r>
    </w:p>
    <w:p w14:paraId="5D80B5A9" w14:textId="77777777" w:rsidR="00402584" w:rsidRPr="006C13DF" w:rsidRDefault="00402584" w:rsidP="00554703">
      <w:pPr>
        <w:pStyle w:val="ListParagraph"/>
        <w:numPr>
          <w:ilvl w:val="0"/>
          <w:numId w:val="20"/>
        </w:numPr>
        <w:spacing w:after="0" w:line="240" w:lineRule="auto"/>
        <w:jc w:val="both"/>
        <w:rPr>
          <w:rFonts w:ascii="Times New Roman" w:hAnsi="Times New Roman" w:cs="Times New Roman"/>
          <w:bCs/>
          <w:sz w:val="24"/>
          <w:szCs w:val="24"/>
        </w:rPr>
      </w:pPr>
      <w:r w:rsidRPr="006C13DF">
        <w:rPr>
          <w:rFonts w:ascii="Times New Roman" w:hAnsi="Times New Roman" w:cs="Times New Roman"/>
          <w:bCs/>
          <w:sz w:val="24"/>
          <w:szCs w:val="24"/>
        </w:rPr>
        <w:t>през 202</w:t>
      </w:r>
      <w:r w:rsidRPr="006C13DF">
        <w:rPr>
          <w:rFonts w:ascii="Times New Roman" w:hAnsi="Times New Roman" w:cs="Times New Roman"/>
          <w:bCs/>
          <w:sz w:val="24"/>
          <w:szCs w:val="24"/>
          <w:lang w:val="ru-MD"/>
        </w:rPr>
        <w:t>3</w:t>
      </w:r>
      <w:r w:rsidRPr="006C13DF">
        <w:rPr>
          <w:rFonts w:ascii="Times New Roman" w:hAnsi="Times New Roman" w:cs="Times New Roman"/>
          <w:bCs/>
          <w:sz w:val="24"/>
          <w:szCs w:val="24"/>
        </w:rPr>
        <w:t xml:space="preserve"> г. – </w:t>
      </w:r>
      <w:r w:rsidRPr="006C13DF">
        <w:rPr>
          <w:rFonts w:ascii="Times New Roman" w:hAnsi="Times New Roman" w:cs="Times New Roman"/>
          <w:bCs/>
          <w:sz w:val="24"/>
          <w:szCs w:val="24"/>
          <w:lang w:val="ru-MD"/>
        </w:rPr>
        <w:t>231</w:t>
      </w:r>
      <w:r w:rsidRPr="006C13DF">
        <w:rPr>
          <w:rFonts w:ascii="Times New Roman" w:hAnsi="Times New Roman" w:cs="Times New Roman"/>
          <w:bCs/>
          <w:sz w:val="24"/>
          <w:szCs w:val="24"/>
        </w:rPr>
        <w:t xml:space="preserve"> лица;</w:t>
      </w:r>
    </w:p>
    <w:p w14:paraId="2DC60CCE" w14:textId="77777777" w:rsidR="00402584" w:rsidRPr="006C13DF" w:rsidRDefault="00402584" w:rsidP="00554703">
      <w:pPr>
        <w:pStyle w:val="ListParagraph"/>
        <w:numPr>
          <w:ilvl w:val="0"/>
          <w:numId w:val="20"/>
        </w:numPr>
        <w:spacing w:after="0" w:line="240" w:lineRule="auto"/>
        <w:jc w:val="both"/>
        <w:rPr>
          <w:rFonts w:ascii="Times New Roman" w:hAnsi="Times New Roman" w:cs="Times New Roman"/>
          <w:bCs/>
          <w:sz w:val="24"/>
          <w:szCs w:val="24"/>
        </w:rPr>
      </w:pPr>
      <w:r w:rsidRPr="006C13DF">
        <w:rPr>
          <w:rFonts w:ascii="Times New Roman" w:hAnsi="Times New Roman" w:cs="Times New Roman"/>
          <w:bCs/>
          <w:sz w:val="24"/>
          <w:szCs w:val="24"/>
        </w:rPr>
        <w:t>през 202</w:t>
      </w:r>
      <w:r w:rsidRPr="006C13DF">
        <w:rPr>
          <w:rFonts w:ascii="Times New Roman" w:hAnsi="Times New Roman" w:cs="Times New Roman"/>
          <w:bCs/>
          <w:sz w:val="24"/>
          <w:szCs w:val="24"/>
          <w:lang w:val="ru-MD"/>
        </w:rPr>
        <w:t>4</w:t>
      </w:r>
      <w:r w:rsidRPr="006C13DF">
        <w:rPr>
          <w:rFonts w:ascii="Times New Roman" w:hAnsi="Times New Roman" w:cs="Times New Roman"/>
          <w:bCs/>
          <w:sz w:val="24"/>
          <w:szCs w:val="24"/>
        </w:rPr>
        <w:t xml:space="preserve"> г. – </w:t>
      </w:r>
      <w:r w:rsidRPr="006C13DF">
        <w:rPr>
          <w:rFonts w:ascii="Times New Roman" w:hAnsi="Times New Roman" w:cs="Times New Roman"/>
          <w:bCs/>
          <w:sz w:val="24"/>
          <w:szCs w:val="24"/>
          <w:lang w:val="ru-MD"/>
        </w:rPr>
        <w:t>101</w:t>
      </w:r>
      <w:r w:rsidRPr="006C13DF">
        <w:rPr>
          <w:rFonts w:ascii="Times New Roman" w:hAnsi="Times New Roman" w:cs="Times New Roman"/>
          <w:bCs/>
          <w:sz w:val="24"/>
          <w:szCs w:val="24"/>
        </w:rPr>
        <w:t xml:space="preserve"> лица.</w:t>
      </w:r>
    </w:p>
    <w:p w14:paraId="21E610B5" w14:textId="77777777" w:rsidR="00402584" w:rsidRPr="006C13DF" w:rsidRDefault="00402584" w:rsidP="00067951">
      <w:pPr>
        <w:spacing w:after="0" w:line="240" w:lineRule="auto"/>
        <w:jc w:val="both"/>
        <w:rPr>
          <w:rFonts w:ascii="Times New Roman" w:hAnsi="Times New Roman" w:cs="Times New Roman"/>
          <w:bCs/>
          <w:sz w:val="24"/>
          <w:szCs w:val="24"/>
        </w:rPr>
      </w:pPr>
    </w:p>
    <w:p w14:paraId="121BA960" w14:textId="77777777" w:rsidR="00914282" w:rsidRPr="006C13DF" w:rsidRDefault="00914282" w:rsidP="0091428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4A3D9580" w14:textId="77777777" w:rsidR="00402584" w:rsidRPr="006C13DF" w:rsidRDefault="00402584" w:rsidP="00402584">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379D303C" w14:textId="77777777" w:rsidR="00402584" w:rsidRPr="006C13DF" w:rsidRDefault="00402584" w:rsidP="00CE0C36">
      <w:pPr>
        <w:spacing w:after="0" w:line="240" w:lineRule="auto"/>
        <w:jc w:val="both"/>
        <w:rPr>
          <w:rFonts w:ascii="Times New Roman" w:eastAsia="Calibri" w:hAnsi="Times New Roman" w:cs="Times New Roman"/>
          <w:b/>
          <w:color w:val="C0504D"/>
          <w:sz w:val="24"/>
          <w:szCs w:val="24"/>
        </w:rPr>
      </w:pPr>
    </w:p>
    <w:p w14:paraId="24503462" w14:textId="77777777" w:rsidR="00856AD6" w:rsidRPr="006C13DF" w:rsidRDefault="006E5C93" w:rsidP="00402584">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 xml:space="preserve">1.1.3. Включване на безработни лица над </w:t>
      </w:r>
      <w:r w:rsidR="00067951" w:rsidRPr="006C13DF">
        <w:rPr>
          <w:rFonts w:ascii="Times New Roman" w:hAnsi="Times New Roman" w:cs="Times New Roman"/>
          <w:b/>
          <w:bCs/>
          <w:sz w:val="24"/>
        </w:rPr>
        <w:t>50-годишна възраст в Програма</w:t>
      </w:r>
      <w:r w:rsidRPr="006C13DF">
        <w:rPr>
          <w:rFonts w:ascii="Times New Roman" w:hAnsi="Times New Roman" w:cs="Times New Roman"/>
          <w:b/>
          <w:bCs/>
          <w:sz w:val="24"/>
        </w:rPr>
        <w:t xml:space="preserve"> за обучение и заетост на </w:t>
      </w:r>
      <w:r w:rsidR="00856AD6" w:rsidRPr="006C13DF">
        <w:rPr>
          <w:rFonts w:ascii="Times New Roman" w:hAnsi="Times New Roman" w:cs="Times New Roman"/>
          <w:b/>
          <w:bCs/>
          <w:sz w:val="24"/>
        </w:rPr>
        <w:t>продължително безработни лица</w:t>
      </w:r>
      <w:r w:rsidR="00856AD6" w:rsidRPr="006C13DF">
        <w:rPr>
          <w:rFonts w:ascii="Times New Roman" w:hAnsi="Times New Roman" w:cs="Times New Roman"/>
          <w:b/>
          <w:bCs/>
          <w:sz w:val="24"/>
        </w:rPr>
        <w:tab/>
        <w:t xml:space="preserve"> </w:t>
      </w:r>
    </w:p>
    <w:p w14:paraId="33F64B20" w14:textId="77777777" w:rsidR="00402584" w:rsidRPr="006C13DF" w:rsidRDefault="00402584" w:rsidP="00402584">
      <w:pPr>
        <w:spacing w:after="0" w:line="240" w:lineRule="auto"/>
        <w:jc w:val="both"/>
        <w:rPr>
          <w:rFonts w:ascii="Times New Roman" w:hAnsi="Times New Roman" w:cs="Times New Roman"/>
          <w:b/>
          <w:bCs/>
          <w:sz w:val="24"/>
        </w:rPr>
      </w:pPr>
    </w:p>
    <w:p w14:paraId="0AACD4F5" w14:textId="77777777" w:rsidR="00402584" w:rsidRPr="006C13DF" w:rsidRDefault="00402584" w:rsidP="00402584">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Програмата се реализира на територията на страната, </w:t>
      </w:r>
      <w:r w:rsidRPr="006C13DF">
        <w:rPr>
          <w:rFonts w:ascii="Times New Roman" w:hAnsi="Times New Roman" w:cs="Times New Roman"/>
          <w:b/>
          <w:bCs/>
          <w:sz w:val="24"/>
        </w:rPr>
        <w:t>с предимство в региони с равнище на безработица над средното за страната за предходната година</w:t>
      </w:r>
      <w:r w:rsidRPr="006C13DF">
        <w:rPr>
          <w:rFonts w:ascii="Times New Roman" w:hAnsi="Times New Roman" w:cs="Times New Roman"/>
          <w:bCs/>
          <w:sz w:val="24"/>
        </w:rPr>
        <w:t>. Включва два компонента: Компонент 1 – за работодатели от частния сектор</w:t>
      </w:r>
      <w:r w:rsidR="006B3D6D" w:rsidRPr="006C13DF">
        <w:rPr>
          <w:rFonts w:ascii="Times New Roman" w:hAnsi="Times New Roman" w:cs="Times New Roman"/>
          <w:bCs/>
          <w:sz w:val="24"/>
        </w:rPr>
        <w:t>,</w:t>
      </w:r>
      <w:r w:rsidRPr="006C13DF">
        <w:rPr>
          <w:rFonts w:ascii="Times New Roman" w:hAnsi="Times New Roman" w:cs="Times New Roman"/>
          <w:bCs/>
          <w:sz w:val="24"/>
        </w:rPr>
        <w:t xml:space="preserve"> и Компонент 2 – за работодатели от публичния сектор, който обхваща и дейности по наемане на безработни лица за работа в аварийни групи. По програмата се осигурява заетост на продължително безработни лица на пълно или непълно работно време </w:t>
      </w:r>
      <w:r w:rsidR="006B3D6D" w:rsidRPr="006C13DF">
        <w:rPr>
          <w:rFonts w:ascii="Times New Roman" w:hAnsi="Times New Roman" w:cs="Times New Roman"/>
          <w:bCs/>
          <w:sz w:val="24"/>
        </w:rPr>
        <w:t>за срок до 12 месеца. През 2023 –</w:t>
      </w:r>
      <w:r w:rsidRPr="006C13DF">
        <w:rPr>
          <w:rFonts w:ascii="Times New Roman" w:hAnsi="Times New Roman" w:cs="Times New Roman"/>
          <w:bCs/>
          <w:sz w:val="24"/>
        </w:rPr>
        <w:t xml:space="preserve">2024 г. със средства от държавния бюджет са финансирани разходите за трудово възнаграждение, допълнителни възнаграждения по трудовото законодателство и осигуровките за сметка на работодателя. Приоритетно в програмата се включват продължително безработни лица, регистрирани в </w:t>
      </w:r>
      <w:r w:rsidR="006B3D6D" w:rsidRPr="006C13DF">
        <w:rPr>
          <w:rFonts w:ascii="Times New Roman" w:hAnsi="Times New Roman" w:cs="Times New Roman"/>
          <w:bCs/>
          <w:sz w:val="24"/>
        </w:rPr>
        <w:t>Д</w:t>
      </w:r>
      <w:r w:rsidRPr="006C13DF">
        <w:rPr>
          <w:rFonts w:ascii="Times New Roman" w:hAnsi="Times New Roman" w:cs="Times New Roman"/>
          <w:bCs/>
          <w:sz w:val="24"/>
        </w:rPr>
        <w:t>ирекции „Бюро по труда“ и сключили Споразумения за интеграция в заетост, включително и лица над 50-годишна възраст.</w:t>
      </w:r>
    </w:p>
    <w:p w14:paraId="237275AD" w14:textId="77777777" w:rsidR="00402584" w:rsidRPr="006C13DF" w:rsidRDefault="006B3D6D" w:rsidP="00402584">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За периода 2023</w:t>
      </w:r>
      <w:r w:rsidR="00402584" w:rsidRPr="006C13DF">
        <w:rPr>
          <w:rFonts w:ascii="Times New Roman" w:hAnsi="Times New Roman" w:cs="Times New Roman"/>
          <w:bCs/>
          <w:sz w:val="24"/>
        </w:rPr>
        <w:t xml:space="preserve"> – 2024 г. по Програмата са </w:t>
      </w:r>
      <w:r w:rsidR="00402584" w:rsidRPr="006C13DF">
        <w:rPr>
          <w:rFonts w:ascii="Times New Roman" w:hAnsi="Times New Roman" w:cs="Times New Roman"/>
          <w:b/>
          <w:bCs/>
          <w:sz w:val="24"/>
        </w:rPr>
        <w:t>включени общо в заетост 4 652 безработни лица над 50 г.</w:t>
      </w:r>
      <w:r w:rsidR="00402584" w:rsidRPr="006C13DF">
        <w:rPr>
          <w:rFonts w:ascii="Times New Roman" w:hAnsi="Times New Roman" w:cs="Times New Roman"/>
          <w:bCs/>
          <w:sz w:val="24"/>
        </w:rPr>
        <w:t>, като разпределението им през годините е, както следва:</w:t>
      </w:r>
    </w:p>
    <w:p w14:paraId="791929F0" w14:textId="77777777" w:rsidR="00402584" w:rsidRPr="006C13DF" w:rsidRDefault="00402584" w:rsidP="00554703">
      <w:pPr>
        <w:pStyle w:val="ListParagraph"/>
        <w:numPr>
          <w:ilvl w:val="0"/>
          <w:numId w:val="21"/>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2023 г. – 1 593 лица;</w:t>
      </w:r>
    </w:p>
    <w:p w14:paraId="556ACFF3" w14:textId="77777777" w:rsidR="00402584" w:rsidRPr="006C13DF" w:rsidRDefault="00402584" w:rsidP="00554703">
      <w:pPr>
        <w:pStyle w:val="ListParagraph"/>
        <w:numPr>
          <w:ilvl w:val="0"/>
          <w:numId w:val="21"/>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2024 г. – 3 059 лица.</w:t>
      </w:r>
    </w:p>
    <w:p w14:paraId="7DB88F8A" w14:textId="77777777" w:rsidR="00402584" w:rsidRPr="006C13DF" w:rsidRDefault="00402584" w:rsidP="00402584">
      <w:pPr>
        <w:spacing w:after="0" w:line="240" w:lineRule="auto"/>
        <w:jc w:val="both"/>
        <w:rPr>
          <w:rFonts w:ascii="Times New Roman" w:hAnsi="Times New Roman" w:cs="Times New Roman"/>
          <w:b/>
          <w:bCs/>
          <w:sz w:val="24"/>
        </w:rPr>
      </w:pPr>
    </w:p>
    <w:p w14:paraId="2C67A169" w14:textId="77777777" w:rsidR="0018502D" w:rsidRPr="006C13DF" w:rsidRDefault="00914282" w:rsidP="006B3D6D">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w:t>
      </w:r>
      <w:r w:rsidR="0018502D" w:rsidRPr="006C13DF">
        <w:rPr>
          <w:rFonts w:ascii="Times New Roman" w:eastAsia="Calibri" w:hAnsi="Times New Roman" w:cs="Times New Roman"/>
          <w:b/>
          <w:caps/>
          <w:color w:val="C0504D"/>
          <w:sz w:val="24"/>
          <w:szCs w:val="24"/>
        </w:rPr>
        <w:t xml:space="preserve"> на труда и социалната политика</w:t>
      </w:r>
    </w:p>
    <w:p w14:paraId="1EA811C9" w14:textId="77777777" w:rsidR="006B3D6D" w:rsidRPr="006C13DF" w:rsidRDefault="006B3D6D" w:rsidP="006B3D6D">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olor w:val="C0504D"/>
          <w:sz w:val="24"/>
          <w:szCs w:val="24"/>
        </w:rPr>
        <w:t>АГЕНЦИЯ ПО ЗАЕТОСТТА</w:t>
      </w:r>
    </w:p>
    <w:p w14:paraId="30BF214A" w14:textId="77777777" w:rsidR="00402584" w:rsidRPr="006C13DF" w:rsidRDefault="00402584" w:rsidP="00E91E47">
      <w:pPr>
        <w:spacing w:after="0" w:line="240" w:lineRule="auto"/>
        <w:ind w:firstLine="708"/>
        <w:jc w:val="both"/>
        <w:rPr>
          <w:rFonts w:ascii="Times New Roman" w:hAnsi="Times New Roman" w:cs="Times New Roman"/>
          <w:bCs/>
          <w:i/>
          <w:sz w:val="24"/>
        </w:rPr>
      </w:pPr>
    </w:p>
    <w:p w14:paraId="2F6CE27C" w14:textId="77777777" w:rsidR="006E5C93" w:rsidRPr="006C13DF" w:rsidRDefault="006E5C93" w:rsidP="00067951">
      <w:pPr>
        <w:spacing w:after="0" w:line="240" w:lineRule="auto"/>
        <w:jc w:val="both"/>
        <w:rPr>
          <w:rFonts w:ascii="Times New Roman" w:hAnsi="Times New Roman" w:cs="Times New Roman"/>
          <w:b/>
          <w:bCs/>
          <w:sz w:val="24"/>
          <w:szCs w:val="24"/>
        </w:rPr>
      </w:pPr>
      <w:r w:rsidRPr="006C13DF">
        <w:rPr>
          <w:rFonts w:ascii="Times New Roman" w:hAnsi="Times New Roman" w:cs="Times New Roman"/>
          <w:b/>
          <w:bCs/>
          <w:sz w:val="24"/>
          <w:szCs w:val="24"/>
        </w:rPr>
        <w:t>1.1.4. Включване на безработни лица над 50-годишна възраст в регионални</w:t>
      </w:r>
      <w:r w:rsidR="00B237EC" w:rsidRPr="006C13DF">
        <w:rPr>
          <w:rFonts w:ascii="Times New Roman" w:hAnsi="Times New Roman" w:cs="Times New Roman"/>
          <w:b/>
          <w:bCs/>
          <w:sz w:val="24"/>
          <w:szCs w:val="24"/>
        </w:rPr>
        <w:t>те програми за заетост</w:t>
      </w:r>
    </w:p>
    <w:p w14:paraId="7F397746" w14:textId="77777777" w:rsidR="0018502D" w:rsidRPr="006C13DF" w:rsidRDefault="0018502D" w:rsidP="00067951">
      <w:pPr>
        <w:spacing w:after="0" w:line="240" w:lineRule="auto"/>
        <w:jc w:val="both"/>
        <w:rPr>
          <w:rFonts w:ascii="Times New Roman" w:hAnsi="Times New Roman" w:cs="Times New Roman"/>
          <w:b/>
          <w:bCs/>
          <w:sz w:val="24"/>
          <w:szCs w:val="24"/>
        </w:rPr>
      </w:pPr>
    </w:p>
    <w:p w14:paraId="5AA1BC87" w14:textId="77777777" w:rsidR="006B3D6D" w:rsidRPr="006C13DF" w:rsidRDefault="006B3D6D" w:rsidP="006B3D6D">
      <w:pPr>
        <w:spacing w:after="0" w:line="240" w:lineRule="auto"/>
        <w:jc w:val="both"/>
        <w:rPr>
          <w:rFonts w:ascii="Times New Roman" w:hAnsi="Times New Roman" w:cs="Times New Roman"/>
          <w:bCs/>
          <w:sz w:val="24"/>
          <w:szCs w:val="24"/>
        </w:rPr>
      </w:pPr>
      <w:r w:rsidRPr="006C13DF">
        <w:rPr>
          <w:rFonts w:ascii="Times New Roman" w:hAnsi="Times New Roman" w:cs="Times New Roman"/>
          <w:bCs/>
          <w:sz w:val="24"/>
          <w:szCs w:val="24"/>
        </w:rPr>
        <w:tab/>
        <w:t>Включване на безработни лица над 50-годишна възраст в регионалните програми за заетост, чрез които се предоставя достъп до заетост на безработни лица в неравностойно положение на пазара на труда, вкл. за лица над 50-годишна възраст. Целта е повишаване на заетостта, намаляване на безработицата, повишаване качеството на работната сила и подобряване на социално-икономическата интеграция на групите в неравностойно положение на пазара на труда в регионите.</w:t>
      </w:r>
    </w:p>
    <w:p w14:paraId="09CA69E1" w14:textId="77777777" w:rsidR="006B3D6D" w:rsidRPr="006C13DF" w:rsidRDefault="006B3D6D" w:rsidP="006B3D6D">
      <w:pPr>
        <w:spacing w:after="0" w:line="240" w:lineRule="auto"/>
        <w:jc w:val="both"/>
        <w:rPr>
          <w:rFonts w:ascii="Times New Roman" w:hAnsi="Times New Roman" w:cs="Times New Roman"/>
          <w:bCs/>
          <w:sz w:val="24"/>
          <w:szCs w:val="24"/>
        </w:rPr>
      </w:pPr>
      <w:r w:rsidRPr="006C13DF">
        <w:rPr>
          <w:rFonts w:ascii="Times New Roman" w:hAnsi="Times New Roman" w:cs="Times New Roman"/>
          <w:bCs/>
          <w:sz w:val="24"/>
          <w:szCs w:val="24"/>
        </w:rPr>
        <w:tab/>
        <w:t xml:space="preserve">Регионалните програми за заетост са съобразени с приоритетите в политиката за насърчаване на заетостта и потребностите на регионалните пазари на труда. През </w:t>
      </w:r>
      <w:r w:rsidRPr="006C13DF">
        <w:rPr>
          <w:rFonts w:ascii="Times New Roman" w:hAnsi="Times New Roman" w:cs="Times New Roman"/>
          <w:bCs/>
          <w:sz w:val="24"/>
          <w:szCs w:val="24"/>
        </w:rPr>
        <w:br/>
        <w:t xml:space="preserve">2024 г. са </w:t>
      </w:r>
      <w:r w:rsidRPr="006C13DF">
        <w:rPr>
          <w:rFonts w:ascii="Times New Roman" w:hAnsi="Times New Roman" w:cs="Times New Roman"/>
          <w:b/>
          <w:bCs/>
          <w:sz w:val="24"/>
          <w:szCs w:val="24"/>
        </w:rPr>
        <w:t>реализирани 28 регионални програми за заетост</w:t>
      </w:r>
      <w:r w:rsidRPr="006C13DF">
        <w:rPr>
          <w:rFonts w:ascii="Times New Roman" w:hAnsi="Times New Roman" w:cs="Times New Roman"/>
          <w:bCs/>
          <w:sz w:val="24"/>
          <w:szCs w:val="24"/>
        </w:rPr>
        <w:t xml:space="preserve"> – по една за всяка административна област. Реализирани са разнообразни дейности с местно значение като поддържане и опазване на общинската и държавната собственост – училища, детски градини, читалища; поддържане на пътища; спомагателни дейности в пенсионерски </w:t>
      </w:r>
      <w:r w:rsidRPr="006C13DF">
        <w:rPr>
          <w:rFonts w:ascii="Times New Roman" w:hAnsi="Times New Roman" w:cs="Times New Roman"/>
          <w:bCs/>
          <w:sz w:val="24"/>
          <w:szCs w:val="24"/>
        </w:rPr>
        <w:lastRenderedPageBreak/>
        <w:t xml:space="preserve">клубове, помощ в обществените трапезарии, социален патронаж и др. общополезни дейности. </w:t>
      </w:r>
    </w:p>
    <w:p w14:paraId="354C8041" w14:textId="77777777" w:rsidR="00B237EC" w:rsidRPr="006C13DF" w:rsidRDefault="006B3D6D" w:rsidP="006B3D6D">
      <w:pPr>
        <w:spacing w:after="0" w:line="240" w:lineRule="auto"/>
        <w:jc w:val="both"/>
        <w:rPr>
          <w:rFonts w:ascii="Times New Roman" w:hAnsi="Times New Roman" w:cs="Times New Roman"/>
          <w:bCs/>
          <w:sz w:val="24"/>
          <w:szCs w:val="24"/>
        </w:rPr>
      </w:pPr>
      <w:r w:rsidRPr="006C13DF">
        <w:rPr>
          <w:rFonts w:ascii="Times New Roman" w:hAnsi="Times New Roman" w:cs="Times New Roman"/>
          <w:bCs/>
          <w:sz w:val="24"/>
          <w:szCs w:val="24"/>
        </w:rPr>
        <w:tab/>
        <w:t xml:space="preserve">През 2023 г. не са реализирани регионални програми за заетост. През 2024 г. в регионални програми за заетост са </w:t>
      </w:r>
      <w:r w:rsidRPr="006C13DF">
        <w:rPr>
          <w:rFonts w:ascii="Times New Roman" w:hAnsi="Times New Roman" w:cs="Times New Roman"/>
          <w:b/>
          <w:bCs/>
          <w:sz w:val="24"/>
          <w:szCs w:val="24"/>
        </w:rPr>
        <w:t>включени общо 1 076 безработни лица над 50 г.</w:t>
      </w:r>
    </w:p>
    <w:p w14:paraId="52E11B33" w14:textId="77777777" w:rsidR="006B3D6D" w:rsidRPr="006C13DF" w:rsidRDefault="006B3D6D" w:rsidP="00E91E47">
      <w:pPr>
        <w:spacing w:after="0" w:line="240" w:lineRule="auto"/>
        <w:ind w:firstLine="708"/>
        <w:jc w:val="both"/>
        <w:rPr>
          <w:rFonts w:ascii="Times New Roman" w:hAnsi="Times New Roman" w:cs="Times New Roman"/>
          <w:bCs/>
          <w:sz w:val="24"/>
          <w:szCs w:val="24"/>
        </w:rPr>
      </w:pPr>
    </w:p>
    <w:p w14:paraId="20DD4859" w14:textId="77777777" w:rsidR="006B3D6D" w:rsidRPr="006C13DF" w:rsidRDefault="006B3D6D" w:rsidP="006B3D6D">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642D497C" w14:textId="77777777" w:rsidR="006B3D6D" w:rsidRPr="006C13DF" w:rsidRDefault="006B3D6D" w:rsidP="00E91E47">
      <w:pPr>
        <w:spacing w:after="0" w:line="240" w:lineRule="auto"/>
        <w:ind w:firstLine="708"/>
        <w:jc w:val="both"/>
        <w:rPr>
          <w:rFonts w:ascii="Times New Roman" w:hAnsi="Times New Roman" w:cs="Times New Roman"/>
          <w:bCs/>
          <w:i/>
          <w:sz w:val="24"/>
          <w:szCs w:val="24"/>
        </w:rPr>
      </w:pPr>
    </w:p>
    <w:p w14:paraId="3868FB01" w14:textId="77777777" w:rsidR="006E5C93" w:rsidRPr="006C13DF" w:rsidRDefault="006E5C93" w:rsidP="00067951">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1.1.5. Включване на безработни лица над 50-годишна възраст в проекти на външни организации (КНСБ, КТ „Подкрепа“, АИКБ, БТПП, БСК, ССИ и КРИБ)</w:t>
      </w:r>
    </w:p>
    <w:p w14:paraId="2E7230DA" w14:textId="77777777" w:rsidR="00BA07C5" w:rsidRPr="006C13DF" w:rsidRDefault="00BA07C5" w:rsidP="006B3D6D">
      <w:pPr>
        <w:spacing w:after="0" w:line="240" w:lineRule="auto"/>
        <w:jc w:val="both"/>
        <w:rPr>
          <w:rFonts w:ascii="Times New Roman" w:hAnsi="Times New Roman" w:cs="Times New Roman"/>
          <w:b/>
          <w:bCs/>
          <w:sz w:val="24"/>
        </w:rPr>
      </w:pPr>
    </w:p>
    <w:p w14:paraId="6DC8ECB7" w14:textId="77777777" w:rsidR="006B3D6D" w:rsidRPr="006C13DF" w:rsidRDefault="006B3D6D" w:rsidP="006B3D6D">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Важни са и действията на социалните партньори за повече инвестиции в здравословни и безопасни условия на труд, както и за преодоляване на негативните нагласи към по-възрастните работници и специалисти. Те са насочени към подобряване качеството на работната сила и повишаване предлагането на квалифицирани кадри в съответствие с търсенето на бизнеса, увеличаване на участието на пазара на труда и намаляване на броя на неактивните лица в трудоспособна възраст. Чрез проектите се реализира комплекс от взаимосвързани мерки за целенасочено въздействие сред уязвимите групи на пазара на труда, което да допринесе за намаляване на </w:t>
      </w:r>
      <w:proofErr w:type="spellStart"/>
      <w:r w:rsidRPr="006C13DF">
        <w:rPr>
          <w:rFonts w:ascii="Times New Roman" w:hAnsi="Times New Roman" w:cs="Times New Roman"/>
          <w:bCs/>
          <w:sz w:val="24"/>
        </w:rPr>
        <w:t>неравновесията</w:t>
      </w:r>
      <w:proofErr w:type="spellEnd"/>
      <w:r w:rsidRPr="006C13DF">
        <w:rPr>
          <w:rFonts w:ascii="Times New Roman" w:hAnsi="Times New Roman" w:cs="Times New Roman"/>
          <w:bCs/>
          <w:sz w:val="24"/>
        </w:rPr>
        <w:t xml:space="preserve"> между предлагането и търсенето на работна сила.</w:t>
      </w:r>
    </w:p>
    <w:p w14:paraId="502E1A4C" w14:textId="77777777" w:rsidR="006B3D6D" w:rsidRPr="006C13DF" w:rsidRDefault="006B3D6D" w:rsidP="006B3D6D">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r>
      <w:r w:rsidRPr="006C13DF">
        <w:rPr>
          <w:rFonts w:ascii="Times New Roman" w:hAnsi="Times New Roman" w:cs="Times New Roman"/>
          <w:b/>
          <w:bCs/>
          <w:sz w:val="24"/>
        </w:rPr>
        <w:t>През 2023 г. лица над 50-годишна възраст</w:t>
      </w:r>
      <w:r w:rsidRPr="006C13DF">
        <w:rPr>
          <w:rFonts w:ascii="Times New Roman" w:hAnsi="Times New Roman" w:cs="Times New Roman"/>
          <w:bCs/>
          <w:sz w:val="24"/>
        </w:rPr>
        <w:t xml:space="preserve"> са включени в обучение и заетост по следните проекти на социалните партньори: Проект „Шанс за зелена и екологична заетост“ (КНСБ), Проект „Устремени напред“ (АИКБ), Проект „Осигуряване на качествен труд“ (БСК), Проект „Възможност за развитие“ (ССИ), Проект „ПРОСПЕРИТЕТ“ (БТПП), Проект „Хоризонти – 8“ (КТ „Подкрепа”) и Проект „Знания и умения за работа-2“ (КРИБ), като безработните лица са подпомогнати чрез включване в професионално обучение, обучение по ключови компетентности и включване в заетост. </w:t>
      </w:r>
      <w:r w:rsidRPr="006C13DF">
        <w:rPr>
          <w:rFonts w:ascii="Times New Roman" w:hAnsi="Times New Roman" w:cs="Times New Roman"/>
          <w:b/>
          <w:bCs/>
          <w:sz w:val="24"/>
        </w:rPr>
        <w:t>В обучение</w:t>
      </w:r>
      <w:r w:rsidRPr="006C13DF">
        <w:rPr>
          <w:rFonts w:ascii="Times New Roman" w:hAnsi="Times New Roman" w:cs="Times New Roman"/>
          <w:bCs/>
          <w:sz w:val="24"/>
        </w:rPr>
        <w:t xml:space="preserve"> по проектите на социалните партньори през 2023 г. са включени общо </w:t>
      </w:r>
      <w:r w:rsidRPr="006C13DF">
        <w:rPr>
          <w:rFonts w:ascii="Times New Roman" w:hAnsi="Times New Roman" w:cs="Times New Roman"/>
          <w:b/>
          <w:bCs/>
          <w:sz w:val="24"/>
        </w:rPr>
        <w:t>2 361 безработни лица</w:t>
      </w:r>
      <w:r w:rsidRPr="006C13DF">
        <w:rPr>
          <w:rFonts w:ascii="Times New Roman" w:hAnsi="Times New Roman" w:cs="Times New Roman"/>
          <w:bCs/>
          <w:sz w:val="24"/>
        </w:rPr>
        <w:t xml:space="preserve"> </w:t>
      </w:r>
      <w:r w:rsidRPr="006C13DF">
        <w:rPr>
          <w:rFonts w:ascii="Times New Roman" w:hAnsi="Times New Roman" w:cs="Times New Roman"/>
          <w:b/>
          <w:bCs/>
          <w:sz w:val="24"/>
        </w:rPr>
        <w:t>от целевата група</w:t>
      </w:r>
      <w:r w:rsidRPr="006C13DF">
        <w:rPr>
          <w:rFonts w:ascii="Times New Roman" w:hAnsi="Times New Roman" w:cs="Times New Roman"/>
          <w:bCs/>
          <w:sz w:val="24"/>
        </w:rPr>
        <w:t xml:space="preserve">. </w:t>
      </w:r>
      <w:r w:rsidRPr="006C13DF">
        <w:rPr>
          <w:rFonts w:ascii="Times New Roman" w:hAnsi="Times New Roman" w:cs="Times New Roman"/>
          <w:b/>
          <w:bCs/>
          <w:sz w:val="24"/>
        </w:rPr>
        <w:t>Осигурена е субсидирана заетост на 20 лица над 50-годишна възраст</w:t>
      </w:r>
      <w:r w:rsidRPr="006C13DF">
        <w:rPr>
          <w:rFonts w:ascii="Times New Roman" w:hAnsi="Times New Roman" w:cs="Times New Roman"/>
          <w:bCs/>
          <w:sz w:val="24"/>
        </w:rPr>
        <w:t>.</w:t>
      </w:r>
    </w:p>
    <w:p w14:paraId="13B3AC28" w14:textId="77777777" w:rsidR="00EF272F" w:rsidRPr="006C13DF" w:rsidRDefault="006B3D6D" w:rsidP="006B3D6D">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r>
      <w:r w:rsidRPr="006C13DF">
        <w:rPr>
          <w:rFonts w:ascii="Times New Roman" w:hAnsi="Times New Roman" w:cs="Times New Roman"/>
          <w:b/>
          <w:bCs/>
          <w:sz w:val="24"/>
        </w:rPr>
        <w:t>През 2024 г. лица над 50-годишна възраст</w:t>
      </w:r>
      <w:r w:rsidRPr="006C13DF">
        <w:rPr>
          <w:rFonts w:ascii="Times New Roman" w:hAnsi="Times New Roman" w:cs="Times New Roman"/>
          <w:bCs/>
          <w:sz w:val="24"/>
        </w:rPr>
        <w:t xml:space="preserve"> са включени в обучение и заетост по следните проекти на социалните партньори: „Успешна трудова </w:t>
      </w:r>
      <w:proofErr w:type="spellStart"/>
      <w:r w:rsidRPr="006C13DF">
        <w:rPr>
          <w:rFonts w:ascii="Times New Roman" w:hAnsi="Times New Roman" w:cs="Times New Roman"/>
          <w:bCs/>
          <w:sz w:val="24"/>
        </w:rPr>
        <w:t>РЕализация</w:t>
      </w:r>
      <w:proofErr w:type="spellEnd"/>
      <w:r w:rsidRPr="006C13DF">
        <w:rPr>
          <w:rFonts w:ascii="Times New Roman" w:hAnsi="Times New Roman" w:cs="Times New Roman"/>
          <w:bCs/>
          <w:sz w:val="24"/>
        </w:rPr>
        <w:t xml:space="preserve">” (БТПП), Проект „С нови зелени и екологични знания и умения към нова заетост” (КНСБ), Проект „Хоризонти 9” (КТ „Подкрепа”), Проект „Достойно бъдеще” (АИКБ), Проект „Възможност за трудова заетост и самонаемане“ (ССИ), Проект „Ефективни мерки за заетост” (БСК) и Проект „Знания и умения за работа-3” (КРИБ), като безработните лица са подпомогнати чрез професионално обучение, обучение по ключови компетентности и включване в заетост. </w:t>
      </w:r>
      <w:r w:rsidRPr="006C13DF">
        <w:rPr>
          <w:rFonts w:ascii="Times New Roman" w:hAnsi="Times New Roman" w:cs="Times New Roman"/>
          <w:b/>
          <w:bCs/>
          <w:sz w:val="24"/>
        </w:rPr>
        <w:t>В обучение</w:t>
      </w:r>
      <w:r w:rsidRPr="006C13DF">
        <w:rPr>
          <w:rFonts w:ascii="Times New Roman" w:hAnsi="Times New Roman" w:cs="Times New Roman"/>
          <w:bCs/>
          <w:sz w:val="24"/>
        </w:rPr>
        <w:t xml:space="preserve"> по проектите на социалните партньори през 2024 г. са включени общо </w:t>
      </w:r>
      <w:r w:rsidRPr="006C13DF">
        <w:rPr>
          <w:rFonts w:ascii="Times New Roman" w:hAnsi="Times New Roman" w:cs="Times New Roman"/>
          <w:b/>
          <w:bCs/>
          <w:sz w:val="24"/>
        </w:rPr>
        <w:t>1 545 безработни лица от целевата група. Осигурена е субсидирана заетост на 10 лица над 50-годишна възраст</w:t>
      </w:r>
      <w:r w:rsidRPr="006C13DF">
        <w:rPr>
          <w:rFonts w:ascii="Times New Roman" w:hAnsi="Times New Roman" w:cs="Times New Roman"/>
          <w:bCs/>
          <w:sz w:val="24"/>
        </w:rPr>
        <w:t>.</w:t>
      </w:r>
    </w:p>
    <w:p w14:paraId="6EE02623" w14:textId="77777777" w:rsidR="00914282" w:rsidRPr="006C13DF" w:rsidRDefault="00914282" w:rsidP="006B3D6D">
      <w:pPr>
        <w:spacing w:after="0" w:line="240" w:lineRule="auto"/>
        <w:jc w:val="both"/>
        <w:rPr>
          <w:rFonts w:ascii="Times New Roman" w:hAnsi="Times New Roman" w:cs="Times New Roman"/>
          <w:bCs/>
          <w:sz w:val="24"/>
        </w:rPr>
      </w:pPr>
    </w:p>
    <w:p w14:paraId="282401FB" w14:textId="77777777" w:rsidR="00914282" w:rsidRPr="006C13DF" w:rsidRDefault="00914282" w:rsidP="00EF272F">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МИНИСТЕРСТВО НА ТРУДА И СОЦИАЛНАТА ПОЛИТИКА</w:t>
      </w:r>
    </w:p>
    <w:p w14:paraId="086CB801" w14:textId="77777777" w:rsidR="00EF272F" w:rsidRPr="006C13DF" w:rsidRDefault="00EF272F" w:rsidP="00EF272F">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4DDBAC38" w14:textId="77777777" w:rsidR="006B3D6D" w:rsidRPr="006C13DF" w:rsidRDefault="006B3D6D" w:rsidP="00E91E47">
      <w:pPr>
        <w:spacing w:after="0" w:line="240" w:lineRule="auto"/>
        <w:ind w:firstLine="708"/>
        <w:jc w:val="both"/>
        <w:rPr>
          <w:rFonts w:ascii="Times New Roman" w:hAnsi="Times New Roman" w:cs="Times New Roman"/>
          <w:b/>
          <w:bCs/>
          <w:sz w:val="24"/>
        </w:rPr>
      </w:pPr>
    </w:p>
    <w:p w14:paraId="7F6AC079" w14:textId="77777777" w:rsidR="006E5C93" w:rsidRPr="006C13DF" w:rsidRDefault="006E5C93" w:rsidP="00067951">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 xml:space="preserve">1.1.6. Включване на безработни лица над 50-годишна възраст в мярката по чл. 50 от Закона за насърчаване на заетостта (ЗНЗ) - Насърчаване на работодатели - микропредприятия да разкриват работни места, като се субсидират първите 5 разкрити работни места чрез предоставяне на средства за трудови възнаграждения, социални и здравни осигуровки </w:t>
      </w:r>
    </w:p>
    <w:p w14:paraId="3D66E3E2" w14:textId="77777777" w:rsidR="00EF272F" w:rsidRPr="006C13DF" w:rsidRDefault="00EF272F" w:rsidP="00067951">
      <w:pPr>
        <w:spacing w:after="0" w:line="240" w:lineRule="auto"/>
        <w:jc w:val="both"/>
        <w:rPr>
          <w:rFonts w:ascii="Times New Roman" w:hAnsi="Times New Roman" w:cs="Times New Roman"/>
          <w:b/>
          <w:bCs/>
          <w:sz w:val="24"/>
        </w:rPr>
      </w:pPr>
    </w:p>
    <w:p w14:paraId="2F412DBE" w14:textId="77777777" w:rsidR="00B71793" w:rsidRPr="006C13DF" w:rsidRDefault="00B71793" w:rsidP="00B71793">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Мярката осигурява подкрепа за предприемачеството. Съгласно Националните планове за действие по заетостта през 2023 г. и 2024 г. със средства от държавния бюджет </w:t>
      </w:r>
      <w:r w:rsidRPr="006C13DF">
        <w:rPr>
          <w:rFonts w:ascii="Times New Roman" w:hAnsi="Times New Roman" w:cs="Times New Roman"/>
          <w:bCs/>
          <w:sz w:val="24"/>
        </w:rPr>
        <w:lastRenderedPageBreak/>
        <w:t>са субсидирани първите 5 разкрити работни места в микропредприятия за период до 9 месеца.</w:t>
      </w:r>
      <w:r w:rsidR="00914282" w:rsidRPr="006C13DF">
        <w:rPr>
          <w:rFonts w:ascii="Times New Roman" w:hAnsi="Times New Roman" w:cs="Times New Roman"/>
        </w:rPr>
        <w:t xml:space="preserve"> </w:t>
      </w:r>
      <w:r w:rsidR="00914282" w:rsidRPr="006C13DF">
        <w:rPr>
          <w:rFonts w:ascii="Times New Roman" w:hAnsi="Times New Roman" w:cs="Times New Roman"/>
          <w:bCs/>
          <w:sz w:val="24"/>
        </w:rPr>
        <w:t>През 2023 г. по условията на мярката са финансирани част от разходите за трудово възнаграждение - 650 лв. до 31.07., 780 лв. след 01.08., както и допълнителни плащания по трудовото и осигурителното з</w:t>
      </w:r>
      <w:r w:rsidR="00D7133B">
        <w:rPr>
          <w:rFonts w:ascii="Times New Roman" w:hAnsi="Times New Roman" w:cs="Times New Roman"/>
          <w:bCs/>
          <w:sz w:val="24"/>
        </w:rPr>
        <w:t>аконодателство, а през 2024 г. –</w:t>
      </w:r>
      <w:r w:rsidR="00914282" w:rsidRPr="006C13DF">
        <w:rPr>
          <w:rFonts w:ascii="Times New Roman" w:hAnsi="Times New Roman" w:cs="Times New Roman"/>
          <w:bCs/>
          <w:sz w:val="24"/>
        </w:rPr>
        <w:t xml:space="preserve"> разходите за трудово възнаграждение в размер на 933 лв. и допълнителни плащания по трудовото и осигурителното законодателство.</w:t>
      </w:r>
    </w:p>
    <w:p w14:paraId="7284A74A" w14:textId="77777777" w:rsidR="00B71793" w:rsidRPr="006C13DF" w:rsidRDefault="00B71793" w:rsidP="00B71793">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За периода 2023 – 2024 г. в тази насърчителна мярка са включени общо в заетост </w:t>
      </w:r>
      <w:r w:rsidRPr="006C13DF">
        <w:rPr>
          <w:rFonts w:ascii="Times New Roman" w:hAnsi="Times New Roman" w:cs="Times New Roman"/>
          <w:b/>
          <w:bCs/>
          <w:sz w:val="24"/>
        </w:rPr>
        <w:t>47 безработни лица над 50 г</w:t>
      </w:r>
      <w:r w:rsidRPr="006C13DF">
        <w:rPr>
          <w:rFonts w:ascii="Times New Roman" w:hAnsi="Times New Roman" w:cs="Times New Roman"/>
          <w:bCs/>
          <w:sz w:val="24"/>
        </w:rPr>
        <w:t>., като разпределението им през годините е, както следва:</w:t>
      </w:r>
    </w:p>
    <w:p w14:paraId="6612B6D8" w14:textId="77777777" w:rsidR="00B71793" w:rsidRPr="006C13DF" w:rsidRDefault="00B71793" w:rsidP="00554703">
      <w:pPr>
        <w:pStyle w:val="ListParagraph"/>
        <w:numPr>
          <w:ilvl w:val="0"/>
          <w:numId w:val="22"/>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2023 г. – 19 лица;</w:t>
      </w:r>
    </w:p>
    <w:p w14:paraId="76FD6B23" w14:textId="77777777" w:rsidR="00EF272F" w:rsidRPr="006C13DF" w:rsidRDefault="00B71793" w:rsidP="00554703">
      <w:pPr>
        <w:pStyle w:val="ListParagraph"/>
        <w:numPr>
          <w:ilvl w:val="0"/>
          <w:numId w:val="22"/>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2024 г. – 28 лица.</w:t>
      </w:r>
    </w:p>
    <w:p w14:paraId="7304026A" w14:textId="77777777" w:rsidR="00EF272F" w:rsidRPr="006C13DF" w:rsidRDefault="00EF272F" w:rsidP="00067951">
      <w:pPr>
        <w:spacing w:after="0" w:line="240" w:lineRule="auto"/>
        <w:jc w:val="both"/>
        <w:rPr>
          <w:rFonts w:ascii="Times New Roman" w:hAnsi="Times New Roman" w:cs="Times New Roman"/>
          <w:b/>
          <w:bCs/>
          <w:sz w:val="24"/>
        </w:rPr>
      </w:pPr>
    </w:p>
    <w:p w14:paraId="7BDDA181" w14:textId="77777777" w:rsidR="00914282" w:rsidRPr="006C13DF" w:rsidRDefault="00914282" w:rsidP="00914282">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МИНИСТЕРСТВО НА ТРУДА И СОЦИАЛНАТА ПОЛИТИКА</w:t>
      </w:r>
    </w:p>
    <w:p w14:paraId="0089BB97" w14:textId="77777777" w:rsidR="00B71793" w:rsidRPr="006C13DF" w:rsidRDefault="00B71793" w:rsidP="00B71793">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3EEE4EB8" w14:textId="77777777" w:rsidR="00883802" w:rsidRPr="006C13DF" w:rsidRDefault="00883802" w:rsidP="00B71793">
      <w:pPr>
        <w:spacing w:after="0" w:line="240" w:lineRule="auto"/>
        <w:jc w:val="both"/>
        <w:rPr>
          <w:rFonts w:ascii="Times New Roman" w:hAnsi="Times New Roman" w:cs="Times New Roman"/>
          <w:bCs/>
          <w:sz w:val="24"/>
        </w:rPr>
      </w:pPr>
    </w:p>
    <w:p w14:paraId="574ED1E5" w14:textId="77777777" w:rsidR="00A75D6F" w:rsidRPr="006C13DF" w:rsidRDefault="00B237EC" w:rsidP="00B71793">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1.1.7. Включване на безработни лица над 50-годишна възраст в мярката по чл.</w:t>
      </w:r>
      <w:r w:rsidR="00B71793" w:rsidRPr="006C13DF">
        <w:rPr>
          <w:rFonts w:ascii="Times New Roman" w:hAnsi="Times New Roman" w:cs="Times New Roman"/>
          <w:b/>
          <w:bCs/>
          <w:sz w:val="24"/>
        </w:rPr>
        <w:t xml:space="preserve"> </w:t>
      </w:r>
      <w:r w:rsidRPr="006C13DF">
        <w:rPr>
          <w:rFonts w:ascii="Times New Roman" w:hAnsi="Times New Roman" w:cs="Times New Roman"/>
          <w:b/>
          <w:bCs/>
          <w:sz w:val="24"/>
        </w:rPr>
        <w:t>51, ал.</w:t>
      </w:r>
      <w:r w:rsidR="00B71793" w:rsidRPr="006C13DF">
        <w:rPr>
          <w:rFonts w:ascii="Times New Roman" w:hAnsi="Times New Roman" w:cs="Times New Roman"/>
          <w:b/>
          <w:bCs/>
          <w:sz w:val="24"/>
        </w:rPr>
        <w:t xml:space="preserve"> </w:t>
      </w:r>
      <w:r w:rsidRPr="006C13DF">
        <w:rPr>
          <w:rFonts w:ascii="Times New Roman" w:hAnsi="Times New Roman" w:cs="Times New Roman"/>
          <w:b/>
          <w:bCs/>
          <w:sz w:val="24"/>
        </w:rPr>
        <w:t>1 от ЗНЗ - Насърчаване на работодателите да наемат безработни лица с непрекъснато поддържана регистрация не по-малко от 6 месеца или безработно лице до 24-годишна възраст, или безработно лице с основно и по-ниско образование, или безработно лице на възраст над 50 години чрез предоставяне на средства за трудови възнаграждения, социални и здравни осигуровки</w:t>
      </w:r>
    </w:p>
    <w:p w14:paraId="05D71676" w14:textId="77777777" w:rsidR="00B71793" w:rsidRPr="006C13DF" w:rsidRDefault="00B71793" w:rsidP="00B71793">
      <w:pPr>
        <w:spacing w:after="0" w:line="240" w:lineRule="auto"/>
        <w:jc w:val="both"/>
        <w:rPr>
          <w:rFonts w:ascii="Times New Roman" w:hAnsi="Times New Roman" w:cs="Times New Roman"/>
          <w:b/>
          <w:bCs/>
          <w:sz w:val="24"/>
        </w:rPr>
      </w:pPr>
    </w:p>
    <w:p w14:paraId="27855F4C" w14:textId="77777777" w:rsidR="00914282" w:rsidRPr="006C13DF" w:rsidRDefault="00B71793" w:rsidP="00914282">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По условията на мярката се насърчават работодателите да наемат безработни лица, които срещат трудности на пазара на труда.</w:t>
      </w:r>
      <w:r w:rsidRPr="006C13DF">
        <w:rPr>
          <w:rFonts w:ascii="Times New Roman" w:hAnsi="Times New Roman" w:cs="Times New Roman"/>
          <w:bCs/>
          <w:i/>
          <w:sz w:val="24"/>
        </w:rPr>
        <w:t xml:space="preserve"> </w:t>
      </w:r>
      <w:r w:rsidR="00914282" w:rsidRPr="006C13DF">
        <w:rPr>
          <w:rFonts w:ascii="Times New Roman" w:hAnsi="Times New Roman" w:cs="Times New Roman"/>
          <w:bCs/>
          <w:sz w:val="24"/>
        </w:rPr>
        <w:t>Съгласно Националните планове за действие по заетостта през 2023 и 2024 г. субсидиите за работодателя от държавния бюджет са за разкрито работно място, на което е наето лице от целевата група, в размер до 50 на сто от допустимите разходи за периода на субсидиране за трудово възнаграждение (780 лв. максимален размер за 2023 г., 933 лв. максимален размер за 2024 г.) и допълнителни плащания по трудовото и осигурителното законодателство. Заетостта се субсидира за период не по-малко от 3 и не повече от 12 месеца.</w:t>
      </w:r>
    </w:p>
    <w:p w14:paraId="42A5A374" w14:textId="77777777" w:rsidR="00B71793" w:rsidRPr="006C13DF" w:rsidRDefault="00914282" w:rsidP="00914282">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r>
      <w:r w:rsidR="00B71793" w:rsidRPr="006C13DF">
        <w:rPr>
          <w:rFonts w:ascii="Times New Roman" w:hAnsi="Times New Roman" w:cs="Times New Roman"/>
          <w:bCs/>
          <w:sz w:val="24"/>
        </w:rPr>
        <w:t xml:space="preserve">За периода 2023 – 2024 г. в тази насърчителна мярка са включени общо в заетост </w:t>
      </w:r>
      <w:r w:rsidR="00B71793" w:rsidRPr="006C13DF">
        <w:rPr>
          <w:rFonts w:ascii="Times New Roman" w:hAnsi="Times New Roman" w:cs="Times New Roman"/>
          <w:b/>
          <w:bCs/>
          <w:sz w:val="24"/>
        </w:rPr>
        <w:t>216 безработни лица над 50 г.</w:t>
      </w:r>
      <w:r w:rsidR="00B71793" w:rsidRPr="006C13DF">
        <w:rPr>
          <w:rFonts w:ascii="Times New Roman" w:hAnsi="Times New Roman" w:cs="Times New Roman"/>
          <w:bCs/>
          <w:sz w:val="24"/>
        </w:rPr>
        <w:t>, като разпределението им през годините е, както следва:</w:t>
      </w:r>
    </w:p>
    <w:p w14:paraId="677C5F7F" w14:textId="77777777" w:rsidR="00B71793" w:rsidRPr="006C13DF" w:rsidRDefault="00B71793" w:rsidP="00554703">
      <w:pPr>
        <w:pStyle w:val="ListParagraph"/>
        <w:numPr>
          <w:ilvl w:val="0"/>
          <w:numId w:val="23"/>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2023 г. – 156 лица;</w:t>
      </w:r>
    </w:p>
    <w:p w14:paraId="29687A7B" w14:textId="77777777" w:rsidR="00914282" w:rsidRPr="006C13DF" w:rsidRDefault="00B71793" w:rsidP="00554703">
      <w:pPr>
        <w:pStyle w:val="ListParagraph"/>
        <w:numPr>
          <w:ilvl w:val="0"/>
          <w:numId w:val="23"/>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2024 г. – 60 лица.</w:t>
      </w:r>
    </w:p>
    <w:p w14:paraId="282F9761" w14:textId="77777777" w:rsidR="0018502D" w:rsidRPr="006C13DF" w:rsidRDefault="0018502D" w:rsidP="0018502D">
      <w:pPr>
        <w:spacing w:after="0" w:line="240" w:lineRule="auto"/>
        <w:jc w:val="both"/>
        <w:rPr>
          <w:rFonts w:ascii="Times New Roman" w:hAnsi="Times New Roman" w:cs="Times New Roman"/>
          <w:bCs/>
          <w:sz w:val="24"/>
        </w:rPr>
      </w:pPr>
    </w:p>
    <w:p w14:paraId="44CF1DC9" w14:textId="77777777" w:rsidR="00B71793" w:rsidRPr="006C13DF" w:rsidRDefault="00914282" w:rsidP="00914282">
      <w:pPr>
        <w:pStyle w:val="ListParagraph"/>
        <w:spacing w:after="0" w:line="240" w:lineRule="auto"/>
        <w:ind w:left="0"/>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МИНИСТЕРСТВО НА ТРУДА И СОЦИАЛНАТА ПОЛИТИКА</w:t>
      </w:r>
    </w:p>
    <w:p w14:paraId="58B66EAD" w14:textId="77777777" w:rsidR="00B71793" w:rsidRPr="006C13DF" w:rsidRDefault="00B71793" w:rsidP="00B71793">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69C0C7B3" w14:textId="77777777" w:rsidR="00B71793" w:rsidRPr="006C13DF" w:rsidRDefault="00B71793" w:rsidP="00B71793">
      <w:pPr>
        <w:spacing w:after="0" w:line="240" w:lineRule="auto"/>
        <w:jc w:val="both"/>
        <w:rPr>
          <w:rFonts w:ascii="Times New Roman" w:hAnsi="Times New Roman" w:cs="Times New Roman"/>
          <w:b/>
          <w:bCs/>
          <w:sz w:val="24"/>
        </w:rPr>
      </w:pPr>
    </w:p>
    <w:p w14:paraId="23BA0A9A" w14:textId="77777777" w:rsidR="006E5C93" w:rsidRPr="006C13DF" w:rsidRDefault="006E5C93" w:rsidP="00067951">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 xml:space="preserve">1.1.8. </w:t>
      </w:r>
      <w:r w:rsidR="00B237EC" w:rsidRPr="006C13DF">
        <w:rPr>
          <w:rFonts w:ascii="Times New Roman" w:hAnsi="Times New Roman" w:cs="Times New Roman"/>
          <w:b/>
          <w:bCs/>
          <w:sz w:val="24"/>
        </w:rPr>
        <w:t>Включване на безработни лица над 50-годишна възраст в мярката по чл.</w:t>
      </w:r>
      <w:r w:rsidR="00B71793" w:rsidRPr="006C13DF">
        <w:rPr>
          <w:rFonts w:ascii="Times New Roman" w:hAnsi="Times New Roman" w:cs="Times New Roman"/>
          <w:b/>
          <w:bCs/>
          <w:sz w:val="24"/>
        </w:rPr>
        <w:t xml:space="preserve"> </w:t>
      </w:r>
      <w:r w:rsidR="00B237EC" w:rsidRPr="006C13DF">
        <w:rPr>
          <w:rFonts w:ascii="Times New Roman" w:hAnsi="Times New Roman" w:cs="Times New Roman"/>
          <w:b/>
          <w:bCs/>
          <w:sz w:val="24"/>
        </w:rPr>
        <w:t>51, ал. 2 от ЗНЗ – Насърчаване на работодателите да наемат безработни лица с трайни увреждания чрез предоставяне на средства за трудови възнаграждения, социални и здравни осигуровки</w:t>
      </w:r>
    </w:p>
    <w:p w14:paraId="333570FD" w14:textId="77777777" w:rsidR="0018502D" w:rsidRPr="006C13DF" w:rsidRDefault="0018502D" w:rsidP="00067951">
      <w:pPr>
        <w:spacing w:after="0" w:line="240" w:lineRule="auto"/>
        <w:jc w:val="both"/>
        <w:rPr>
          <w:rFonts w:ascii="Times New Roman" w:hAnsi="Times New Roman" w:cs="Times New Roman"/>
          <w:b/>
          <w:bCs/>
          <w:sz w:val="24"/>
        </w:rPr>
      </w:pPr>
    </w:p>
    <w:p w14:paraId="243C78D9" w14:textId="77777777" w:rsidR="00914282" w:rsidRPr="006C13DF" w:rsidRDefault="00914282" w:rsidP="0091428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По условията на мярката се насърчават работодателите да наемат безработни лица с трайни увреждания. Съгласно Националните планове за действие по заетостта през 2023 и 2024 г. субсидиите за работодателя от държавния бюджет са за разкрито работно място, на което е наето лице от целевата група в размер до 75 на сто от допустимите разходи за периода на субсидиране за: трудово възнаграждение (780 лв. максимален размер за 2023 г., 933 лв. максимален размер за 2024 г.) и допълнителни плащания по трудовото и осигурителното законодателство. Заетостта се субсидира за период не по-малко от 3 месеца и не повече от 12 месеца.</w:t>
      </w:r>
    </w:p>
    <w:p w14:paraId="3EF4D5A1" w14:textId="77777777" w:rsidR="00B71793" w:rsidRPr="006C13DF" w:rsidRDefault="00B71793" w:rsidP="00B71793">
      <w:pPr>
        <w:spacing w:after="0" w:line="240" w:lineRule="auto"/>
        <w:jc w:val="both"/>
        <w:rPr>
          <w:rFonts w:ascii="Times New Roman" w:hAnsi="Times New Roman" w:cs="Times New Roman"/>
          <w:bCs/>
          <w:sz w:val="24"/>
        </w:rPr>
      </w:pPr>
      <w:r w:rsidRPr="006C13DF">
        <w:rPr>
          <w:rFonts w:ascii="Times New Roman" w:hAnsi="Times New Roman" w:cs="Times New Roman"/>
          <w:bCs/>
          <w:sz w:val="24"/>
        </w:rPr>
        <w:lastRenderedPageBreak/>
        <w:tab/>
        <w:t xml:space="preserve">За периода 2023 – 2024 г. в тази насърчителна мярка са </w:t>
      </w:r>
      <w:r w:rsidRPr="006C13DF">
        <w:rPr>
          <w:rFonts w:ascii="Times New Roman" w:hAnsi="Times New Roman" w:cs="Times New Roman"/>
          <w:b/>
          <w:bCs/>
          <w:sz w:val="24"/>
        </w:rPr>
        <w:t>включени общо в заетост 165 безработни лица</w:t>
      </w:r>
      <w:r w:rsidRPr="006C13DF">
        <w:rPr>
          <w:rFonts w:ascii="Times New Roman" w:hAnsi="Times New Roman" w:cs="Times New Roman"/>
          <w:bCs/>
          <w:sz w:val="24"/>
        </w:rPr>
        <w:t xml:space="preserve"> </w:t>
      </w:r>
      <w:r w:rsidRPr="006C13DF">
        <w:rPr>
          <w:rFonts w:ascii="Times New Roman" w:hAnsi="Times New Roman" w:cs="Times New Roman"/>
          <w:b/>
          <w:bCs/>
          <w:sz w:val="24"/>
        </w:rPr>
        <w:t>над 50 г</w:t>
      </w:r>
      <w:r w:rsidRPr="006C13DF">
        <w:rPr>
          <w:rFonts w:ascii="Times New Roman" w:hAnsi="Times New Roman" w:cs="Times New Roman"/>
          <w:bCs/>
          <w:sz w:val="24"/>
        </w:rPr>
        <w:t>., като разпределението им през годините е, както следва:</w:t>
      </w:r>
    </w:p>
    <w:p w14:paraId="51B44F30" w14:textId="77777777" w:rsidR="00B71793" w:rsidRPr="006C13DF" w:rsidRDefault="00B71793" w:rsidP="00554703">
      <w:pPr>
        <w:pStyle w:val="ListParagraph"/>
        <w:numPr>
          <w:ilvl w:val="0"/>
          <w:numId w:val="24"/>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2023 г. – 87 лица;</w:t>
      </w:r>
    </w:p>
    <w:p w14:paraId="0D4ECC24" w14:textId="77777777" w:rsidR="00B71793" w:rsidRPr="006C13DF" w:rsidRDefault="00B71793" w:rsidP="00554703">
      <w:pPr>
        <w:pStyle w:val="ListParagraph"/>
        <w:numPr>
          <w:ilvl w:val="0"/>
          <w:numId w:val="24"/>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2024 г. – 78 лица.</w:t>
      </w:r>
    </w:p>
    <w:p w14:paraId="22FA438B" w14:textId="77777777" w:rsidR="00914282" w:rsidRPr="006C13DF" w:rsidRDefault="00914282" w:rsidP="00B71793">
      <w:pPr>
        <w:spacing w:after="0" w:line="240" w:lineRule="auto"/>
        <w:jc w:val="center"/>
        <w:rPr>
          <w:rFonts w:ascii="Times New Roman" w:eastAsia="Calibri" w:hAnsi="Times New Roman" w:cs="Times New Roman"/>
          <w:b/>
          <w:color w:val="C0504D"/>
          <w:sz w:val="24"/>
          <w:szCs w:val="24"/>
        </w:rPr>
      </w:pPr>
    </w:p>
    <w:p w14:paraId="75FDE364" w14:textId="77777777" w:rsidR="00914282" w:rsidRPr="006C13DF" w:rsidRDefault="00914282" w:rsidP="0091428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28096080" w14:textId="77777777" w:rsidR="00B71793" w:rsidRPr="006C13DF" w:rsidRDefault="00B71793" w:rsidP="00B71793">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0AC7DB01" w14:textId="77777777" w:rsidR="00B71793" w:rsidRPr="006C13DF" w:rsidRDefault="00B71793" w:rsidP="00B71793">
      <w:pPr>
        <w:spacing w:after="0" w:line="240" w:lineRule="auto"/>
        <w:jc w:val="center"/>
        <w:rPr>
          <w:rFonts w:ascii="Times New Roman" w:eastAsia="Calibri" w:hAnsi="Times New Roman" w:cs="Times New Roman"/>
          <w:b/>
          <w:color w:val="C0504D"/>
          <w:sz w:val="24"/>
          <w:szCs w:val="24"/>
        </w:rPr>
      </w:pPr>
    </w:p>
    <w:p w14:paraId="30297A4C" w14:textId="77777777" w:rsidR="00B237EC" w:rsidRPr="006C13DF" w:rsidRDefault="00B237EC" w:rsidP="00067951">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1.1.9. Включване на безработни лица над 50-годишна възраст в мярката по чл.</w:t>
      </w:r>
      <w:r w:rsidR="00B71793" w:rsidRPr="006C13DF">
        <w:rPr>
          <w:rFonts w:ascii="Times New Roman" w:hAnsi="Times New Roman" w:cs="Times New Roman"/>
          <w:b/>
          <w:bCs/>
          <w:sz w:val="24"/>
        </w:rPr>
        <w:t xml:space="preserve"> </w:t>
      </w:r>
      <w:r w:rsidRPr="006C13DF">
        <w:rPr>
          <w:rFonts w:ascii="Times New Roman" w:hAnsi="Times New Roman" w:cs="Times New Roman"/>
          <w:b/>
          <w:bCs/>
          <w:sz w:val="24"/>
        </w:rPr>
        <w:t>52 от ЗНЗ - Насърчаване на работодателите да наемат безработни лица с трайни увреждания на пълно или непълно работно време чрез предоставяне на средства за трудови възнаграждения, социални и здравни осигуровки</w:t>
      </w:r>
    </w:p>
    <w:p w14:paraId="424593A5" w14:textId="77777777" w:rsidR="00B71793" w:rsidRPr="006C13DF" w:rsidRDefault="00B71793" w:rsidP="00067951">
      <w:pPr>
        <w:spacing w:after="0" w:line="240" w:lineRule="auto"/>
        <w:jc w:val="both"/>
        <w:rPr>
          <w:rFonts w:ascii="Times New Roman" w:hAnsi="Times New Roman" w:cs="Times New Roman"/>
          <w:b/>
          <w:bCs/>
          <w:sz w:val="24"/>
        </w:rPr>
      </w:pPr>
    </w:p>
    <w:p w14:paraId="023DF936" w14:textId="77777777" w:rsidR="004356A7" w:rsidRPr="006C13DF" w:rsidRDefault="004356A7" w:rsidP="004356A7">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По</w:t>
      </w:r>
      <w:r w:rsidRPr="006C13DF">
        <w:rPr>
          <w:rFonts w:ascii="Times New Roman" w:hAnsi="Times New Roman" w:cs="Times New Roman"/>
          <w:bCs/>
          <w:i/>
          <w:sz w:val="24"/>
        </w:rPr>
        <w:t xml:space="preserve"> </w:t>
      </w:r>
      <w:r w:rsidRPr="006C13DF">
        <w:rPr>
          <w:rFonts w:ascii="Times New Roman" w:hAnsi="Times New Roman" w:cs="Times New Roman"/>
          <w:bCs/>
          <w:sz w:val="24"/>
        </w:rPr>
        <w:t>условията на мярката се предоставят финансови стимули на работодатели, които разкриват работни места за наемане на безработни лица с трайни увреждания, вкл. и военноинвалиди, насочени от поделенията на Агенцията по заетостта за работа на пълно или непълно работно време. На работодатели, разкрили работни места и осигурили заетост на лица от целевата група, са финансирани разходите за труд за период от 3 до 12 месеца. През 2023 г. в тази насърчителна мярка не са включени безработни лица над 50 г.</w:t>
      </w:r>
    </w:p>
    <w:p w14:paraId="1E8E3F0C" w14:textId="77777777" w:rsidR="004356A7" w:rsidRPr="006C13DF" w:rsidRDefault="004356A7" w:rsidP="004356A7">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С промени в Закона за насърчаване на заетостта, приети от Народното събрание на 15.09.2023 г. (ДВ, бр. 82 от 2023 г.), бяха обединени в една насърчителни мерки, които подпомагат лицата от </w:t>
      </w:r>
      <w:proofErr w:type="spellStart"/>
      <w:r w:rsidRPr="006C13DF">
        <w:rPr>
          <w:rFonts w:ascii="Times New Roman" w:hAnsi="Times New Roman" w:cs="Times New Roman"/>
          <w:bCs/>
          <w:sz w:val="24"/>
        </w:rPr>
        <w:t>неравнопоставените</w:t>
      </w:r>
      <w:proofErr w:type="spellEnd"/>
      <w:r w:rsidRPr="006C13DF">
        <w:rPr>
          <w:rFonts w:ascii="Times New Roman" w:hAnsi="Times New Roman" w:cs="Times New Roman"/>
          <w:bCs/>
          <w:sz w:val="24"/>
        </w:rPr>
        <w:t xml:space="preserve"> групи на пазара на труда. През 2024 г. по условията на новата насърчителна мярка, регламентирана в чл. 36 от Закона за насърчаване на заетостта, е осигурена подкрепа за безработни лица с трайни увреждания. Мярката обединява стимули за работодатели, които осигуряват заетост на лица от </w:t>
      </w:r>
      <w:proofErr w:type="spellStart"/>
      <w:r w:rsidRPr="006C13DF">
        <w:rPr>
          <w:rFonts w:ascii="Times New Roman" w:hAnsi="Times New Roman" w:cs="Times New Roman"/>
          <w:bCs/>
          <w:sz w:val="24"/>
        </w:rPr>
        <w:t>неравнопоставените</w:t>
      </w:r>
      <w:proofErr w:type="spellEnd"/>
      <w:r w:rsidRPr="006C13DF">
        <w:rPr>
          <w:rFonts w:ascii="Times New Roman" w:hAnsi="Times New Roman" w:cs="Times New Roman"/>
          <w:bCs/>
          <w:sz w:val="24"/>
        </w:rPr>
        <w:t xml:space="preserve"> групи на пазара на труда, възможности за професионално обучение за надграждане на знания и умения и подпомагане от ментор за адаптация към трудовия процес. През 2024 г. са осигурени средства за трудово възнаграждение в размер на минимална работна заплата, допълнителни плащания по трудовото законодателство и осигуровки за сметка на работодателя за максимален период от 9 месеца, средства за финансиране на професионално обучение и обучение за придобиване на ключови компетентности по заявка на работодателя </w:t>
      </w:r>
      <w:r w:rsidRPr="006C13DF">
        <w:rPr>
          <w:rFonts w:ascii="Times New Roman" w:hAnsi="Times New Roman" w:cs="Times New Roman"/>
          <w:b/>
          <w:bCs/>
          <w:sz w:val="24"/>
        </w:rPr>
        <w:t>и средства за възнаграждение на ментор за период до 3 месеца</w:t>
      </w:r>
      <w:r w:rsidRPr="006C13DF">
        <w:rPr>
          <w:rFonts w:ascii="Times New Roman" w:hAnsi="Times New Roman" w:cs="Times New Roman"/>
          <w:bCs/>
          <w:sz w:val="24"/>
        </w:rPr>
        <w:t>.</w:t>
      </w:r>
    </w:p>
    <w:p w14:paraId="52156C34" w14:textId="77777777" w:rsidR="00B71793" w:rsidRPr="006C13DF" w:rsidRDefault="00B71793" w:rsidP="00067951">
      <w:pPr>
        <w:spacing w:after="0" w:line="240" w:lineRule="auto"/>
        <w:jc w:val="both"/>
        <w:rPr>
          <w:rFonts w:ascii="Times New Roman" w:hAnsi="Times New Roman" w:cs="Times New Roman"/>
          <w:b/>
          <w:bCs/>
          <w:sz w:val="24"/>
        </w:rPr>
      </w:pPr>
    </w:p>
    <w:p w14:paraId="1AE4E441" w14:textId="77777777" w:rsidR="00914282" w:rsidRPr="006C13DF" w:rsidRDefault="00914282" w:rsidP="0091428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5A155187" w14:textId="77777777" w:rsidR="004356A7" w:rsidRPr="006C13DF" w:rsidRDefault="004356A7" w:rsidP="004356A7">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7EE57F8E" w14:textId="77777777" w:rsidR="004356A7" w:rsidRPr="006C13DF" w:rsidRDefault="004356A7" w:rsidP="004356A7">
      <w:pPr>
        <w:spacing w:after="0" w:line="240" w:lineRule="auto"/>
        <w:ind w:firstLine="708"/>
        <w:jc w:val="both"/>
        <w:rPr>
          <w:rFonts w:ascii="Times New Roman" w:hAnsi="Times New Roman" w:cs="Times New Roman"/>
          <w:bCs/>
          <w:sz w:val="24"/>
          <w:szCs w:val="24"/>
        </w:rPr>
      </w:pPr>
    </w:p>
    <w:p w14:paraId="455B70C8" w14:textId="77777777" w:rsidR="006E5C93" w:rsidRPr="006C13DF" w:rsidRDefault="00B237EC" w:rsidP="00067951">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1.1.10. Насърчаване на работодателите да наемат на работа безработни лица над 55-годишна възраст - чл.</w:t>
      </w:r>
      <w:r w:rsidR="004356A7" w:rsidRPr="006C13DF">
        <w:rPr>
          <w:rFonts w:ascii="Times New Roman" w:hAnsi="Times New Roman" w:cs="Times New Roman"/>
          <w:b/>
          <w:bCs/>
          <w:sz w:val="24"/>
        </w:rPr>
        <w:t xml:space="preserve"> </w:t>
      </w:r>
      <w:r w:rsidRPr="006C13DF">
        <w:rPr>
          <w:rFonts w:ascii="Times New Roman" w:hAnsi="Times New Roman" w:cs="Times New Roman"/>
          <w:b/>
          <w:bCs/>
          <w:sz w:val="24"/>
        </w:rPr>
        <w:t>55а от ЗНЗ</w:t>
      </w:r>
      <w:r w:rsidR="006E5C93" w:rsidRPr="006C13DF">
        <w:rPr>
          <w:rFonts w:ascii="Times New Roman" w:hAnsi="Times New Roman" w:cs="Times New Roman"/>
          <w:b/>
          <w:bCs/>
          <w:sz w:val="24"/>
        </w:rPr>
        <w:t xml:space="preserve"> </w:t>
      </w:r>
    </w:p>
    <w:p w14:paraId="60028EC8" w14:textId="77777777" w:rsidR="004356A7" w:rsidRPr="006C13DF" w:rsidRDefault="004356A7" w:rsidP="00067951">
      <w:pPr>
        <w:spacing w:after="0" w:line="240" w:lineRule="auto"/>
        <w:jc w:val="both"/>
        <w:rPr>
          <w:rFonts w:ascii="Times New Roman" w:hAnsi="Times New Roman" w:cs="Times New Roman"/>
          <w:b/>
          <w:bCs/>
          <w:sz w:val="24"/>
        </w:rPr>
      </w:pPr>
    </w:p>
    <w:p w14:paraId="5D2C7E99" w14:textId="77777777" w:rsidR="004356A7" w:rsidRPr="006C13DF" w:rsidRDefault="004356A7" w:rsidP="004356A7">
      <w:pPr>
        <w:spacing w:after="0" w:line="240" w:lineRule="auto"/>
        <w:jc w:val="both"/>
        <w:rPr>
          <w:rFonts w:ascii="Times New Roman" w:hAnsi="Times New Roman" w:cs="Times New Roman"/>
          <w:bCs/>
          <w:sz w:val="24"/>
        </w:rPr>
      </w:pPr>
      <w:r w:rsidRPr="006C13DF">
        <w:rPr>
          <w:rFonts w:ascii="Times New Roman" w:hAnsi="Times New Roman" w:cs="Times New Roman"/>
          <w:b/>
          <w:bCs/>
          <w:sz w:val="24"/>
        </w:rPr>
        <w:tab/>
      </w:r>
      <w:r w:rsidRPr="006C13DF">
        <w:rPr>
          <w:rFonts w:ascii="Times New Roman" w:hAnsi="Times New Roman" w:cs="Times New Roman"/>
          <w:bCs/>
          <w:sz w:val="24"/>
        </w:rPr>
        <w:t xml:space="preserve">Мярката е реализирана в подкрепа на безработни лица над 55-годишна възраст. През 2023 г. със средства от държавния бюджет са финансирани разходи на работодателите за трудово възнаграждение, като е запазен диференциран подход по отношение на субсидираното трудово възнаграждение – по-високо за лица с висше образование, наети на длъжности, които изискват висше образование, допълнителни възнаграждения по трудовото и дължими вноски по осигурителното законодателство за период до 6 месеца. През 2023 г. в тази насърчителна мярка са включени общо в заетост </w:t>
      </w:r>
      <w:r w:rsidRPr="006C13DF">
        <w:rPr>
          <w:rFonts w:ascii="Times New Roman" w:hAnsi="Times New Roman" w:cs="Times New Roman"/>
          <w:b/>
          <w:bCs/>
          <w:sz w:val="24"/>
        </w:rPr>
        <w:t>11 безработни лица над 55 г.</w:t>
      </w:r>
      <w:r w:rsidRPr="006C13DF">
        <w:rPr>
          <w:rFonts w:ascii="Times New Roman" w:hAnsi="Times New Roman" w:cs="Times New Roman"/>
          <w:bCs/>
          <w:sz w:val="24"/>
        </w:rPr>
        <w:t>, изразходвани са средства в размер на 203 638 лв.</w:t>
      </w:r>
    </w:p>
    <w:p w14:paraId="0F019BA9" w14:textId="77777777" w:rsidR="004356A7" w:rsidRPr="006C13DF" w:rsidRDefault="004356A7" w:rsidP="004356A7">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През 2024 г. по условията на новата насърчителна мярка, регламентирана в чл. 36 от Закона за насърчаване на заетостта, е осигурена подкрепа за безработни лица над 55 </w:t>
      </w:r>
      <w:r w:rsidRPr="006C13DF">
        <w:rPr>
          <w:rFonts w:ascii="Times New Roman" w:hAnsi="Times New Roman" w:cs="Times New Roman"/>
          <w:bCs/>
          <w:sz w:val="24"/>
        </w:rPr>
        <w:lastRenderedPageBreak/>
        <w:t xml:space="preserve">години. Мярката обединява стимули за работодатели, които осигуряват заетост на лица от </w:t>
      </w:r>
      <w:proofErr w:type="spellStart"/>
      <w:r w:rsidRPr="006C13DF">
        <w:rPr>
          <w:rFonts w:ascii="Times New Roman" w:hAnsi="Times New Roman" w:cs="Times New Roman"/>
          <w:bCs/>
          <w:sz w:val="24"/>
        </w:rPr>
        <w:t>неравнопоставените</w:t>
      </w:r>
      <w:proofErr w:type="spellEnd"/>
      <w:r w:rsidRPr="006C13DF">
        <w:rPr>
          <w:rFonts w:ascii="Times New Roman" w:hAnsi="Times New Roman" w:cs="Times New Roman"/>
          <w:bCs/>
          <w:sz w:val="24"/>
        </w:rPr>
        <w:t xml:space="preserve"> групи на пазара на труда, възможности за професионално обучение за надграждане на знания и умения и подпомагане от ментор за адаптация към трудовия процес. Параметрите на мярката предвиждат финансиране на трудово възнаграждение в размер на минимална работна заплата, допълнителни плащания по трудовото законодателство и осигуровки за сметка на работодателя за максимален период от 9 месеца, средства за финансиране на професионално обучение и обучение за придобиване на ключови компетентности по заявка на работодателя и средства за възнаграждение на ментор за период до 3 месеца. </w:t>
      </w:r>
    </w:p>
    <w:p w14:paraId="4BBD6155" w14:textId="77777777" w:rsidR="004356A7" w:rsidRPr="006C13DF" w:rsidRDefault="004356A7" w:rsidP="00067951">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През 2024 г. в заетост по условията на чл. 36 от Закона за насърчаване на заетостта са включени </w:t>
      </w:r>
      <w:r w:rsidRPr="006C13DF">
        <w:rPr>
          <w:rFonts w:ascii="Times New Roman" w:hAnsi="Times New Roman" w:cs="Times New Roman"/>
          <w:b/>
          <w:bCs/>
          <w:sz w:val="24"/>
        </w:rPr>
        <w:t>288 безработни лица над 55 години</w:t>
      </w:r>
      <w:r w:rsidRPr="006C13DF">
        <w:rPr>
          <w:rFonts w:ascii="Times New Roman" w:hAnsi="Times New Roman" w:cs="Times New Roman"/>
          <w:bCs/>
          <w:sz w:val="24"/>
        </w:rPr>
        <w:t>. Изразходваните средства от държавния бюджет по условията на мярката за подкрепа на лица над 55 години са в размер на 1 009 982 лв.</w:t>
      </w:r>
    </w:p>
    <w:p w14:paraId="3B4BE9E6" w14:textId="77777777" w:rsidR="007E5AED" w:rsidRPr="006C13DF" w:rsidRDefault="007E5AED" w:rsidP="00067951">
      <w:pPr>
        <w:spacing w:after="0" w:line="240" w:lineRule="auto"/>
        <w:jc w:val="both"/>
        <w:rPr>
          <w:rFonts w:ascii="Times New Roman" w:hAnsi="Times New Roman" w:cs="Times New Roman"/>
          <w:bCs/>
          <w:sz w:val="24"/>
        </w:rPr>
      </w:pPr>
    </w:p>
    <w:p w14:paraId="6A58E53C" w14:textId="77777777" w:rsidR="00914282" w:rsidRPr="006C13DF" w:rsidRDefault="00914282" w:rsidP="0091428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6F5F0FFA" w14:textId="77777777" w:rsidR="006E5C93" w:rsidRPr="006C13DF" w:rsidRDefault="007E5AED" w:rsidP="007E5AED">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2CF4DA37" w14:textId="77777777" w:rsidR="007E5AED" w:rsidRPr="006C13DF" w:rsidRDefault="007E5AED" w:rsidP="007E5AED">
      <w:pPr>
        <w:spacing w:after="0" w:line="240" w:lineRule="auto"/>
        <w:jc w:val="center"/>
        <w:rPr>
          <w:rFonts w:ascii="Times New Roman" w:eastAsia="Calibri" w:hAnsi="Times New Roman" w:cs="Times New Roman"/>
          <w:b/>
          <w:color w:val="C0504D"/>
          <w:sz w:val="24"/>
          <w:szCs w:val="24"/>
        </w:rPr>
      </w:pPr>
    </w:p>
    <w:p w14:paraId="48643524" w14:textId="77777777" w:rsidR="00B237EC" w:rsidRPr="006C13DF" w:rsidRDefault="00B237EC" w:rsidP="00067951">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 xml:space="preserve">1.1.11. Включване на безработни лица над 50-годишна възраст в мярката по чл.55в от ЗНЗ - Насърчаване на работодателите да наемат на работа продължително безработни лица </w:t>
      </w:r>
    </w:p>
    <w:p w14:paraId="475772A8" w14:textId="77777777" w:rsidR="006E5C93" w:rsidRPr="006C13DF" w:rsidRDefault="006E5C93" w:rsidP="007E5AED">
      <w:pPr>
        <w:spacing w:after="0" w:line="240" w:lineRule="auto"/>
        <w:jc w:val="both"/>
        <w:rPr>
          <w:rFonts w:ascii="Times New Roman" w:hAnsi="Times New Roman" w:cs="Times New Roman"/>
          <w:bCs/>
          <w:sz w:val="24"/>
        </w:rPr>
      </w:pPr>
    </w:p>
    <w:p w14:paraId="00D662F0" w14:textId="77777777" w:rsidR="00914282" w:rsidRPr="006C13DF" w:rsidRDefault="00914282" w:rsidP="0091428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Целевата група обхваща безработни лица с непрекъснато поддържана регистрация в бюрата по труда не по-малко от 12 месеца. Съгласно Националния план за действие по заетостта през 2023 г. със средства от държавния бюджет са финансирани разходи за труд на работодатели, които осигуряват заетост на лица от целевата група – трудово възнаграждение в размер на 780 лв. и допълнителни плащания по трудовото и осигурителното законодателство за период до 6 месеца. През 2023 г. в заетост по условията на чл. 55 в от Закона за насърчаване на заетостта са включени </w:t>
      </w:r>
      <w:r w:rsidRPr="006C13DF">
        <w:rPr>
          <w:rFonts w:ascii="Times New Roman" w:hAnsi="Times New Roman" w:cs="Times New Roman"/>
          <w:b/>
          <w:sz w:val="24"/>
          <w:szCs w:val="24"/>
        </w:rPr>
        <w:t>3 лица над 50 години</w:t>
      </w:r>
      <w:r w:rsidRPr="006C13DF">
        <w:rPr>
          <w:rFonts w:ascii="Times New Roman" w:hAnsi="Times New Roman" w:cs="Times New Roman"/>
          <w:sz w:val="24"/>
          <w:szCs w:val="24"/>
        </w:rPr>
        <w:t>.</w:t>
      </w:r>
    </w:p>
    <w:p w14:paraId="3B9E44BD" w14:textId="77777777" w:rsidR="00914282" w:rsidRPr="006C13DF" w:rsidRDefault="00914282" w:rsidP="00914282">
      <w:pPr>
        <w:spacing w:after="0" w:line="240" w:lineRule="auto"/>
        <w:jc w:val="both"/>
        <w:rPr>
          <w:rStyle w:val="rynqvb"/>
          <w:rFonts w:ascii="Times New Roman" w:hAnsi="Times New Roman" w:cs="Times New Roman"/>
          <w:sz w:val="24"/>
          <w:szCs w:val="24"/>
        </w:rPr>
      </w:pPr>
      <w:r w:rsidRPr="006C13DF">
        <w:rPr>
          <w:rFonts w:ascii="Times New Roman" w:hAnsi="Times New Roman" w:cs="Times New Roman"/>
          <w:sz w:val="24"/>
          <w:szCs w:val="24"/>
        </w:rPr>
        <w:tab/>
      </w:r>
      <w:r w:rsidRPr="006C13DF">
        <w:rPr>
          <w:rStyle w:val="rynqvb"/>
          <w:rFonts w:ascii="Times New Roman" w:hAnsi="Times New Roman" w:cs="Times New Roman"/>
          <w:sz w:val="24"/>
          <w:szCs w:val="24"/>
        </w:rPr>
        <w:t xml:space="preserve">През 2024 г. по условията на новата насърчителна мярка, регламентирана в чл. 36 от Закона за насърчаване на заетостта, е осигурена подкрепа за продължително безработни лица. Мярката обединява стимули за работодатели, които осигуряват заетост на лица от </w:t>
      </w:r>
      <w:proofErr w:type="spellStart"/>
      <w:r w:rsidRPr="006C13DF">
        <w:rPr>
          <w:rStyle w:val="rynqvb"/>
          <w:rFonts w:ascii="Times New Roman" w:hAnsi="Times New Roman" w:cs="Times New Roman"/>
          <w:sz w:val="24"/>
          <w:szCs w:val="24"/>
        </w:rPr>
        <w:t>неравнопоставените</w:t>
      </w:r>
      <w:proofErr w:type="spellEnd"/>
      <w:r w:rsidRPr="006C13DF">
        <w:rPr>
          <w:rStyle w:val="rynqvb"/>
          <w:rFonts w:ascii="Times New Roman" w:hAnsi="Times New Roman" w:cs="Times New Roman"/>
          <w:sz w:val="24"/>
          <w:szCs w:val="24"/>
        </w:rPr>
        <w:t xml:space="preserve"> групи на пазара на труда, възможности за професионално обучение за надграждане на знания и умения и подпомагане от ментор за адаптация към трудовия процес. През 2024 г. са осигурени средства за трудово възнаграждение в размер на минимална работна заплата, допълнителни плащания по трудовото законодателство и осигуровки за сметка на работодателя за максимален период от 9 месеца, средства за финансиране на професионално обучение и обучение за придобиване на ключови компетентности по заявка на работодателя и средства за възнаграждение на ментор за период до 3 месеца. </w:t>
      </w:r>
    </w:p>
    <w:p w14:paraId="41BFDF4D" w14:textId="77777777" w:rsidR="007E5AED" w:rsidRPr="006C13DF" w:rsidRDefault="007E5AED" w:rsidP="00CE0C36">
      <w:pPr>
        <w:spacing w:after="0" w:line="240" w:lineRule="auto"/>
        <w:jc w:val="both"/>
        <w:rPr>
          <w:rFonts w:ascii="Times New Roman" w:hAnsi="Times New Roman" w:cs="Times New Roman"/>
          <w:bCs/>
          <w:sz w:val="24"/>
          <w:lang w:val="en-US"/>
        </w:rPr>
      </w:pPr>
    </w:p>
    <w:p w14:paraId="78E66DB4" w14:textId="77777777" w:rsidR="007E5AED" w:rsidRPr="006C13DF" w:rsidRDefault="007E5AED" w:rsidP="007E5AED">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3B0B7F56" w14:textId="77777777" w:rsidR="00B237EC" w:rsidRPr="006C13DF" w:rsidRDefault="00B237EC" w:rsidP="00E91E47">
      <w:pPr>
        <w:spacing w:after="0" w:line="240" w:lineRule="auto"/>
        <w:ind w:firstLine="708"/>
        <w:jc w:val="both"/>
        <w:rPr>
          <w:rFonts w:ascii="Times New Roman" w:hAnsi="Times New Roman" w:cs="Times New Roman"/>
          <w:b/>
          <w:bCs/>
          <w:sz w:val="24"/>
        </w:rPr>
      </w:pPr>
    </w:p>
    <w:p w14:paraId="4320E447" w14:textId="77777777" w:rsidR="007E5AED" w:rsidRPr="006C13DF" w:rsidRDefault="007E5AED" w:rsidP="007E5AED">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1.1.12. Предоставяне на посреднически услуги на безработни лица над 50-годишна възраст по осигуряване на заетост на първичен пазар, вкл. формиране и/или подобряване на уменията им за заетост и мотивиране за активно поведение на пазара на труда</w:t>
      </w:r>
    </w:p>
    <w:p w14:paraId="5FE2500F" w14:textId="77777777" w:rsidR="007E5AED" w:rsidRPr="006C13DF" w:rsidRDefault="007E5AED" w:rsidP="007E5AED">
      <w:pPr>
        <w:spacing w:after="0" w:line="240" w:lineRule="auto"/>
        <w:jc w:val="both"/>
        <w:rPr>
          <w:rFonts w:ascii="Times New Roman" w:hAnsi="Times New Roman" w:cs="Times New Roman"/>
          <w:b/>
          <w:bCs/>
          <w:i/>
          <w:sz w:val="24"/>
        </w:rPr>
      </w:pPr>
    </w:p>
    <w:p w14:paraId="0826283E" w14:textId="77777777" w:rsidR="007E5AED" w:rsidRPr="006C13DF" w:rsidRDefault="007E5AED" w:rsidP="007E5AED">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Безработните лица над 50-годишна възраст са една от целевите групи, към които е насочена активната политика на пазара на труда. Част от лицата са с висока квалификация, но възрастта им е непривлекателна за работодателите. Те срещат </w:t>
      </w:r>
      <w:r w:rsidRPr="006C13DF">
        <w:rPr>
          <w:rFonts w:ascii="Times New Roman" w:hAnsi="Times New Roman" w:cs="Times New Roman"/>
          <w:bCs/>
          <w:sz w:val="24"/>
        </w:rPr>
        <w:lastRenderedPageBreak/>
        <w:t>трудности, свързани с адаптирането към променящите се условия на пазара на труда. Приоритет на Агенция по заетостта е подобряването на перспективите за заетост на хората от тази възрастова група, търсенето на методи за усъвършенстване на квалификацията им, развитието на идеята за обучение през целия активен живот.</w:t>
      </w:r>
    </w:p>
    <w:p w14:paraId="3AE28F5E" w14:textId="77777777" w:rsidR="007E5AED" w:rsidRPr="006C13DF" w:rsidRDefault="007E5AED" w:rsidP="007E5AED">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Развитието на уменията им допринася за повишаване на тяхната ефективност и продуктивност на работното място и осигурява по-продължителното им участие на пазара на труда. Резултатите от международни проучвания ясно показват, че обучението и развитието на възрастните работници водят до намаляване на несъответствието на уменията им спрямо изискванията на пазара на труда и в същото време до повишаване на производителността на труда.</w:t>
      </w:r>
    </w:p>
    <w:p w14:paraId="20A2CF82" w14:textId="77777777" w:rsidR="007E5AED" w:rsidRPr="006C13DF" w:rsidRDefault="007E5AED" w:rsidP="007E5AED">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В рамките на стандартизирания пакет от услуги за тази целева група са включени следните подходящи дейности и услуги, които АЗ предоставя на </w:t>
      </w:r>
      <w:r w:rsidRPr="006C13DF">
        <w:rPr>
          <w:rFonts w:ascii="Times New Roman" w:hAnsi="Times New Roman" w:cs="Times New Roman"/>
          <w:b/>
          <w:bCs/>
          <w:sz w:val="24"/>
        </w:rPr>
        <w:t>лицата над 50</w:t>
      </w:r>
      <w:r w:rsidRPr="006C13DF">
        <w:rPr>
          <w:rFonts w:ascii="Times New Roman" w:hAnsi="Times New Roman" w:cs="Times New Roman"/>
          <w:b/>
          <w:bCs/>
          <w:sz w:val="24"/>
          <w:lang w:val="en-US"/>
        </w:rPr>
        <w:t>-</w:t>
      </w:r>
      <w:r w:rsidRPr="006C13DF">
        <w:rPr>
          <w:rFonts w:ascii="Times New Roman" w:hAnsi="Times New Roman" w:cs="Times New Roman"/>
          <w:b/>
          <w:bCs/>
          <w:sz w:val="24"/>
        </w:rPr>
        <w:t>годишна възраст</w:t>
      </w:r>
      <w:r w:rsidRPr="006C13DF">
        <w:rPr>
          <w:rFonts w:ascii="Times New Roman" w:hAnsi="Times New Roman" w:cs="Times New Roman"/>
          <w:bCs/>
          <w:sz w:val="24"/>
        </w:rPr>
        <w:t>: Мотивиране за активно поведение на пазара на труда; Мотивиране за участие в обучение през целия живот; Мотивиране за включване в обучение на възрастни; Изготвяне на Профили на всички търсещи работа над 50 г.; Насочване за включване в Ателие за търсене на работа; Предоставяне на услугата „Семеен трудов консултант”; Насочване за включване в програми и мерки за заетост и др., съобразени с индивидуалния профил на търсещото работа лице.</w:t>
      </w:r>
    </w:p>
    <w:p w14:paraId="20FF7735" w14:textId="77777777" w:rsidR="00816DF8" w:rsidRPr="006C13DF" w:rsidRDefault="007E5AED" w:rsidP="00816DF8">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През отчетния период са постигнати следните резултати</w:t>
      </w:r>
      <w:r w:rsidR="00816DF8" w:rsidRPr="006C13DF">
        <w:rPr>
          <w:rFonts w:ascii="Times New Roman" w:hAnsi="Times New Roman" w:cs="Times New Roman"/>
          <w:bCs/>
          <w:sz w:val="24"/>
        </w:rPr>
        <w:t xml:space="preserve"> по заложените в Плана за 2023</w:t>
      </w:r>
      <w:r w:rsidRPr="006C13DF">
        <w:rPr>
          <w:rFonts w:ascii="Times New Roman" w:hAnsi="Times New Roman" w:cs="Times New Roman"/>
          <w:bCs/>
          <w:sz w:val="24"/>
        </w:rPr>
        <w:t xml:space="preserve"> – 2024 г. индикатори:</w:t>
      </w:r>
    </w:p>
    <w:p w14:paraId="038D02F3" w14:textId="77777777" w:rsidR="007E5AED" w:rsidRPr="006C13DF" w:rsidRDefault="00816DF8" w:rsidP="00816DF8">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r>
      <w:r w:rsidR="007E5AED" w:rsidRPr="006C13DF">
        <w:rPr>
          <w:rFonts w:ascii="Times New Roman" w:hAnsi="Times New Roman" w:cs="Times New Roman"/>
          <w:bCs/>
          <w:sz w:val="24"/>
        </w:rPr>
        <w:t>Започнали работа на първичен пазар безработни лица над 50-годишна възраст (бр.):</w:t>
      </w:r>
    </w:p>
    <w:p w14:paraId="53B6DDD2" w14:textId="77777777" w:rsidR="007E5AED" w:rsidRPr="006C13DF" w:rsidRDefault="007E5AED" w:rsidP="00554703">
      <w:pPr>
        <w:pStyle w:val="ListParagraph"/>
        <w:numPr>
          <w:ilvl w:val="0"/>
          <w:numId w:val="25"/>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2023 г. – 47 726 лица;</w:t>
      </w:r>
    </w:p>
    <w:p w14:paraId="2968AE50" w14:textId="77777777" w:rsidR="007E5AED" w:rsidRPr="006C13DF" w:rsidRDefault="007E5AED" w:rsidP="00554703">
      <w:pPr>
        <w:pStyle w:val="ListParagraph"/>
        <w:numPr>
          <w:ilvl w:val="0"/>
          <w:numId w:val="25"/>
        </w:numPr>
        <w:spacing w:after="0" w:line="240" w:lineRule="auto"/>
        <w:jc w:val="both"/>
        <w:rPr>
          <w:rFonts w:ascii="Times New Roman" w:hAnsi="Times New Roman" w:cs="Times New Roman"/>
          <w:bCs/>
          <w:sz w:val="24"/>
        </w:rPr>
      </w:pPr>
      <w:r w:rsidRPr="006C13DF">
        <w:rPr>
          <w:rFonts w:ascii="Times New Roman" w:hAnsi="Times New Roman" w:cs="Times New Roman"/>
          <w:bCs/>
          <w:sz w:val="24"/>
        </w:rPr>
        <w:t>през 2024 г. – 48 007 лица.</w:t>
      </w:r>
    </w:p>
    <w:p w14:paraId="2FF3F18E" w14:textId="77777777" w:rsidR="007E5AED" w:rsidRPr="006C13DF" w:rsidRDefault="007E5AED" w:rsidP="007E5AED">
      <w:pPr>
        <w:spacing w:after="0" w:line="240" w:lineRule="auto"/>
        <w:jc w:val="both"/>
        <w:rPr>
          <w:rFonts w:ascii="Times New Roman" w:hAnsi="Times New Roman" w:cs="Times New Roman"/>
          <w:bCs/>
          <w:sz w:val="24"/>
        </w:rPr>
      </w:pPr>
    </w:p>
    <w:p w14:paraId="3C869ACB" w14:textId="77777777" w:rsidR="007E5AED" w:rsidRPr="006C13DF" w:rsidRDefault="007E5AED" w:rsidP="007E5AED">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12ED3F28" w14:textId="77777777" w:rsidR="007E5AED" w:rsidRPr="006C13DF" w:rsidRDefault="007E5AED" w:rsidP="00E91E47">
      <w:pPr>
        <w:spacing w:after="0" w:line="240" w:lineRule="auto"/>
        <w:ind w:firstLine="708"/>
        <w:jc w:val="both"/>
        <w:rPr>
          <w:rFonts w:ascii="Times New Roman" w:hAnsi="Times New Roman" w:cs="Times New Roman"/>
          <w:b/>
          <w:bCs/>
          <w:sz w:val="24"/>
        </w:rPr>
      </w:pPr>
    </w:p>
    <w:p w14:paraId="329C9A1A" w14:textId="77777777" w:rsidR="00B237EC" w:rsidRPr="006C13DF" w:rsidRDefault="00B237EC" w:rsidP="00067951">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1.1.13. Операция „Започвам работа“ - Компонент 3 „Заетост“ по П РЧР 2021-2027 г.</w:t>
      </w:r>
    </w:p>
    <w:p w14:paraId="3CD0B69B" w14:textId="77777777" w:rsidR="007E5AED" w:rsidRPr="006C13DF" w:rsidRDefault="007E5AED" w:rsidP="007E5AED">
      <w:pPr>
        <w:spacing w:after="0" w:line="240" w:lineRule="auto"/>
        <w:jc w:val="both"/>
        <w:rPr>
          <w:rFonts w:ascii="Times New Roman" w:hAnsi="Times New Roman" w:cs="Times New Roman"/>
          <w:bCs/>
          <w:sz w:val="24"/>
        </w:rPr>
      </w:pPr>
    </w:p>
    <w:p w14:paraId="2DFA2603" w14:textId="77777777" w:rsidR="007E5AED" w:rsidRPr="006C13DF" w:rsidRDefault="007E5AED" w:rsidP="007E5AED">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Проект „Започвам работа“ - Компонент 3 „Заетост“ по П РЧР 2021-2027 г.</w:t>
      </w:r>
      <w:r w:rsidRPr="006C13DF">
        <w:rPr>
          <w:rFonts w:ascii="Times New Roman" w:hAnsi="Times New Roman" w:cs="Times New Roman"/>
          <w:bCs/>
          <w:sz w:val="24"/>
          <w:lang w:val="en-US"/>
        </w:rPr>
        <w:t xml:space="preserve"> </w:t>
      </w:r>
      <w:r w:rsidRPr="006C13DF">
        <w:rPr>
          <w:rFonts w:ascii="Times New Roman" w:hAnsi="Times New Roman" w:cs="Times New Roman"/>
          <w:bCs/>
          <w:sz w:val="24"/>
        </w:rPr>
        <w:t xml:space="preserve">е насочен към интеграция на пазара на труда на неактивни и безработни лица с акцент върху лицата в неравностойно положение, включително и лица над 50-годишна възраст, чрез включване в заетост при работодател посредством прилагане на индивидуален подход. </w:t>
      </w:r>
    </w:p>
    <w:p w14:paraId="7091026D" w14:textId="77777777" w:rsidR="007E5AED" w:rsidRDefault="007E5AED" w:rsidP="00067951">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Осигуряването на субсидирана заетост при работодател по проекта за безработни и неактивни лица в неравностойно положение е до 12 месеца, а за лица с трайни увреждания до 24 месеца. През 2024 г. </w:t>
      </w:r>
      <w:r w:rsidRPr="006C13DF">
        <w:rPr>
          <w:rFonts w:ascii="Times New Roman" w:hAnsi="Times New Roman" w:cs="Times New Roman"/>
          <w:b/>
          <w:bCs/>
          <w:sz w:val="24"/>
        </w:rPr>
        <w:t>в заетост са включени 2779 лица над 50-годишна възраст</w:t>
      </w:r>
      <w:r w:rsidRPr="006C13DF">
        <w:rPr>
          <w:rFonts w:ascii="Times New Roman" w:hAnsi="Times New Roman" w:cs="Times New Roman"/>
          <w:bCs/>
          <w:sz w:val="24"/>
        </w:rPr>
        <w:t>.</w:t>
      </w:r>
    </w:p>
    <w:p w14:paraId="0616F86D" w14:textId="77777777" w:rsidR="002D4D0F" w:rsidRPr="006C13DF" w:rsidRDefault="002D4D0F" w:rsidP="00067951">
      <w:pPr>
        <w:spacing w:after="0" w:line="240" w:lineRule="auto"/>
        <w:jc w:val="both"/>
        <w:rPr>
          <w:rFonts w:ascii="Times New Roman" w:hAnsi="Times New Roman" w:cs="Times New Roman"/>
          <w:bCs/>
          <w:sz w:val="24"/>
        </w:rPr>
      </w:pPr>
    </w:p>
    <w:p w14:paraId="3A452592" w14:textId="77777777" w:rsidR="007E5AED" w:rsidRPr="006C13DF" w:rsidRDefault="007E5AED" w:rsidP="007E5AED">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09BF1FD1" w14:textId="77777777" w:rsidR="007E5AED" w:rsidRPr="006C13DF" w:rsidRDefault="007E5AED" w:rsidP="00067951">
      <w:pPr>
        <w:spacing w:after="0" w:line="240" w:lineRule="auto"/>
        <w:jc w:val="both"/>
        <w:rPr>
          <w:rFonts w:ascii="Times New Roman" w:hAnsi="Times New Roman" w:cs="Times New Roman"/>
          <w:b/>
          <w:bCs/>
          <w:sz w:val="24"/>
        </w:rPr>
      </w:pPr>
    </w:p>
    <w:p w14:paraId="04345D3C" w14:textId="77777777" w:rsidR="00B237EC" w:rsidRPr="006C13DF" w:rsidRDefault="00B237EC" w:rsidP="00067951">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1.1.14. Проект „Родители в заетост“ по П РЧР 2021-2027 г.</w:t>
      </w:r>
    </w:p>
    <w:p w14:paraId="67E98523" w14:textId="77777777" w:rsidR="007E5AED" w:rsidRPr="006C13DF" w:rsidRDefault="007E5AED" w:rsidP="00067951">
      <w:pPr>
        <w:spacing w:after="0" w:line="240" w:lineRule="auto"/>
        <w:jc w:val="both"/>
        <w:rPr>
          <w:rFonts w:ascii="Times New Roman" w:hAnsi="Times New Roman" w:cs="Times New Roman"/>
          <w:b/>
          <w:bCs/>
          <w:sz w:val="24"/>
        </w:rPr>
      </w:pPr>
    </w:p>
    <w:p w14:paraId="04A56E5A" w14:textId="77777777" w:rsidR="007E5AED" w:rsidRPr="006C13DF" w:rsidRDefault="007E5AED" w:rsidP="007E5AED">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Проект „Родители в заетост“ по П РЧР 2021-2027 г. е насочен към осигуряване на по-добър баланс между професионалния и личния живот на родители с малки деца, вкл. самотни и многодетни, чрез осигуряване на възможности за полагане на грижи за отглеждане на деца и чрез услуги за улесняване достъпа до заетост. По проекта, освен заети и безработни родители, са допустими и безработни лица, които да бъдат назначени като детегледачи. Допустими да полагат грижи за децата по проекта са и търсещи работа безработни лица, които не получават пенсия за осигурителен стаж и възраст.</w:t>
      </w:r>
    </w:p>
    <w:p w14:paraId="598735FB" w14:textId="77777777" w:rsidR="00B86808" w:rsidRDefault="007E5AED" w:rsidP="002D4D0F">
      <w:pPr>
        <w:spacing w:after="0" w:line="240" w:lineRule="auto"/>
        <w:jc w:val="both"/>
        <w:rPr>
          <w:rFonts w:ascii="Times New Roman" w:hAnsi="Times New Roman" w:cs="Times New Roman"/>
          <w:bCs/>
          <w:sz w:val="24"/>
        </w:rPr>
      </w:pPr>
      <w:r w:rsidRPr="006C13DF">
        <w:rPr>
          <w:rFonts w:ascii="Times New Roman" w:hAnsi="Times New Roman" w:cs="Times New Roman"/>
          <w:bCs/>
          <w:sz w:val="24"/>
        </w:rPr>
        <w:lastRenderedPageBreak/>
        <w:tab/>
        <w:t xml:space="preserve">През 2023 г. в проекта са включени </w:t>
      </w:r>
      <w:r w:rsidRPr="006C13DF">
        <w:rPr>
          <w:rFonts w:ascii="Times New Roman" w:hAnsi="Times New Roman" w:cs="Times New Roman"/>
          <w:b/>
          <w:bCs/>
          <w:sz w:val="24"/>
        </w:rPr>
        <w:t>699 лица над 50-годишна възраст</w:t>
      </w:r>
      <w:r w:rsidRPr="006C13DF">
        <w:rPr>
          <w:rFonts w:ascii="Times New Roman" w:hAnsi="Times New Roman" w:cs="Times New Roman"/>
          <w:bCs/>
          <w:sz w:val="24"/>
        </w:rPr>
        <w:t xml:space="preserve">. През 2024 г. в проекта са включени </w:t>
      </w:r>
      <w:r w:rsidRPr="006C13DF">
        <w:rPr>
          <w:rFonts w:ascii="Times New Roman" w:hAnsi="Times New Roman" w:cs="Times New Roman"/>
          <w:b/>
          <w:bCs/>
          <w:sz w:val="24"/>
        </w:rPr>
        <w:t>666 лица</w:t>
      </w:r>
      <w:r w:rsidRPr="006C13DF">
        <w:rPr>
          <w:rFonts w:ascii="Times New Roman" w:hAnsi="Times New Roman" w:cs="Times New Roman"/>
          <w:bCs/>
          <w:sz w:val="24"/>
        </w:rPr>
        <w:t xml:space="preserve"> </w:t>
      </w:r>
      <w:r w:rsidRPr="006C13DF">
        <w:rPr>
          <w:rFonts w:ascii="Times New Roman" w:hAnsi="Times New Roman" w:cs="Times New Roman"/>
          <w:b/>
          <w:bCs/>
          <w:sz w:val="24"/>
        </w:rPr>
        <w:t>над 50-годишна възраст</w:t>
      </w:r>
      <w:r w:rsidRPr="006C13DF">
        <w:rPr>
          <w:rFonts w:ascii="Times New Roman" w:hAnsi="Times New Roman" w:cs="Times New Roman"/>
          <w:bCs/>
          <w:sz w:val="24"/>
        </w:rPr>
        <w:t>.</w:t>
      </w:r>
    </w:p>
    <w:p w14:paraId="332EBC5F" w14:textId="77777777" w:rsidR="00B86808" w:rsidRDefault="00B86808" w:rsidP="002D4D0F">
      <w:pPr>
        <w:spacing w:after="0" w:line="240" w:lineRule="auto"/>
        <w:jc w:val="both"/>
        <w:rPr>
          <w:rFonts w:ascii="Times New Roman" w:hAnsi="Times New Roman" w:cs="Times New Roman"/>
          <w:bCs/>
          <w:sz w:val="24"/>
        </w:rPr>
      </w:pPr>
    </w:p>
    <w:p w14:paraId="22FD485A" w14:textId="77777777" w:rsidR="00B86808" w:rsidRPr="006C13DF" w:rsidRDefault="00B86808" w:rsidP="00B86808">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69CD753E" w14:textId="77777777" w:rsidR="00B86808" w:rsidRPr="006C13DF" w:rsidRDefault="00B86808" w:rsidP="002D4D0F">
      <w:pPr>
        <w:spacing w:after="0" w:line="240" w:lineRule="auto"/>
        <w:jc w:val="both"/>
        <w:rPr>
          <w:rFonts w:ascii="Times New Roman" w:hAnsi="Times New Roman" w:cs="Times New Roman"/>
          <w:b/>
          <w:bCs/>
          <w:sz w:val="24"/>
        </w:rPr>
      </w:pPr>
    </w:p>
    <w:p w14:paraId="0A17AF7B" w14:textId="77777777" w:rsidR="00B237EC" w:rsidRDefault="00B237EC" w:rsidP="00067951">
      <w:pPr>
        <w:spacing w:after="0" w:line="240" w:lineRule="auto"/>
        <w:jc w:val="both"/>
        <w:rPr>
          <w:rFonts w:ascii="Times New Roman" w:hAnsi="Times New Roman" w:cs="Times New Roman"/>
          <w:b/>
          <w:bCs/>
          <w:sz w:val="24"/>
        </w:rPr>
      </w:pPr>
      <w:r w:rsidRPr="00B86808">
        <w:rPr>
          <w:rFonts w:ascii="Times New Roman" w:hAnsi="Times New Roman" w:cs="Times New Roman"/>
          <w:b/>
          <w:bCs/>
          <w:sz w:val="24"/>
        </w:rPr>
        <w:t>1.1.15. Проект „Дестинация: България“ по П РЧР 2021-2027 г.</w:t>
      </w:r>
    </w:p>
    <w:p w14:paraId="49B3C0FF" w14:textId="77777777" w:rsidR="00B86808" w:rsidRDefault="00B86808" w:rsidP="00067951">
      <w:pPr>
        <w:spacing w:after="0" w:line="240" w:lineRule="auto"/>
        <w:jc w:val="both"/>
        <w:rPr>
          <w:rFonts w:ascii="Times New Roman" w:hAnsi="Times New Roman" w:cs="Times New Roman"/>
          <w:b/>
          <w:bCs/>
          <w:sz w:val="24"/>
        </w:rPr>
      </w:pPr>
    </w:p>
    <w:p w14:paraId="0FFFE323" w14:textId="77777777" w:rsidR="00B86808" w:rsidRPr="00B86808" w:rsidRDefault="00B86808" w:rsidP="00B86808">
      <w:pPr>
        <w:spacing w:after="0" w:line="240" w:lineRule="auto"/>
        <w:jc w:val="both"/>
        <w:rPr>
          <w:rFonts w:ascii="Times New Roman" w:hAnsi="Times New Roman" w:cs="Times New Roman"/>
          <w:bCs/>
          <w:sz w:val="24"/>
        </w:rPr>
      </w:pPr>
      <w:r>
        <w:rPr>
          <w:rFonts w:ascii="Times New Roman" w:hAnsi="Times New Roman" w:cs="Times New Roman"/>
          <w:b/>
          <w:bCs/>
          <w:sz w:val="24"/>
        </w:rPr>
        <w:tab/>
      </w:r>
      <w:r w:rsidRPr="00B86808">
        <w:rPr>
          <w:rFonts w:ascii="Times New Roman" w:hAnsi="Times New Roman" w:cs="Times New Roman"/>
          <w:bCs/>
          <w:sz w:val="24"/>
        </w:rPr>
        <w:t>В отговор на постоянно нарастващото търсене на работна сила и необходимостта да се положат целенасочени усилия и да се предприемат действия в посока привличане на работна сила в България с подходящи трудови характеристики, през 2025 г. е предвидено да бъде обявена за кандидатстване процедура „Дестинация: България“ по ПРЧР, по която Агенция по заетостта ще е конкретен бенефициент. Процедурата цели привличане на работна сила в България с подходящи трудови характеристики, чрез предоставяне на „пакети“ за подкрепа на мобилността на лица, пребиваващи в чужбина, с цел включването им на пазара на труда в България.</w:t>
      </w:r>
    </w:p>
    <w:p w14:paraId="66B969CA" w14:textId="77777777" w:rsidR="00B86808" w:rsidRDefault="00B86808" w:rsidP="00B86808">
      <w:pPr>
        <w:spacing w:after="0" w:line="240" w:lineRule="auto"/>
        <w:jc w:val="both"/>
        <w:rPr>
          <w:rFonts w:ascii="Times New Roman" w:hAnsi="Times New Roman" w:cs="Times New Roman"/>
          <w:bCs/>
          <w:sz w:val="24"/>
        </w:rPr>
      </w:pPr>
      <w:r>
        <w:rPr>
          <w:rFonts w:ascii="Times New Roman" w:hAnsi="Times New Roman" w:cs="Times New Roman"/>
          <w:bCs/>
          <w:sz w:val="24"/>
        </w:rPr>
        <w:tab/>
      </w:r>
      <w:r w:rsidRPr="00B86808">
        <w:rPr>
          <w:rFonts w:ascii="Times New Roman" w:hAnsi="Times New Roman" w:cs="Times New Roman"/>
          <w:bCs/>
          <w:sz w:val="24"/>
        </w:rPr>
        <w:t xml:space="preserve">В тази насока предвидените основни дейности включват: </w:t>
      </w:r>
    </w:p>
    <w:p w14:paraId="721C4D6F" w14:textId="77777777" w:rsidR="00B86808" w:rsidRDefault="00B86808" w:rsidP="00B86808">
      <w:pPr>
        <w:pStyle w:val="ListParagraph"/>
        <w:numPr>
          <w:ilvl w:val="0"/>
          <w:numId w:val="38"/>
        </w:numPr>
        <w:spacing w:after="0" w:line="240" w:lineRule="auto"/>
        <w:ind w:left="0" w:firstLine="360"/>
        <w:jc w:val="both"/>
        <w:rPr>
          <w:rFonts w:ascii="Times New Roman" w:hAnsi="Times New Roman" w:cs="Times New Roman"/>
          <w:bCs/>
          <w:sz w:val="24"/>
        </w:rPr>
      </w:pPr>
      <w:r w:rsidRPr="00B86808">
        <w:rPr>
          <w:rFonts w:ascii="Times New Roman" w:hAnsi="Times New Roman" w:cs="Times New Roman"/>
          <w:bCs/>
          <w:sz w:val="24"/>
        </w:rPr>
        <w:t xml:space="preserve">Осигуряване на „пакети“, стимули и мерки за мобилност на лица, вкл. лица от чужбина, с цел включването им в пазара на труда в страната, в т.ч. възможност за развитие на предприемаческа дейност за лица в малките населени места, според профила на лицето; </w:t>
      </w:r>
    </w:p>
    <w:p w14:paraId="42D3A079" w14:textId="77777777" w:rsidR="00B86808" w:rsidRDefault="00B86808" w:rsidP="00B86808">
      <w:pPr>
        <w:pStyle w:val="ListParagraph"/>
        <w:numPr>
          <w:ilvl w:val="0"/>
          <w:numId w:val="38"/>
        </w:numPr>
        <w:spacing w:after="0" w:line="240" w:lineRule="auto"/>
        <w:ind w:left="0" w:firstLine="360"/>
        <w:jc w:val="both"/>
        <w:rPr>
          <w:rFonts w:ascii="Times New Roman" w:hAnsi="Times New Roman" w:cs="Times New Roman"/>
          <w:bCs/>
          <w:sz w:val="24"/>
        </w:rPr>
      </w:pPr>
      <w:r w:rsidRPr="00B86808">
        <w:rPr>
          <w:rFonts w:ascii="Times New Roman" w:hAnsi="Times New Roman" w:cs="Times New Roman"/>
          <w:bCs/>
          <w:sz w:val="24"/>
        </w:rPr>
        <w:t xml:space="preserve">Предоставяне на услуги за достъп до пазара на труда на търсещи работа лица, кандидатстващи за работа в България от трети страни; </w:t>
      </w:r>
    </w:p>
    <w:p w14:paraId="4BC01341" w14:textId="77777777" w:rsidR="00B86808" w:rsidRPr="00B86808" w:rsidRDefault="00B86808" w:rsidP="00B86808">
      <w:pPr>
        <w:pStyle w:val="ListParagraph"/>
        <w:numPr>
          <w:ilvl w:val="0"/>
          <w:numId w:val="38"/>
        </w:numPr>
        <w:spacing w:after="0" w:line="240" w:lineRule="auto"/>
        <w:ind w:left="0" w:firstLine="360"/>
        <w:jc w:val="both"/>
        <w:rPr>
          <w:rFonts w:ascii="Times New Roman" w:hAnsi="Times New Roman" w:cs="Times New Roman"/>
          <w:bCs/>
          <w:sz w:val="24"/>
        </w:rPr>
      </w:pPr>
      <w:r w:rsidRPr="00B86808">
        <w:rPr>
          <w:rFonts w:ascii="Times New Roman" w:hAnsi="Times New Roman" w:cs="Times New Roman"/>
          <w:bCs/>
          <w:sz w:val="24"/>
        </w:rPr>
        <w:t xml:space="preserve">Разработване на проекти за подкрепа на разселени лица. </w:t>
      </w:r>
    </w:p>
    <w:p w14:paraId="22AF8187" w14:textId="77777777" w:rsidR="004D3B84" w:rsidRPr="006C13DF" w:rsidRDefault="004D3B84" w:rsidP="00B237EC">
      <w:pPr>
        <w:spacing w:after="0" w:line="240" w:lineRule="auto"/>
        <w:ind w:firstLine="708"/>
        <w:jc w:val="both"/>
        <w:rPr>
          <w:rFonts w:ascii="Times New Roman" w:hAnsi="Times New Roman" w:cs="Times New Roman"/>
          <w:b/>
          <w:bCs/>
          <w:i/>
          <w:sz w:val="24"/>
        </w:rPr>
      </w:pPr>
    </w:p>
    <w:p w14:paraId="4208D483" w14:textId="77777777" w:rsidR="007E5AED" w:rsidRPr="006C13DF" w:rsidRDefault="004D3B84" w:rsidP="004D3B84">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67CD6F78" w14:textId="77777777" w:rsidR="00B237EC" w:rsidRPr="006C13DF" w:rsidRDefault="004D3B84" w:rsidP="004D3B84">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olor w:val="C0504D"/>
          <w:sz w:val="24"/>
          <w:szCs w:val="24"/>
        </w:rPr>
        <w:t xml:space="preserve">АГЕНЦИЯ ЗА ХОРАТА С УВРЕЖДАНИЯ </w:t>
      </w:r>
    </w:p>
    <w:p w14:paraId="4F3A2C2E" w14:textId="77777777" w:rsidR="004D3B84" w:rsidRPr="006C13DF" w:rsidRDefault="004D3B84" w:rsidP="00B237EC">
      <w:pPr>
        <w:spacing w:after="0" w:line="240" w:lineRule="auto"/>
        <w:ind w:firstLine="708"/>
        <w:jc w:val="both"/>
        <w:rPr>
          <w:rFonts w:ascii="Times New Roman" w:hAnsi="Times New Roman" w:cs="Times New Roman"/>
          <w:b/>
          <w:bCs/>
          <w:i/>
          <w:sz w:val="24"/>
        </w:rPr>
      </w:pPr>
    </w:p>
    <w:p w14:paraId="05BDB589" w14:textId="77777777" w:rsidR="00B237EC" w:rsidRPr="006C13DF" w:rsidRDefault="00B237EC" w:rsidP="004D3B84">
      <w:pPr>
        <w:spacing w:after="0" w:line="240" w:lineRule="auto"/>
        <w:jc w:val="both"/>
        <w:rPr>
          <w:rFonts w:ascii="Times New Roman" w:hAnsi="Times New Roman" w:cs="Times New Roman"/>
          <w:b/>
          <w:bCs/>
          <w:sz w:val="24"/>
          <w:szCs w:val="24"/>
        </w:rPr>
      </w:pPr>
      <w:r w:rsidRPr="006C13DF">
        <w:rPr>
          <w:rFonts w:ascii="Times New Roman" w:hAnsi="Times New Roman" w:cs="Times New Roman"/>
          <w:b/>
          <w:bCs/>
          <w:sz w:val="24"/>
          <w:szCs w:val="24"/>
        </w:rPr>
        <w:t>1.1.16. Реализиране на програми и мерки за създаване на работни места с осигуряване на заетост за възрастните хора с увреждания на пазара на труда</w:t>
      </w:r>
    </w:p>
    <w:p w14:paraId="59E9ED8F" w14:textId="77777777" w:rsidR="004D3B84" w:rsidRPr="006C13DF" w:rsidRDefault="004D3B84" w:rsidP="004D3B84">
      <w:pPr>
        <w:spacing w:after="0" w:line="240" w:lineRule="auto"/>
        <w:jc w:val="both"/>
        <w:rPr>
          <w:rFonts w:ascii="Times New Roman" w:hAnsi="Times New Roman" w:cs="Times New Roman"/>
          <w:b/>
          <w:bCs/>
          <w:sz w:val="24"/>
          <w:szCs w:val="24"/>
        </w:rPr>
      </w:pPr>
    </w:p>
    <w:p w14:paraId="7E4B67E7" w14:textId="77777777" w:rsidR="004D3B84" w:rsidRPr="006C13DF" w:rsidRDefault="004D3B84" w:rsidP="00554703">
      <w:pPr>
        <w:pStyle w:val="ListParagraph"/>
        <w:numPr>
          <w:ilvl w:val="0"/>
          <w:numId w:val="13"/>
        </w:numPr>
        <w:spacing w:after="0" w:line="240" w:lineRule="auto"/>
        <w:ind w:left="0" w:firstLine="360"/>
        <w:jc w:val="both"/>
        <w:rPr>
          <w:rFonts w:ascii="Times New Roman" w:hAnsi="Times New Roman" w:cs="Times New Roman"/>
          <w:b/>
          <w:bCs/>
          <w:sz w:val="24"/>
          <w:szCs w:val="24"/>
        </w:rPr>
      </w:pPr>
      <w:r w:rsidRPr="006C13DF">
        <w:rPr>
          <w:rFonts w:ascii="Times New Roman" w:hAnsi="Times New Roman" w:cs="Times New Roman"/>
          <w:b/>
          <w:bCs/>
          <w:sz w:val="24"/>
          <w:szCs w:val="24"/>
        </w:rPr>
        <w:t>Финансиране на проекти на работодатели/органи по назначаване за осигуряване на заетост в обичайна работна среда на хора с трайни увреждания, вкл. на хора с трайни увреждания над 50-годишна възраст – Национална програма за заетост на хората с увреждания:</w:t>
      </w:r>
    </w:p>
    <w:p w14:paraId="2DDE0AC5" w14:textId="77777777" w:rsidR="004D3B84" w:rsidRPr="006C13DF" w:rsidRDefault="004D3B84" w:rsidP="004D3B84">
      <w:pPr>
        <w:spacing w:after="0"/>
        <w:jc w:val="both"/>
        <w:rPr>
          <w:rFonts w:ascii="Times New Roman" w:hAnsi="Times New Roman" w:cs="Times New Roman"/>
          <w:sz w:val="24"/>
          <w:szCs w:val="24"/>
          <w:lang w:val="ru-RU"/>
        </w:rPr>
      </w:pPr>
      <w:r w:rsidRPr="006C13DF">
        <w:rPr>
          <w:rFonts w:ascii="Times New Roman" w:hAnsi="Times New Roman" w:cs="Times New Roman"/>
          <w:sz w:val="24"/>
          <w:szCs w:val="24"/>
          <w:lang w:val="ru-RU"/>
        </w:rPr>
        <w:tab/>
      </w:r>
      <w:proofErr w:type="spellStart"/>
      <w:r w:rsidRPr="006C13DF">
        <w:rPr>
          <w:rFonts w:ascii="Times New Roman" w:hAnsi="Times New Roman" w:cs="Times New Roman"/>
          <w:sz w:val="24"/>
          <w:szCs w:val="24"/>
          <w:lang w:val="ru-RU"/>
        </w:rPr>
        <w:t>През</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отчетните</w:t>
      </w:r>
      <w:proofErr w:type="spellEnd"/>
      <w:r w:rsidRPr="006C13DF">
        <w:rPr>
          <w:rFonts w:ascii="Times New Roman" w:hAnsi="Times New Roman" w:cs="Times New Roman"/>
          <w:sz w:val="24"/>
          <w:szCs w:val="24"/>
          <w:lang w:val="ru-RU"/>
        </w:rPr>
        <w:t xml:space="preserve"> 202</w:t>
      </w:r>
      <w:r w:rsidRPr="006C13DF">
        <w:rPr>
          <w:rFonts w:ascii="Times New Roman" w:hAnsi="Times New Roman" w:cs="Times New Roman"/>
          <w:sz w:val="24"/>
          <w:szCs w:val="24"/>
        </w:rPr>
        <w:t>3</w:t>
      </w:r>
      <w:r w:rsidRPr="006C13DF">
        <w:rPr>
          <w:rFonts w:ascii="Times New Roman" w:hAnsi="Times New Roman" w:cs="Times New Roman"/>
          <w:sz w:val="24"/>
          <w:szCs w:val="24"/>
          <w:lang w:val="ru-RU"/>
        </w:rPr>
        <w:t xml:space="preserve"> г. и 202</w:t>
      </w:r>
      <w:r w:rsidRPr="006C13DF">
        <w:rPr>
          <w:rFonts w:ascii="Times New Roman" w:hAnsi="Times New Roman" w:cs="Times New Roman"/>
          <w:sz w:val="24"/>
          <w:szCs w:val="24"/>
        </w:rPr>
        <w:t>4</w:t>
      </w:r>
      <w:r w:rsidRPr="006C13DF">
        <w:rPr>
          <w:rFonts w:ascii="Times New Roman" w:hAnsi="Times New Roman" w:cs="Times New Roman"/>
          <w:sz w:val="24"/>
          <w:szCs w:val="24"/>
          <w:lang w:val="ru-RU"/>
        </w:rPr>
        <w:t xml:space="preserve"> г.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планирани</w:t>
      </w:r>
      <w:proofErr w:type="spellEnd"/>
      <w:r w:rsidRPr="006C13DF">
        <w:rPr>
          <w:rFonts w:ascii="Times New Roman" w:hAnsi="Times New Roman" w:cs="Times New Roman"/>
          <w:sz w:val="24"/>
          <w:szCs w:val="24"/>
          <w:lang w:val="ru-RU"/>
        </w:rPr>
        <w:t xml:space="preserve"> </w:t>
      </w:r>
      <w:r w:rsidRPr="006C13DF">
        <w:rPr>
          <w:rFonts w:ascii="Times New Roman" w:hAnsi="Times New Roman" w:cs="Times New Roman"/>
          <w:bCs/>
          <w:sz w:val="24"/>
          <w:szCs w:val="24"/>
          <w:lang w:val="ru-RU"/>
        </w:rPr>
        <w:t>15</w:t>
      </w:r>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разкрити</w:t>
      </w:r>
      <w:proofErr w:type="spellEnd"/>
      <w:r w:rsidRPr="006C13DF">
        <w:rPr>
          <w:rFonts w:ascii="Times New Roman" w:hAnsi="Times New Roman" w:cs="Times New Roman"/>
          <w:sz w:val="24"/>
          <w:szCs w:val="24"/>
          <w:lang w:val="ru-RU"/>
        </w:rPr>
        <w:t xml:space="preserve"> работни места </w:t>
      </w:r>
      <w:proofErr w:type="gramStart"/>
      <w:r w:rsidRPr="006C13DF">
        <w:rPr>
          <w:rFonts w:ascii="Times New Roman" w:hAnsi="Times New Roman" w:cs="Times New Roman"/>
          <w:sz w:val="24"/>
          <w:szCs w:val="24"/>
          <w:lang w:val="ru-RU"/>
        </w:rPr>
        <w:t xml:space="preserve">за </w:t>
      </w:r>
      <w:r w:rsidRPr="006C13DF">
        <w:rPr>
          <w:rFonts w:ascii="Times New Roman" w:hAnsi="Times New Roman" w:cs="Times New Roman"/>
          <w:sz w:val="24"/>
          <w:szCs w:val="24"/>
        </w:rPr>
        <w:t>хора</w:t>
      </w:r>
      <w:proofErr w:type="gramEnd"/>
      <w:r w:rsidRPr="006C13DF">
        <w:rPr>
          <w:rFonts w:ascii="Times New Roman" w:hAnsi="Times New Roman" w:cs="Times New Roman"/>
          <w:sz w:val="24"/>
          <w:szCs w:val="24"/>
        </w:rPr>
        <w:t xml:space="preserve"> с трайни увреждания над 50-годишна възраст с осигурен достъп, приспособяване и оборудване на работното място, квалификация и обучение</w:t>
      </w:r>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b/>
          <w:sz w:val="24"/>
          <w:szCs w:val="24"/>
          <w:lang w:val="ru-RU"/>
        </w:rPr>
        <w:t>Открити</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са</w:t>
      </w:r>
      <w:proofErr w:type="spellEnd"/>
      <w:r w:rsidRPr="006C13DF">
        <w:rPr>
          <w:rFonts w:ascii="Times New Roman" w:hAnsi="Times New Roman" w:cs="Times New Roman"/>
          <w:b/>
          <w:sz w:val="24"/>
          <w:szCs w:val="24"/>
          <w:lang w:val="ru-RU"/>
        </w:rPr>
        <w:t xml:space="preserve"> </w:t>
      </w:r>
      <w:r w:rsidRPr="006C13DF">
        <w:rPr>
          <w:rFonts w:ascii="Times New Roman" w:hAnsi="Times New Roman" w:cs="Times New Roman"/>
          <w:b/>
          <w:bCs/>
          <w:sz w:val="24"/>
          <w:szCs w:val="24"/>
        </w:rPr>
        <w:t>303</w:t>
      </w:r>
      <w:r w:rsidRPr="006C13DF">
        <w:rPr>
          <w:rFonts w:ascii="Times New Roman" w:hAnsi="Times New Roman" w:cs="Times New Roman"/>
          <w:b/>
          <w:bCs/>
          <w:sz w:val="24"/>
          <w:szCs w:val="24"/>
          <w:lang w:val="ru-RU"/>
        </w:rPr>
        <w:t xml:space="preserve"> </w:t>
      </w:r>
      <w:r w:rsidRPr="006C13DF">
        <w:rPr>
          <w:rFonts w:ascii="Times New Roman" w:hAnsi="Times New Roman" w:cs="Times New Roman"/>
          <w:b/>
          <w:sz w:val="24"/>
          <w:szCs w:val="24"/>
          <w:lang w:val="ru-RU"/>
        </w:rPr>
        <w:t xml:space="preserve">работни места, от </w:t>
      </w:r>
      <w:proofErr w:type="spellStart"/>
      <w:r w:rsidRPr="006C13DF">
        <w:rPr>
          <w:rFonts w:ascii="Times New Roman" w:hAnsi="Times New Roman" w:cs="Times New Roman"/>
          <w:b/>
          <w:sz w:val="24"/>
          <w:szCs w:val="24"/>
          <w:lang w:val="ru-RU"/>
        </w:rPr>
        <w:t>които</w:t>
      </w:r>
      <w:proofErr w:type="spellEnd"/>
      <w:r w:rsidRPr="006C13DF">
        <w:rPr>
          <w:rFonts w:ascii="Times New Roman" w:hAnsi="Times New Roman" w:cs="Times New Roman"/>
          <w:b/>
          <w:sz w:val="24"/>
          <w:szCs w:val="24"/>
          <w:lang w:val="ru-RU"/>
        </w:rPr>
        <w:t xml:space="preserve"> </w:t>
      </w:r>
      <w:r w:rsidRPr="006C13DF">
        <w:rPr>
          <w:rFonts w:ascii="Times New Roman" w:hAnsi="Times New Roman" w:cs="Times New Roman"/>
          <w:b/>
          <w:bCs/>
          <w:sz w:val="24"/>
          <w:szCs w:val="24"/>
          <w:lang w:val="ru-RU"/>
        </w:rPr>
        <w:t>90</w:t>
      </w:r>
      <w:r w:rsidR="003B7D79" w:rsidRPr="006C13DF">
        <w:rPr>
          <w:rFonts w:ascii="Times New Roman" w:hAnsi="Times New Roman" w:cs="Times New Roman"/>
          <w:b/>
          <w:sz w:val="24"/>
          <w:szCs w:val="24"/>
          <w:lang w:val="ru-RU"/>
        </w:rPr>
        <w:t xml:space="preserve"> </w:t>
      </w:r>
      <w:proofErr w:type="gramStart"/>
      <w:r w:rsidR="003B7D79" w:rsidRPr="006C13DF">
        <w:rPr>
          <w:rFonts w:ascii="Times New Roman" w:hAnsi="Times New Roman" w:cs="Times New Roman"/>
          <w:b/>
          <w:sz w:val="24"/>
          <w:szCs w:val="24"/>
          <w:lang w:val="ru-RU"/>
        </w:rPr>
        <w:t>за хора</w:t>
      </w:r>
      <w:proofErr w:type="gramEnd"/>
      <w:r w:rsidR="003B7D79" w:rsidRPr="006C13DF">
        <w:rPr>
          <w:rFonts w:ascii="Times New Roman" w:hAnsi="Times New Roman" w:cs="Times New Roman"/>
          <w:b/>
          <w:sz w:val="24"/>
          <w:szCs w:val="24"/>
          <w:lang w:val="ru-RU"/>
        </w:rPr>
        <w:t xml:space="preserve"> с </w:t>
      </w:r>
      <w:proofErr w:type="spellStart"/>
      <w:r w:rsidR="003B7D79" w:rsidRPr="006C13DF">
        <w:rPr>
          <w:rFonts w:ascii="Times New Roman" w:hAnsi="Times New Roman" w:cs="Times New Roman"/>
          <w:b/>
          <w:sz w:val="24"/>
          <w:szCs w:val="24"/>
          <w:lang w:val="ru-RU"/>
        </w:rPr>
        <w:t>трайни</w:t>
      </w:r>
      <w:proofErr w:type="spellEnd"/>
      <w:r w:rsidR="003B7D79" w:rsidRPr="006C13DF">
        <w:rPr>
          <w:rFonts w:ascii="Times New Roman" w:hAnsi="Times New Roman" w:cs="Times New Roman"/>
          <w:b/>
          <w:sz w:val="24"/>
          <w:szCs w:val="24"/>
          <w:lang w:val="ru-RU"/>
        </w:rPr>
        <w:t xml:space="preserve"> </w:t>
      </w:r>
      <w:proofErr w:type="spellStart"/>
      <w:r w:rsidR="003B7D79" w:rsidRPr="006C13DF">
        <w:rPr>
          <w:rFonts w:ascii="Times New Roman" w:hAnsi="Times New Roman" w:cs="Times New Roman"/>
          <w:b/>
          <w:sz w:val="24"/>
          <w:szCs w:val="24"/>
          <w:lang w:val="ru-RU"/>
        </w:rPr>
        <w:t>увреждания</w:t>
      </w:r>
      <w:proofErr w:type="spellEnd"/>
      <w:r w:rsidRPr="006C13DF">
        <w:rPr>
          <w:rFonts w:ascii="Times New Roman" w:hAnsi="Times New Roman" w:cs="Times New Roman"/>
          <w:b/>
          <w:sz w:val="24"/>
          <w:szCs w:val="24"/>
          <w:lang w:val="ru-RU"/>
        </w:rPr>
        <w:t xml:space="preserve"> над 50-годишна </w:t>
      </w:r>
      <w:proofErr w:type="spellStart"/>
      <w:r w:rsidRPr="006C13DF">
        <w:rPr>
          <w:rFonts w:ascii="Times New Roman" w:hAnsi="Times New Roman" w:cs="Times New Roman"/>
          <w:b/>
          <w:sz w:val="24"/>
          <w:szCs w:val="24"/>
          <w:lang w:val="ru-RU"/>
        </w:rPr>
        <w:t>възраст</w:t>
      </w:r>
      <w:proofErr w:type="spellEnd"/>
      <w:r w:rsidRPr="006C13DF">
        <w:rPr>
          <w:rFonts w:ascii="Times New Roman" w:hAnsi="Times New Roman" w:cs="Times New Roman"/>
          <w:sz w:val="24"/>
          <w:szCs w:val="24"/>
          <w:lang w:val="ru-RU"/>
        </w:rPr>
        <w:t xml:space="preserve">. </w:t>
      </w:r>
    </w:p>
    <w:p w14:paraId="3A4FF92A" w14:textId="77777777" w:rsidR="004D3B84" w:rsidRPr="006C13DF" w:rsidRDefault="004D3B84" w:rsidP="00554703">
      <w:pPr>
        <w:pStyle w:val="ListParagraph"/>
        <w:numPr>
          <w:ilvl w:val="0"/>
          <w:numId w:val="14"/>
        </w:numPr>
        <w:spacing w:after="0"/>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Финансови</w:t>
      </w:r>
      <w:proofErr w:type="spellEnd"/>
      <w:r w:rsidRPr="006C13DF">
        <w:rPr>
          <w:rFonts w:ascii="Times New Roman" w:hAnsi="Times New Roman" w:cs="Times New Roman"/>
          <w:sz w:val="24"/>
          <w:szCs w:val="24"/>
          <w:lang w:val="ru-RU"/>
        </w:rPr>
        <w:t xml:space="preserve"> средства за </w:t>
      </w:r>
      <w:proofErr w:type="spellStart"/>
      <w:r w:rsidRPr="006C13DF">
        <w:rPr>
          <w:rFonts w:ascii="Times New Roman" w:hAnsi="Times New Roman" w:cs="Times New Roman"/>
          <w:sz w:val="24"/>
          <w:szCs w:val="24"/>
          <w:lang w:val="ru-RU"/>
        </w:rPr>
        <w:t>реализиране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проектите</w:t>
      </w:r>
      <w:proofErr w:type="spellEnd"/>
      <w:r w:rsidRPr="006C13DF">
        <w:rPr>
          <w:rFonts w:ascii="Times New Roman" w:hAnsi="Times New Roman" w:cs="Times New Roman"/>
          <w:sz w:val="24"/>
          <w:szCs w:val="24"/>
          <w:lang w:val="ru-RU"/>
        </w:rPr>
        <w:t xml:space="preserve"> за 2023 г. – 1 700 000 </w:t>
      </w:r>
      <w:proofErr w:type="spellStart"/>
      <w:r w:rsidRPr="006C13DF">
        <w:rPr>
          <w:rFonts w:ascii="Times New Roman" w:hAnsi="Times New Roman" w:cs="Times New Roman"/>
          <w:sz w:val="24"/>
          <w:szCs w:val="24"/>
          <w:lang w:val="ru-RU"/>
        </w:rPr>
        <w:t>лв</w:t>
      </w:r>
      <w:proofErr w:type="spellEnd"/>
      <w:r w:rsidRPr="006C13DF">
        <w:rPr>
          <w:rFonts w:ascii="Times New Roman" w:hAnsi="Times New Roman" w:cs="Times New Roman"/>
          <w:sz w:val="24"/>
          <w:szCs w:val="24"/>
          <w:lang w:val="ru-RU"/>
        </w:rPr>
        <w:t xml:space="preserve">. </w:t>
      </w:r>
    </w:p>
    <w:p w14:paraId="291692AE" w14:textId="77777777" w:rsidR="004D3B84" w:rsidRPr="006C13DF" w:rsidRDefault="004D3B84" w:rsidP="00554703">
      <w:pPr>
        <w:pStyle w:val="ListParagraph"/>
        <w:numPr>
          <w:ilvl w:val="0"/>
          <w:numId w:val="14"/>
        </w:numPr>
        <w:spacing w:after="0"/>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Финансови</w:t>
      </w:r>
      <w:proofErr w:type="spellEnd"/>
      <w:r w:rsidRPr="006C13DF">
        <w:rPr>
          <w:rFonts w:ascii="Times New Roman" w:hAnsi="Times New Roman" w:cs="Times New Roman"/>
          <w:sz w:val="24"/>
          <w:szCs w:val="24"/>
          <w:lang w:val="ru-RU"/>
        </w:rPr>
        <w:t xml:space="preserve"> средства за </w:t>
      </w:r>
      <w:proofErr w:type="spellStart"/>
      <w:r w:rsidRPr="006C13DF">
        <w:rPr>
          <w:rFonts w:ascii="Times New Roman" w:hAnsi="Times New Roman" w:cs="Times New Roman"/>
          <w:sz w:val="24"/>
          <w:szCs w:val="24"/>
          <w:lang w:val="ru-RU"/>
        </w:rPr>
        <w:t>реализиране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проектите</w:t>
      </w:r>
      <w:proofErr w:type="spellEnd"/>
      <w:r w:rsidRPr="006C13DF">
        <w:rPr>
          <w:rFonts w:ascii="Times New Roman" w:hAnsi="Times New Roman" w:cs="Times New Roman"/>
          <w:sz w:val="24"/>
          <w:szCs w:val="24"/>
          <w:lang w:val="ru-RU"/>
        </w:rPr>
        <w:t xml:space="preserve"> за 2024 г. – 2 254 108 </w:t>
      </w:r>
      <w:proofErr w:type="spellStart"/>
      <w:r w:rsidRPr="006C13DF">
        <w:rPr>
          <w:rFonts w:ascii="Times New Roman" w:hAnsi="Times New Roman" w:cs="Times New Roman"/>
          <w:sz w:val="24"/>
          <w:szCs w:val="24"/>
          <w:lang w:val="ru-RU"/>
        </w:rPr>
        <w:t>лв</w:t>
      </w:r>
      <w:proofErr w:type="spellEnd"/>
      <w:r w:rsidRPr="006C13DF">
        <w:rPr>
          <w:rFonts w:ascii="Times New Roman" w:hAnsi="Times New Roman" w:cs="Times New Roman"/>
          <w:sz w:val="24"/>
          <w:szCs w:val="24"/>
          <w:lang w:val="ru-RU"/>
        </w:rPr>
        <w:t>.</w:t>
      </w:r>
    </w:p>
    <w:p w14:paraId="6205EF8E" w14:textId="77777777" w:rsidR="004D3B84" w:rsidRPr="006C13DF" w:rsidRDefault="004D3B84" w:rsidP="004D3B84">
      <w:pPr>
        <w:spacing w:after="0"/>
        <w:jc w:val="both"/>
        <w:rPr>
          <w:rFonts w:ascii="Times New Roman" w:hAnsi="Times New Roman" w:cs="Times New Roman"/>
          <w:sz w:val="24"/>
          <w:szCs w:val="24"/>
          <w:lang w:val="ru-RU"/>
        </w:rPr>
      </w:pPr>
    </w:p>
    <w:p w14:paraId="18C40C54" w14:textId="77777777" w:rsidR="004D3B84" w:rsidRPr="006C13DF" w:rsidRDefault="004D3B84" w:rsidP="00554703">
      <w:pPr>
        <w:pStyle w:val="ListParagraph"/>
        <w:numPr>
          <w:ilvl w:val="0"/>
          <w:numId w:val="13"/>
        </w:numPr>
        <w:spacing w:after="0" w:line="240" w:lineRule="auto"/>
        <w:ind w:left="0" w:firstLine="360"/>
        <w:jc w:val="both"/>
        <w:rPr>
          <w:rFonts w:ascii="Times New Roman" w:hAnsi="Times New Roman" w:cs="Times New Roman"/>
          <w:sz w:val="24"/>
          <w:szCs w:val="24"/>
          <w:lang w:val="ru-RU"/>
        </w:rPr>
      </w:pPr>
      <w:r w:rsidRPr="006C13DF">
        <w:rPr>
          <w:rFonts w:ascii="Times New Roman" w:hAnsi="Times New Roman" w:cs="Times New Roman"/>
          <w:b/>
          <w:bCs/>
          <w:sz w:val="24"/>
          <w:szCs w:val="24"/>
        </w:rPr>
        <w:t>Финансиране на проекти на хора с трайни увреждания над 50-годишна възраст, за започване и развитие на самостоятелна стопанска дейност</w:t>
      </w:r>
      <w:r w:rsidRPr="006C13DF">
        <w:rPr>
          <w:rFonts w:ascii="Times New Roman" w:hAnsi="Times New Roman" w:cs="Times New Roman"/>
          <w:b/>
          <w:bCs/>
          <w:noProof/>
          <w:sz w:val="24"/>
          <w:szCs w:val="24"/>
        </w:rPr>
        <w:t>:</w:t>
      </w:r>
    </w:p>
    <w:p w14:paraId="3419C204" w14:textId="77777777" w:rsidR="004D3B84" w:rsidRPr="006C13DF" w:rsidRDefault="004D3B84" w:rsidP="004D3B84">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lang w:val="ru-RU"/>
        </w:rPr>
        <w:tab/>
      </w:r>
      <w:proofErr w:type="spellStart"/>
      <w:r w:rsidRPr="006C13DF">
        <w:rPr>
          <w:rFonts w:ascii="Times New Roman" w:hAnsi="Times New Roman" w:cs="Times New Roman"/>
          <w:sz w:val="24"/>
          <w:szCs w:val="24"/>
          <w:lang w:val="ru-RU"/>
        </w:rPr>
        <w:t>През</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отчетните</w:t>
      </w:r>
      <w:proofErr w:type="spellEnd"/>
      <w:r w:rsidRPr="006C13DF">
        <w:rPr>
          <w:rFonts w:ascii="Times New Roman" w:hAnsi="Times New Roman" w:cs="Times New Roman"/>
          <w:sz w:val="24"/>
          <w:szCs w:val="24"/>
          <w:lang w:val="ru-RU"/>
        </w:rPr>
        <w:t xml:space="preserve"> 202</w:t>
      </w:r>
      <w:r w:rsidRPr="006C13DF">
        <w:rPr>
          <w:rFonts w:ascii="Times New Roman" w:hAnsi="Times New Roman" w:cs="Times New Roman"/>
          <w:sz w:val="24"/>
          <w:szCs w:val="24"/>
        </w:rPr>
        <w:t>3</w:t>
      </w:r>
      <w:r w:rsidRPr="006C13DF">
        <w:rPr>
          <w:rFonts w:ascii="Times New Roman" w:hAnsi="Times New Roman" w:cs="Times New Roman"/>
          <w:sz w:val="24"/>
          <w:szCs w:val="24"/>
          <w:lang w:val="ru-RU"/>
        </w:rPr>
        <w:t xml:space="preserve"> г. и 202</w:t>
      </w:r>
      <w:r w:rsidRPr="006C13DF">
        <w:rPr>
          <w:rFonts w:ascii="Times New Roman" w:hAnsi="Times New Roman" w:cs="Times New Roman"/>
          <w:sz w:val="24"/>
          <w:szCs w:val="24"/>
        </w:rPr>
        <w:t>4</w:t>
      </w:r>
      <w:r w:rsidRPr="006C13DF">
        <w:rPr>
          <w:rFonts w:ascii="Times New Roman" w:hAnsi="Times New Roman" w:cs="Times New Roman"/>
          <w:sz w:val="24"/>
          <w:szCs w:val="24"/>
          <w:lang w:val="ru-RU"/>
        </w:rPr>
        <w:t xml:space="preserve"> г.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планирани</w:t>
      </w:r>
      <w:proofErr w:type="spellEnd"/>
      <w:r w:rsidRPr="006C13DF">
        <w:rPr>
          <w:rFonts w:ascii="Times New Roman" w:hAnsi="Times New Roman" w:cs="Times New Roman"/>
          <w:sz w:val="24"/>
          <w:szCs w:val="24"/>
          <w:lang w:val="ru-RU"/>
        </w:rPr>
        <w:t xml:space="preserve"> </w:t>
      </w:r>
      <w:r w:rsidRPr="006C13DF">
        <w:rPr>
          <w:rFonts w:ascii="Times New Roman" w:hAnsi="Times New Roman" w:cs="Times New Roman"/>
          <w:bCs/>
          <w:sz w:val="24"/>
          <w:szCs w:val="24"/>
          <w:lang w:val="ru-RU"/>
        </w:rPr>
        <w:t>10</w:t>
      </w:r>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финансирани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проекти</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възрастни</w:t>
      </w:r>
      <w:proofErr w:type="spellEnd"/>
      <w:r w:rsidRPr="006C13DF">
        <w:rPr>
          <w:rFonts w:ascii="Times New Roman" w:hAnsi="Times New Roman" w:cs="Times New Roman"/>
          <w:sz w:val="24"/>
          <w:szCs w:val="24"/>
          <w:lang w:val="ru-RU"/>
        </w:rPr>
        <w:t xml:space="preserve"> хора с </w:t>
      </w:r>
      <w:proofErr w:type="spellStart"/>
      <w:r w:rsidRPr="006C13DF">
        <w:rPr>
          <w:rFonts w:ascii="Times New Roman" w:hAnsi="Times New Roman" w:cs="Times New Roman"/>
          <w:sz w:val="24"/>
          <w:szCs w:val="24"/>
          <w:lang w:val="ru-RU"/>
        </w:rPr>
        <w:t>увреждания</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стартирали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самостоятелна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стопанска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дейност</w:t>
      </w:r>
      <w:proofErr w:type="spellEnd"/>
      <w:r w:rsidRPr="006C13DF">
        <w:rPr>
          <w:rFonts w:ascii="Times New Roman" w:hAnsi="Times New Roman" w:cs="Times New Roman"/>
          <w:sz w:val="24"/>
          <w:szCs w:val="24"/>
          <w:lang w:val="ru-RU"/>
        </w:rPr>
        <w:t>/</w:t>
      </w:r>
      <w:proofErr w:type="spellStart"/>
      <w:r w:rsidRPr="006C13DF">
        <w:rPr>
          <w:rFonts w:ascii="Times New Roman" w:hAnsi="Times New Roman" w:cs="Times New Roman"/>
          <w:sz w:val="24"/>
          <w:szCs w:val="24"/>
          <w:lang w:val="ru-RU"/>
        </w:rPr>
        <w:t>брой</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възрастни</w:t>
      </w:r>
      <w:proofErr w:type="spellEnd"/>
      <w:r w:rsidRPr="006C13DF">
        <w:rPr>
          <w:rFonts w:ascii="Times New Roman" w:hAnsi="Times New Roman" w:cs="Times New Roman"/>
          <w:sz w:val="24"/>
          <w:szCs w:val="24"/>
          <w:lang w:val="ru-RU"/>
        </w:rPr>
        <w:t xml:space="preserve"> хора, на </w:t>
      </w:r>
      <w:proofErr w:type="spellStart"/>
      <w:r w:rsidRPr="006C13DF">
        <w:rPr>
          <w:rFonts w:ascii="Times New Roman" w:hAnsi="Times New Roman" w:cs="Times New Roman"/>
          <w:sz w:val="24"/>
          <w:szCs w:val="24"/>
          <w:lang w:val="ru-RU"/>
        </w:rPr>
        <w:t>които</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създадани</w:t>
      </w:r>
      <w:proofErr w:type="spellEnd"/>
      <w:r w:rsidRPr="006C13DF">
        <w:rPr>
          <w:rFonts w:ascii="Times New Roman" w:hAnsi="Times New Roman" w:cs="Times New Roman"/>
          <w:sz w:val="24"/>
          <w:szCs w:val="24"/>
          <w:lang w:val="ru-RU"/>
        </w:rPr>
        <w:t xml:space="preserve"> условия за развитие на </w:t>
      </w:r>
      <w:proofErr w:type="spellStart"/>
      <w:r w:rsidRPr="006C13DF">
        <w:rPr>
          <w:rFonts w:ascii="Times New Roman" w:hAnsi="Times New Roman" w:cs="Times New Roman"/>
          <w:sz w:val="24"/>
          <w:szCs w:val="24"/>
          <w:lang w:val="ru-RU"/>
        </w:rPr>
        <w:t>собствени</w:t>
      </w:r>
      <w:proofErr w:type="spellEnd"/>
      <w:r w:rsidRPr="006C13DF">
        <w:rPr>
          <w:rFonts w:ascii="Times New Roman" w:hAnsi="Times New Roman" w:cs="Times New Roman"/>
          <w:sz w:val="24"/>
          <w:szCs w:val="24"/>
          <w:lang w:val="ru-RU"/>
        </w:rPr>
        <w:t xml:space="preserve"> бизнес. </w:t>
      </w:r>
      <w:proofErr w:type="spellStart"/>
      <w:r w:rsidRPr="006C13DF">
        <w:rPr>
          <w:rFonts w:ascii="Times New Roman" w:hAnsi="Times New Roman" w:cs="Times New Roman"/>
          <w:b/>
          <w:sz w:val="24"/>
          <w:szCs w:val="24"/>
          <w:lang w:val="ru-RU"/>
        </w:rPr>
        <w:t>Финансирани</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са</w:t>
      </w:r>
      <w:proofErr w:type="spellEnd"/>
      <w:r w:rsidRPr="006C13DF">
        <w:rPr>
          <w:rFonts w:ascii="Times New Roman" w:hAnsi="Times New Roman" w:cs="Times New Roman"/>
          <w:b/>
          <w:sz w:val="24"/>
          <w:szCs w:val="24"/>
          <w:lang w:val="ru-RU"/>
        </w:rPr>
        <w:t xml:space="preserve"> </w:t>
      </w:r>
      <w:r w:rsidRPr="006C13DF">
        <w:rPr>
          <w:rFonts w:ascii="Times New Roman" w:hAnsi="Times New Roman" w:cs="Times New Roman"/>
          <w:b/>
          <w:bCs/>
          <w:sz w:val="24"/>
          <w:szCs w:val="24"/>
          <w:lang w:val="ru-RU"/>
        </w:rPr>
        <w:t>41</w:t>
      </w:r>
      <w:r w:rsidRPr="006C13DF">
        <w:rPr>
          <w:rFonts w:ascii="Times New Roman" w:hAnsi="Times New Roman" w:cs="Times New Roman"/>
          <w:b/>
          <w:bCs/>
          <w:sz w:val="24"/>
          <w:szCs w:val="24"/>
        </w:rPr>
        <w:t xml:space="preserve"> </w:t>
      </w:r>
      <w:r w:rsidRPr="006C13DF">
        <w:rPr>
          <w:rFonts w:ascii="Times New Roman" w:hAnsi="Times New Roman" w:cs="Times New Roman"/>
          <w:b/>
          <w:sz w:val="24"/>
          <w:szCs w:val="24"/>
          <w:lang w:val="ru-RU"/>
        </w:rPr>
        <w:t xml:space="preserve">проекта, от </w:t>
      </w:r>
      <w:proofErr w:type="spellStart"/>
      <w:r w:rsidRPr="006C13DF">
        <w:rPr>
          <w:rFonts w:ascii="Times New Roman" w:hAnsi="Times New Roman" w:cs="Times New Roman"/>
          <w:b/>
          <w:sz w:val="24"/>
          <w:szCs w:val="24"/>
          <w:lang w:val="ru-RU"/>
        </w:rPr>
        <w:t>които</w:t>
      </w:r>
      <w:proofErr w:type="spellEnd"/>
      <w:r w:rsidRPr="006C13DF">
        <w:rPr>
          <w:rFonts w:ascii="Times New Roman" w:hAnsi="Times New Roman" w:cs="Times New Roman"/>
          <w:b/>
          <w:sz w:val="24"/>
          <w:szCs w:val="24"/>
          <w:lang w:val="ru-RU"/>
        </w:rPr>
        <w:t xml:space="preserve"> </w:t>
      </w:r>
      <w:r w:rsidRPr="006C13DF">
        <w:rPr>
          <w:rFonts w:ascii="Times New Roman" w:hAnsi="Times New Roman" w:cs="Times New Roman"/>
          <w:b/>
          <w:bCs/>
          <w:sz w:val="24"/>
          <w:szCs w:val="24"/>
          <w:lang w:val="ru-RU"/>
        </w:rPr>
        <w:t>20</w:t>
      </w:r>
      <w:r w:rsidRPr="006C13DF">
        <w:rPr>
          <w:rFonts w:ascii="Times New Roman" w:hAnsi="Times New Roman" w:cs="Times New Roman"/>
          <w:b/>
          <w:sz w:val="24"/>
          <w:szCs w:val="24"/>
          <w:lang w:val="ru-RU"/>
        </w:rPr>
        <w:t xml:space="preserve"> на</w:t>
      </w:r>
      <w:r w:rsidRPr="006C13DF">
        <w:rPr>
          <w:rFonts w:ascii="Times New Roman" w:hAnsi="Times New Roman" w:cs="Times New Roman"/>
          <w:b/>
          <w:bCs/>
          <w:sz w:val="24"/>
          <w:szCs w:val="24"/>
          <w:lang w:val="ru-RU"/>
        </w:rPr>
        <w:t xml:space="preserve"> </w:t>
      </w:r>
      <w:proofErr w:type="spellStart"/>
      <w:r w:rsidR="003B7D79" w:rsidRPr="006C13DF">
        <w:rPr>
          <w:rFonts w:ascii="Times New Roman" w:hAnsi="Times New Roman" w:cs="Times New Roman"/>
          <w:b/>
          <w:sz w:val="24"/>
          <w:szCs w:val="24"/>
          <w:lang w:val="ru-RU"/>
        </w:rPr>
        <w:t>възрастни</w:t>
      </w:r>
      <w:proofErr w:type="spellEnd"/>
      <w:r w:rsidR="003B7D79" w:rsidRPr="006C13DF">
        <w:rPr>
          <w:rFonts w:ascii="Times New Roman" w:hAnsi="Times New Roman" w:cs="Times New Roman"/>
          <w:b/>
          <w:sz w:val="24"/>
          <w:szCs w:val="24"/>
          <w:lang w:val="ru-RU"/>
        </w:rPr>
        <w:t xml:space="preserve"> хора с </w:t>
      </w:r>
      <w:proofErr w:type="spellStart"/>
      <w:r w:rsidR="003B7D79" w:rsidRPr="006C13DF">
        <w:rPr>
          <w:rFonts w:ascii="Times New Roman" w:hAnsi="Times New Roman" w:cs="Times New Roman"/>
          <w:b/>
          <w:sz w:val="24"/>
          <w:szCs w:val="24"/>
          <w:lang w:val="ru-RU"/>
        </w:rPr>
        <w:t>увреждания</w:t>
      </w:r>
      <w:proofErr w:type="spellEnd"/>
      <w:r w:rsidRPr="006C13DF">
        <w:rPr>
          <w:rFonts w:ascii="Times New Roman" w:hAnsi="Times New Roman" w:cs="Times New Roman"/>
          <w:b/>
          <w:sz w:val="24"/>
          <w:szCs w:val="24"/>
          <w:lang w:val="ru-RU"/>
        </w:rPr>
        <w:t xml:space="preserve"> над 50- </w:t>
      </w:r>
      <w:proofErr w:type="spellStart"/>
      <w:r w:rsidRPr="006C13DF">
        <w:rPr>
          <w:rFonts w:ascii="Times New Roman" w:hAnsi="Times New Roman" w:cs="Times New Roman"/>
          <w:b/>
          <w:sz w:val="24"/>
          <w:szCs w:val="24"/>
          <w:lang w:val="ru-RU"/>
        </w:rPr>
        <w:t>годишна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възраст</w:t>
      </w:r>
      <w:proofErr w:type="spellEnd"/>
      <w:r w:rsidRPr="006C13DF">
        <w:rPr>
          <w:rFonts w:ascii="Times New Roman" w:hAnsi="Times New Roman" w:cs="Times New Roman"/>
          <w:sz w:val="24"/>
          <w:szCs w:val="24"/>
          <w:lang w:val="ru-RU"/>
        </w:rPr>
        <w:t xml:space="preserve">. </w:t>
      </w:r>
    </w:p>
    <w:p w14:paraId="5B34E293" w14:textId="77777777" w:rsidR="004D3B84" w:rsidRPr="006C13DF" w:rsidRDefault="004D3B84" w:rsidP="00554703">
      <w:pPr>
        <w:pStyle w:val="ListParagraph"/>
        <w:numPr>
          <w:ilvl w:val="0"/>
          <w:numId w:val="14"/>
        </w:numPr>
        <w:spacing w:after="0" w:line="240" w:lineRule="auto"/>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Финансови</w:t>
      </w:r>
      <w:proofErr w:type="spellEnd"/>
      <w:r w:rsidRPr="006C13DF">
        <w:rPr>
          <w:rFonts w:ascii="Times New Roman" w:hAnsi="Times New Roman" w:cs="Times New Roman"/>
          <w:sz w:val="24"/>
          <w:szCs w:val="24"/>
          <w:lang w:val="ru-RU"/>
        </w:rPr>
        <w:t xml:space="preserve"> средства за </w:t>
      </w:r>
      <w:proofErr w:type="spellStart"/>
      <w:r w:rsidRPr="006C13DF">
        <w:rPr>
          <w:rFonts w:ascii="Times New Roman" w:hAnsi="Times New Roman" w:cs="Times New Roman"/>
          <w:sz w:val="24"/>
          <w:szCs w:val="24"/>
          <w:lang w:val="ru-RU"/>
        </w:rPr>
        <w:t>реализиране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проектите</w:t>
      </w:r>
      <w:proofErr w:type="spellEnd"/>
      <w:r w:rsidRPr="006C13DF">
        <w:rPr>
          <w:rFonts w:ascii="Times New Roman" w:hAnsi="Times New Roman" w:cs="Times New Roman"/>
          <w:sz w:val="24"/>
          <w:szCs w:val="24"/>
          <w:lang w:val="ru-RU"/>
        </w:rPr>
        <w:t xml:space="preserve"> за 2023 г. – 119 965 </w:t>
      </w:r>
      <w:proofErr w:type="spellStart"/>
      <w:r w:rsidRPr="006C13DF">
        <w:rPr>
          <w:rFonts w:ascii="Times New Roman" w:hAnsi="Times New Roman" w:cs="Times New Roman"/>
          <w:sz w:val="24"/>
          <w:szCs w:val="24"/>
          <w:lang w:val="ru-RU"/>
        </w:rPr>
        <w:t>лв</w:t>
      </w:r>
      <w:proofErr w:type="spellEnd"/>
      <w:r w:rsidRPr="006C13DF">
        <w:rPr>
          <w:rFonts w:ascii="Times New Roman" w:hAnsi="Times New Roman" w:cs="Times New Roman"/>
          <w:sz w:val="24"/>
          <w:szCs w:val="24"/>
          <w:lang w:val="ru-RU"/>
        </w:rPr>
        <w:t>.</w:t>
      </w:r>
    </w:p>
    <w:p w14:paraId="16E51A6A" w14:textId="77777777" w:rsidR="004D3B84" w:rsidRPr="006C13DF" w:rsidRDefault="004D3B84" w:rsidP="00554703">
      <w:pPr>
        <w:pStyle w:val="ListParagraph"/>
        <w:numPr>
          <w:ilvl w:val="0"/>
          <w:numId w:val="14"/>
        </w:numPr>
        <w:spacing w:after="0" w:line="240" w:lineRule="auto"/>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Финансови</w:t>
      </w:r>
      <w:proofErr w:type="spellEnd"/>
      <w:r w:rsidRPr="006C13DF">
        <w:rPr>
          <w:rFonts w:ascii="Times New Roman" w:hAnsi="Times New Roman" w:cs="Times New Roman"/>
          <w:sz w:val="24"/>
          <w:szCs w:val="24"/>
          <w:lang w:val="ru-RU"/>
        </w:rPr>
        <w:t xml:space="preserve"> средства за </w:t>
      </w:r>
      <w:proofErr w:type="spellStart"/>
      <w:r w:rsidRPr="006C13DF">
        <w:rPr>
          <w:rFonts w:ascii="Times New Roman" w:hAnsi="Times New Roman" w:cs="Times New Roman"/>
          <w:sz w:val="24"/>
          <w:szCs w:val="24"/>
          <w:lang w:val="ru-RU"/>
        </w:rPr>
        <w:t>реализиране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проектите</w:t>
      </w:r>
      <w:proofErr w:type="spellEnd"/>
      <w:r w:rsidRPr="006C13DF">
        <w:rPr>
          <w:rFonts w:ascii="Times New Roman" w:hAnsi="Times New Roman" w:cs="Times New Roman"/>
          <w:sz w:val="24"/>
          <w:szCs w:val="24"/>
          <w:lang w:val="ru-RU"/>
        </w:rPr>
        <w:t xml:space="preserve"> за 2024 г. – 609 509 </w:t>
      </w:r>
      <w:proofErr w:type="spellStart"/>
      <w:r w:rsidRPr="006C13DF">
        <w:rPr>
          <w:rFonts w:ascii="Times New Roman" w:hAnsi="Times New Roman" w:cs="Times New Roman"/>
          <w:sz w:val="24"/>
          <w:szCs w:val="24"/>
          <w:lang w:val="ru-RU"/>
        </w:rPr>
        <w:t>лв</w:t>
      </w:r>
      <w:proofErr w:type="spellEnd"/>
      <w:r w:rsidRPr="006C13DF">
        <w:rPr>
          <w:rFonts w:ascii="Times New Roman" w:hAnsi="Times New Roman" w:cs="Times New Roman"/>
          <w:sz w:val="24"/>
          <w:szCs w:val="24"/>
          <w:lang w:val="ru-RU"/>
        </w:rPr>
        <w:t>.</w:t>
      </w:r>
    </w:p>
    <w:p w14:paraId="6E331565" w14:textId="77777777" w:rsidR="004D3B84" w:rsidRPr="006C13DF" w:rsidRDefault="004D3B84" w:rsidP="004D3B84">
      <w:pPr>
        <w:pStyle w:val="ListParagraph"/>
        <w:spacing w:after="0" w:line="240" w:lineRule="auto"/>
        <w:ind w:left="360"/>
        <w:jc w:val="both"/>
        <w:rPr>
          <w:rFonts w:ascii="Times New Roman" w:hAnsi="Times New Roman" w:cs="Times New Roman"/>
          <w:b/>
          <w:bCs/>
          <w:sz w:val="24"/>
          <w:szCs w:val="24"/>
        </w:rPr>
      </w:pPr>
    </w:p>
    <w:p w14:paraId="38C8A912" w14:textId="77777777" w:rsidR="004D3B84" w:rsidRPr="006C13DF" w:rsidRDefault="004D3B84" w:rsidP="00554703">
      <w:pPr>
        <w:pStyle w:val="ListParagraph"/>
        <w:numPr>
          <w:ilvl w:val="0"/>
          <w:numId w:val="13"/>
        </w:numPr>
        <w:spacing w:after="0" w:line="240" w:lineRule="auto"/>
        <w:ind w:left="0" w:firstLine="360"/>
        <w:jc w:val="both"/>
        <w:rPr>
          <w:rFonts w:ascii="Times New Roman" w:hAnsi="Times New Roman" w:cs="Times New Roman"/>
          <w:b/>
          <w:bCs/>
          <w:sz w:val="24"/>
          <w:szCs w:val="24"/>
        </w:rPr>
      </w:pPr>
      <w:r w:rsidRPr="006C13DF">
        <w:rPr>
          <w:rFonts w:ascii="Times New Roman" w:hAnsi="Times New Roman" w:cs="Times New Roman"/>
          <w:b/>
          <w:bCs/>
          <w:sz w:val="24"/>
          <w:szCs w:val="24"/>
        </w:rPr>
        <w:t>Финансиране на проекти със социална насоченост на специализирани предприятия и кооперации на хората с увреждания за подобряване на условията на труд в тях за работещи хора с трайни увреждания, вкл. хора с трайни увреждания над 50-годишна възраст:</w:t>
      </w:r>
    </w:p>
    <w:p w14:paraId="050AE83E" w14:textId="77777777" w:rsidR="004D3B84" w:rsidRPr="006C13DF" w:rsidRDefault="004D3B84" w:rsidP="004D3B84">
      <w:pPr>
        <w:spacing w:after="0"/>
        <w:ind w:firstLine="709"/>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През</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отчетните</w:t>
      </w:r>
      <w:proofErr w:type="spellEnd"/>
      <w:r w:rsidRPr="006C13DF">
        <w:rPr>
          <w:rFonts w:ascii="Times New Roman" w:hAnsi="Times New Roman" w:cs="Times New Roman"/>
          <w:sz w:val="24"/>
          <w:szCs w:val="24"/>
          <w:lang w:val="ru-RU"/>
        </w:rPr>
        <w:t xml:space="preserve"> 202</w:t>
      </w:r>
      <w:r w:rsidRPr="006C13DF">
        <w:rPr>
          <w:rFonts w:ascii="Times New Roman" w:hAnsi="Times New Roman" w:cs="Times New Roman"/>
          <w:sz w:val="24"/>
          <w:szCs w:val="24"/>
        </w:rPr>
        <w:t>3</w:t>
      </w:r>
      <w:r w:rsidRPr="006C13DF">
        <w:rPr>
          <w:rFonts w:ascii="Times New Roman" w:hAnsi="Times New Roman" w:cs="Times New Roman"/>
          <w:sz w:val="24"/>
          <w:szCs w:val="24"/>
          <w:lang w:val="ru-RU"/>
        </w:rPr>
        <w:t xml:space="preserve"> г. и 202</w:t>
      </w:r>
      <w:r w:rsidRPr="006C13DF">
        <w:rPr>
          <w:rFonts w:ascii="Times New Roman" w:hAnsi="Times New Roman" w:cs="Times New Roman"/>
          <w:sz w:val="24"/>
          <w:szCs w:val="24"/>
        </w:rPr>
        <w:t>4</w:t>
      </w:r>
      <w:r w:rsidRPr="006C13DF">
        <w:rPr>
          <w:rFonts w:ascii="Times New Roman" w:hAnsi="Times New Roman" w:cs="Times New Roman"/>
          <w:sz w:val="24"/>
          <w:szCs w:val="24"/>
          <w:lang w:val="ru-RU"/>
        </w:rPr>
        <w:t xml:space="preserve"> г.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планирани</w:t>
      </w:r>
      <w:proofErr w:type="spellEnd"/>
      <w:r w:rsidRPr="006C13DF">
        <w:rPr>
          <w:rFonts w:ascii="Times New Roman" w:hAnsi="Times New Roman" w:cs="Times New Roman"/>
          <w:sz w:val="24"/>
          <w:szCs w:val="24"/>
          <w:lang w:val="ru-RU"/>
        </w:rPr>
        <w:t xml:space="preserve"> </w:t>
      </w:r>
      <w:r w:rsidRPr="006C13DF">
        <w:rPr>
          <w:rFonts w:ascii="Times New Roman" w:hAnsi="Times New Roman" w:cs="Times New Roman"/>
          <w:bCs/>
          <w:sz w:val="24"/>
          <w:szCs w:val="24"/>
          <w:lang w:val="ru-RU"/>
        </w:rPr>
        <w:t xml:space="preserve">130 </w:t>
      </w:r>
      <w:proofErr w:type="spellStart"/>
      <w:r w:rsidRPr="006C13DF">
        <w:rPr>
          <w:rFonts w:ascii="Times New Roman" w:hAnsi="Times New Roman" w:cs="Times New Roman"/>
          <w:bCs/>
          <w:sz w:val="24"/>
          <w:szCs w:val="24"/>
          <w:lang w:val="ru-RU"/>
        </w:rPr>
        <w:t>бр</w:t>
      </w:r>
      <w:proofErr w:type="spellEnd"/>
      <w:r w:rsidRPr="006C13DF">
        <w:rPr>
          <w:rFonts w:ascii="Times New Roman" w:hAnsi="Times New Roman" w:cs="Times New Roman"/>
          <w:bCs/>
          <w:sz w:val="24"/>
          <w:szCs w:val="24"/>
          <w:lang w:val="ru-RU"/>
        </w:rPr>
        <w:t>.</w:t>
      </w:r>
      <w:r w:rsidRPr="006C13DF">
        <w:rPr>
          <w:rFonts w:ascii="Times New Roman" w:hAnsi="Times New Roman" w:cs="Times New Roman"/>
          <w:b/>
          <w:bCs/>
          <w:sz w:val="24"/>
          <w:szCs w:val="24"/>
          <w:lang w:val="ru-RU"/>
        </w:rPr>
        <w:t xml:space="preserve"> </w:t>
      </w:r>
      <w:r w:rsidRPr="006C13DF">
        <w:rPr>
          <w:rFonts w:ascii="Times New Roman" w:hAnsi="Times New Roman" w:cs="Times New Roman"/>
          <w:sz w:val="24"/>
          <w:szCs w:val="24"/>
        </w:rPr>
        <w:t>хора с трайни увреждания над 50-годишна възраст, на които са подобрени условията на труд</w:t>
      </w:r>
      <w:r w:rsidRPr="006C13DF">
        <w:rPr>
          <w:rFonts w:ascii="Times New Roman" w:hAnsi="Times New Roman" w:cs="Times New Roman"/>
          <w:sz w:val="24"/>
          <w:szCs w:val="24"/>
          <w:lang w:val="ru-RU"/>
        </w:rPr>
        <w:t xml:space="preserve">. Чрез </w:t>
      </w:r>
      <w:proofErr w:type="spellStart"/>
      <w:r w:rsidRPr="006C13DF">
        <w:rPr>
          <w:rFonts w:ascii="Times New Roman" w:hAnsi="Times New Roman" w:cs="Times New Roman"/>
          <w:sz w:val="24"/>
          <w:szCs w:val="24"/>
          <w:lang w:val="ru-RU"/>
        </w:rPr>
        <w:t>финансиране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социални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проекти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осигурени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здравословни</w:t>
      </w:r>
      <w:proofErr w:type="spellEnd"/>
      <w:r w:rsidRPr="006C13DF">
        <w:rPr>
          <w:rFonts w:ascii="Times New Roman" w:hAnsi="Times New Roman" w:cs="Times New Roman"/>
          <w:sz w:val="24"/>
          <w:szCs w:val="24"/>
          <w:lang w:val="ru-RU"/>
        </w:rPr>
        <w:t xml:space="preserve"> условия на труд на </w:t>
      </w:r>
      <w:r w:rsidRPr="006C13DF">
        <w:rPr>
          <w:rFonts w:ascii="Times New Roman" w:hAnsi="Times New Roman" w:cs="Times New Roman"/>
          <w:bCs/>
          <w:sz w:val="24"/>
          <w:szCs w:val="24"/>
          <w:lang w:val="ru-RU"/>
        </w:rPr>
        <w:t>730</w:t>
      </w:r>
      <w:r w:rsidRPr="006C13DF">
        <w:rPr>
          <w:rFonts w:ascii="Times New Roman" w:hAnsi="Times New Roman" w:cs="Times New Roman"/>
          <w:bCs/>
          <w:sz w:val="24"/>
          <w:szCs w:val="24"/>
        </w:rPr>
        <w:t xml:space="preserve"> </w:t>
      </w:r>
      <w:r w:rsidRPr="006C13DF">
        <w:rPr>
          <w:rFonts w:ascii="Times New Roman" w:hAnsi="Times New Roman" w:cs="Times New Roman"/>
          <w:sz w:val="24"/>
          <w:szCs w:val="24"/>
          <w:lang w:val="ru-RU"/>
        </w:rPr>
        <w:t xml:space="preserve">хора с </w:t>
      </w:r>
      <w:proofErr w:type="spellStart"/>
      <w:r w:rsidRPr="006C13DF">
        <w:rPr>
          <w:rFonts w:ascii="Times New Roman" w:hAnsi="Times New Roman" w:cs="Times New Roman"/>
          <w:sz w:val="24"/>
          <w:szCs w:val="24"/>
          <w:lang w:val="ru-RU"/>
        </w:rPr>
        <w:t>увреждания</w:t>
      </w:r>
      <w:proofErr w:type="spellEnd"/>
      <w:r w:rsidRPr="006C13DF">
        <w:rPr>
          <w:rFonts w:ascii="Times New Roman" w:hAnsi="Times New Roman" w:cs="Times New Roman"/>
          <w:sz w:val="24"/>
          <w:szCs w:val="24"/>
          <w:lang w:val="ru-RU"/>
        </w:rPr>
        <w:t xml:space="preserve">, </w:t>
      </w:r>
      <w:r w:rsidR="003B7D79" w:rsidRPr="006C13DF">
        <w:rPr>
          <w:rFonts w:ascii="Times New Roman" w:hAnsi="Times New Roman" w:cs="Times New Roman"/>
          <w:sz w:val="24"/>
          <w:szCs w:val="24"/>
          <w:lang w:val="ru-RU"/>
        </w:rPr>
        <w:t xml:space="preserve">от </w:t>
      </w:r>
      <w:proofErr w:type="spellStart"/>
      <w:r w:rsidR="003B7D79" w:rsidRPr="006C13DF">
        <w:rPr>
          <w:rFonts w:ascii="Times New Roman" w:hAnsi="Times New Roman" w:cs="Times New Roman"/>
          <w:sz w:val="24"/>
          <w:szCs w:val="24"/>
          <w:lang w:val="ru-RU"/>
        </w:rPr>
        <w:t>които</w:t>
      </w:r>
      <w:proofErr w:type="spellEnd"/>
      <w:r w:rsidR="003B7D79" w:rsidRPr="006C13DF">
        <w:rPr>
          <w:rFonts w:ascii="Times New Roman" w:hAnsi="Times New Roman" w:cs="Times New Roman"/>
          <w:sz w:val="24"/>
          <w:szCs w:val="24"/>
          <w:lang w:val="ru-RU"/>
        </w:rPr>
        <w:t xml:space="preserve"> </w:t>
      </w:r>
      <w:r w:rsidRPr="006C13DF">
        <w:rPr>
          <w:rFonts w:ascii="Times New Roman" w:hAnsi="Times New Roman" w:cs="Times New Roman"/>
          <w:b/>
          <w:bCs/>
          <w:sz w:val="24"/>
          <w:szCs w:val="24"/>
        </w:rPr>
        <w:t>330</w:t>
      </w:r>
      <w:r w:rsidRPr="006C13DF">
        <w:rPr>
          <w:rFonts w:ascii="Times New Roman" w:hAnsi="Times New Roman" w:cs="Times New Roman"/>
          <w:sz w:val="24"/>
          <w:szCs w:val="24"/>
          <w:lang w:val="ru-RU"/>
        </w:rPr>
        <w:t xml:space="preserve"> </w:t>
      </w:r>
      <w:proofErr w:type="spellStart"/>
      <w:r w:rsidR="003B7D79" w:rsidRPr="006C13DF">
        <w:rPr>
          <w:rFonts w:ascii="Times New Roman" w:hAnsi="Times New Roman" w:cs="Times New Roman"/>
          <w:b/>
          <w:sz w:val="24"/>
          <w:szCs w:val="24"/>
          <w:lang w:val="ru-RU"/>
        </w:rPr>
        <w:t>са</w:t>
      </w:r>
      <w:proofErr w:type="spellEnd"/>
      <w:r w:rsidR="003B7D79" w:rsidRPr="006C13DF">
        <w:rPr>
          <w:rFonts w:ascii="Times New Roman" w:hAnsi="Times New Roman" w:cs="Times New Roman"/>
          <w:b/>
          <w:sz w:val="24"/>
          <w:szCs w:val="24"/>
          <w:lang w:val="ru-RU"/>
        </w:rPr>
        <w:t xml:space="preserve"> хора с </w:t>
      </w:r>
      <w:proofErr w:type="spellStart"/>
      <w:r w:rsidR="003B7D79" w:rsidRPr="006C13DF">
        <w:rPr>
          <w:rFonts w:ascii="Times New Roman" w:hAnsi="Times New Roman" w:cs="Times New Roman"/>
          <w:b/>
          <w:sz w:val="24"/>
          <w:szCs w:val="24"/>
          <w:lang w:val="ru-RU"/>
        </w:rPr>
        <w:t>трайни</w:t>
      </w:r>
      <w:proofErr w:type="spellEnd"/>
      <w:r w:rsidR="003B7D79" w:rsidRPr="006C13DF">
        <w:rPr>
          <w:rFonts w:ascii="Times New Roman" w:hAnsi="Times New Roman" w:cs="Times New Roman"/>
          <w:b/>
          <w:sz w:val="24"/>
          <w:szCs w:val="24"/>
          <w:lang w:val="ru-RU"/>
        </w:rPr>
        <w:t xml:space="preserve"> </w:t>
      </w:r>
      <w:proofErr w:type="spellStart"/>
      <w:r w:rsidR="003B7D79" w:rsidRPr="006C13DF">
        <w:rPr>
          <w:rFonts w:ascii="Times New Roman" w:hAnsi="Times New Roman" w:cs="Times New Roman"/>
          <w:b/>
          <w:sz w:val="24"/>
          <w:szCs w:val="24"/>
          <w:lang w:val="ru-RU"/>
        </w:rPr>
        <w:t>увреждания</w:t>
      </w:r>
      <w:proofErr w:type="spellEnd"/>
      <w:r w:rsidRPr="006C13DF">
        <w:rPr>
          <w:rFonts w:ascii="Times New Roman" w:hAnsi="Times New Roman" w:cs="Times New Roman"/>
          <w:b/>
          <w:sz w:val="24"/>
          <w:szCs w:val="24"/>
          <w:lang w:val="ru-RU"/>
        </w:rPr>
        <w:t xml:space="preserve"> над 50-годишна </w:t>
      </w:r>
      <w:proofErr w:type="spellStart"/>
      <w:r w:rsidRPr="006C13DF">
        <w:rPr>
          <w:rFonts w:ascii="Times New Roman" w:hAnsi="Times New Roman" w:cs="Times New Roman"/>
          <w:b/>
          <w:sz w:val="24"/>
          <w:szCs w:val="24"/>
          <w:lang w:val="ru-RU"/>
        </w:rPr>
        <w:t>възраст</w:t>
      </w:r>
      <w:proofErr w:type="spellEnd"/>
      <w:r w:rsidRPr="006C13DF">
        <w:rPr>
          <w:rFonts w:ascii="Times New Roman" w:hAnsi="Times New Roman" w:cs="Times New Roman"/>
          <w:sz w:val="24"/>
          <w:szCs w:val="24"/>
          <w:lang w:val="ru-RU"/>
        </w:rPr>
        <w:t xml:space="preserve">. </w:t>
      </w:r>
    </w:p>
    <w:p w14:paraId="0E7C37B1" w14:textId="77777777" w:rsidR="004D3B84" w:rsidRPr="006C13DF" w:rsidRDefault="004D3B84" w:rsidP="00554703">
      <w:pPr>
        <w:pStyle w:val="ListParagraph"/>
        <w:numPr>
          <w:ilvl w:val="0"/>
          <w:numId w:val="14"/>
        </w:numPr>
        <w:spacing w:after="0" w:line="240" w:lineRule="auto"/>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Финансови</w:t>
      </w:r>
      <w:proofErr w:type="spellEnd"/>
      <w:r w:rsidRPr="006C13DF">
        <w:rPr>
          <w:rFonts w:ascii="Times New Roman" w:hAnsi="Times New Roman" w:cs="Times New Roman"/>
          <w:sz w:val="24"/>
          <w:szCs w:val="24"/>
          <w:lang w:val="ru-RU"/>
        </w:rPr>
        <w:t xml:space="preserve"> средства за </w:t>
      </w:r>
      <w:proofErr w:type="spellStart"/>
      <w:r w:rsidRPr="006C13DF">
        <w:rPr>
          <w:rFonts w:ascii="Times New Roman" w:hAnsi="Times New Roman" w:cs="Times New Roman"/>
          <w:sz w:val="24"/>
          <w:szCs w:val="24"/>
          <w:lang w:val="ru-RU"/>
        </w:rPr>
        <w:t>реализиране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проектите</w:t>
      </w:r>
      <w:proofErr w:type="spellEnd"/>
      <w:r w:rsidRPr="006C13DF">
        <w:rPr>
          <w:rFonts w:ascii="Times New Roman" w:hAnsi="Times New Roman" w:cs="Times New Roman"/>
          <w:sz w:val="24"/>
          <w:szCs w:val="24"/>
          <w:lang w:val="ru-RU"/>
        </w:rPr>
        <w:t xml:space="preserve"> за 2023 г. – 479 320 </w:t>
      </w:r>
      <w:proofErr w:type="spellStart"/>
      <w:r w:rsidRPr="006C13DF">
        <w:rPr>
          <w:rFonts w:ascii="Times New Roman" w:hAnsi="Times New Roman" w:cs="Times New Roman"/>
          <w:sz w:val="24"/>
          <w:szCs w:val="24"/>
          <w:lang w:val="ru-RU"/>
        </w:rPr>
        <w:t>лв</w:t>
      </w:r>
      <w:proofErr w:type="spellEnd"/>
      <w:r w:rsidRPr="006C13DF">
        <w:rPr>
          <w:rFonts w:ascii="Times New Roman" w:hAnsi="Times New Roman" w:cs="Times New Roman"/>
          <w:sz w:val="24"/>
          <w:szCs w:val="24"/>
          <w:lang w:val="ru-RU"/>
        </w:rPr>
        <w:t>.</w:t>
      </w:r>
    </w:p>
    <w:p w14:paraId="4E71385F" w14:textId="77777777" w:rsidR="004D3B84" w:rsidRPr="006C13DF" w:rsidRDefault="004D3B84" w:rsidP="00554703">
      <w:pPr>
        <w:pStyle w:val="ListParagraph"/>
        <w:numPr>
          <w:ilvl w:val="0"/>
          <w:numId w:val="14"/>
        </w:numPr>
        <w:spacing w:after="0" w:line="240" w:lineRule="auto"/>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Финансови</w:t>
      </w:r>
      <w:proofErr w:type="spellEnd"/>
      <w:r w:rsidRPr="006C13DF">
        <w:rPr>
          <w:rFonts w:ascii="Times New Roman" w:hAnsi="Times New Roman" w:cs="Times New Roman"/>
          <w:sz w:val="24"/>
          <w:szCs w:val="24"/>
          <w:lang w:val="ru-RU"/>
        </w:rPr>
        <w:t xml:space="preserve"> средства за </w:t>
      </w:r>
      <w:proofErr w:type="spellStart"/>
      <w:r w:rsidRPr="006C13DF">
        <w:rPr>
          <w:rFonts w:ascii="Times New Roman" w:hAnsi="Times New Roman" w:cs="Times New Roman"/>
          <w:sz w:val="24"/>
          <w:szCs w:val="24"/>
          <w:lang w:val="ru-RU"/>
        </w:rPr>
        <w:t>реализиране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проектите</w:t>
      </w:r>
      <w:proofErr w:type="spellEnd"/>
      <w:r w:rsidRPr="006C13DF">
        <w:rPr>
          <w:rFonts w:ascii="Times New Roman" w:hAnsi="Times New Roman" w:cs="Times New Roman"/>
          <w:sz w:val="24"/>
          <w:szCs w:val="24"/>
          <w:lang w:val="ru-RU"/>
        </w:rPr>
        <w:t xml:space="preserve"> за 2024 г. – 646 501 </w:t>
      </w:r>
      <w:proofErr w:type="spellStart"/>
      <w:r w:rsidRPr="006C13DF">
        <w:rPr>
          <w:rFonts w:ascii="Times New Roman" w:hAnsi="Times New Roman" w:cs="Times New Roman"/>
          <w:sz w:val="24"/>
          <w:szCs w:val="24"/>
          <w:lang w:val="ru-RU"/>
        </w:rPr>
        <w:t>лв</w:t>
      </w:r>
      <w:proofErr w:type="spellEnd"/>
      <w:r w:rsidRPr="006C13DF">
        <w:rPr>
          <w:rFonts w:ascii="Times New Roman" w:hAnsi="Times New Roman" w:cs="Times New Roman"/>
          <w:sz w:val="24"/>
          <w:szCs w:val="24"/>
          <w:lang w:val="ru-RU"/>
        </w:rPr>
        <w:t>.</w:t>
      </w:r>
    </w:p>
    <w:p w14:paraId="688C81C1" w14:textId="77777777" w:rsidR="004D3B84" w:rsidRPr="006C13DF" w:rsidRDefault="004D3B84" w:rsidP="00CE0C36">
      <w:pPr>
        <w:pStyle w:val="ListParagraph"/>
        <w:spacing w:after="0" w:line="240" w:lineRule="auto"/>
        <w:ind w:left="0"/>
        <w:jc w:val="both"/>
        <w:rPr>
          <w:rFonts w:ascii="Times New Roman" w:hAnsi="Times New Roman" w:cs="Times New Roman"/>
          <w:b/>
          <w:bCs/>
          <w:sz w:val="24"/>
          <w:szCs w:val="24"/>
        </w:rPr>
      </w:pPr>
    </w:p>
    <w:p w14:paraId="715AC2DE" w14:textId="77777777" w:rsidR="004D3B84" w:rsidRPr="006C13DF" w:rsidRDefault="004D3B84" w:rsidP="00554703">
      <w:pPr>
        <w:pStyle w:val="ListParagraph"/>
        <w:numPr>
          <w:ilvl w:val="0"/>
          <w:numId w:val="13"/>
        </w:numPr>
        <w:spacing w:after="0" w:line="240" w:lineRule="auto"/>
        <w:ind w:left="0" w:firstLine="360"/>
        <w:jc w:val="both"/>
        <w:rPr>
          <w:rFonts w:ascii="Times New Roman" w:hAnsi="Times New Roman" w:cs="Times New Roman"/>
          <w:b/>
          <w:bCs/>
          <w:sz w:val="24"/>
          <w:szCs w:val="24"/>
        </w:rPr>
      </w:pPr>
      <w:r w:rsidRPr="006C13DF">
        <w:rPr>
          <w:rFonts w:ascii="Times New Roman" w:hAnsi="Times New Roman" w:cs="Times New Roman"/>
          <w:b/>
          <w:bCs/>
          <w:sz w:val="24"/>
          <w:szCs w:val="24"/>
        </w:rPr>
        <w:t>Финансиране на проекти със стопанска насоченост на специализирани предприятия и кооперации на хората с увреждания за технологично обновяване на производствения процес и осигуряване на заетост в специализирана работна среда на работещи хора с трайни увреждания, вкл. хора с трайни ув</w:t>
      </w:r>
      <w:r w:rsidR="003B7D79" w:rsidRPr="006C13DF">
        <w:rPr>
          <w:rFonts w:ascii="Times New Roman" w:hAnsi="Times New Roman" w:cs="Times New Roman"/>
          <w:b/>
          <w:bCs/>
          <w:sz w:val="24"/>
          <w:szCs w:val="24"/>
        </w:rPr>
        <w:t xml:space="preserve">реждания над 50-годишна възраст: </w:t>
      </w:r>
    </w:p>
    <w:p w14:paraId="41F2C538" w14:textId="77777777" w:rsidR="004D3B84" w:rsidRPr="006C13DF" w:rsidRDefault="003B7D79" w:rsidP="003B7D79">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lang w:val="ru-RU"/>
        </w:rPr>
        <w:tab/>
      </w:r>
      <w:proofErr w:type="spellStart"/>
      <w:r w:rsidR="004D3B84" w:rsidRPr="006C13DF">
        <w:rPr>
          <w:rFonts w:ascii="Times New Roman" w:hAnsi="Times New Roman" w:cs="Times New Roman"/>
          <w:sz w:val="24"/>
          <w:szCs w:val="24"/>
          <w:lang w:val="ru-RU"/>
        </w:rPr>
        <w:t>През</w:t>
      </w:r>
      <w:proofErr w:type="spellEnd"/>
      <w:r w:rsidR="004D3B84" w:rsidRPr="006C13DF">
        <w:rPr>
          <w:rFonts w:ascii="Times New Roman" w:hAnsi="Times New Roman" w:cs="Times New Roman"/>
          <w:sz w:val="24"/>
          <w:szCs w:val="24"/>
          <w:lang w:val="ru-RU"/>
        </w:rPr>
        <w:t xml:space="preserve"> </w:t>
      </w:r>
      <w:proofErr w:type="spellStart"/>
      <w:r w:rsidR="004D3B84" w:rsidRPr="006C13DF">
        <w:rPr>
          <w:rFonts w:ascii="Times New Roman" w:hAnsi="Times New Roman" w:cs="Times New Roman"/>
          <w:sz w:val="24"/>
          <w:szCs w:val="24"/>
          <w:lang w:val="ru-RU"/>
        </w:rPr>
        <w:t>отчетните</w:t>
      </w:r>
      <w:proofErr w:type="spellEnd"/>
      <w:r w:rsidR="004D3B84" w:rsidRPr="006C13DF">
        <w:rPr>
          <w:rFonts w:ascii="Times New Roman" w:hAnsi="Times New Roman" w:cs="Times New Roman"/>
          <w:sz w:val="24"/>
          <w:szCs w:val="24"/>
          <w:lang w:val="ru-RU"/>
        </w:rPr>
        <w:t xml:space="preserve"> 202</w:t>
      </w:r>
      <w:r w:rsidR="004D3B84" w:rsidRPr="006C13DF">
        <w:rPr>
          <w:rFonts w:ascii="Times New Roman" w:hAnsi="Times New Roman" w:cs="Times New Roman"/>
          <w:sz w:val="24"/>
          <w:szCs w:val="24"/>
        </w:rPr>
        <w:t>3</w:t>
      </w:r>
      <w:r w:rsidR="004D3B84" w:rsidRPr="006C13DF">
        <w:rPr>
          <w:rFonts w:ascii="Times New Roman" w:hAnsi="Times New Roman" w:cs="Times New Roman"/>
          <w:sz w:val="24"/>
          <w:szCs w:val="24"/>
          <w:lang w:val="ru-RU"/>
        </w:rPr>
        <w:t xml:space="preserve"> г. и 202</w:t>
      </w:r>
      <w:r w:rsidR="004D3B84" w:rsidRPr="006C13DF">
        <w:rPr>
          <w:rFonts w:ascii="Times New Roman" w:hAnsi="Times New Roman" w:cs="Times New Roman"/>
          <w:sz w:val="24"/>
          <w:szCs w:val="24"/>
        </w:rPr>
        <w:t>4</w:t>
      </w:r>
      <w:r w:rsidR="004D3B84" w:rsidRPr="006C13DF">
        <w:rPr>
          <w:rFonts w:ascii="Times New Roman" w:hAnsi="Times New Roman" w:cs="Times New Roman"/>
          <w:sz w:val="24"/>
          <w:szCs w:val="24"/>
          <w:lang w:val="ru-RU"/>
        </w:rPr>
        <w:t xml:space="preserve"> г. </w:t>
      </w:r>
      <w:proofErr w:type="spellStart"/>
      <w:r w:rsidR="004D3B84" w:rsidRPr="006C13DF">
        <w:rPr>
          <w:rFonts w:ascii="Times New Roman" w:hAnsi="Times New Roman" w:cs="Times New Roman"/>
          <w:sz w:val="24"/>
          <w:szCs w:val="24"/>
          <w:lang w:val="ru-RU"/>
        </w:rPr>
        <w:t>са</w:t>
      </w:r>
      <w:proofErr w:type="spellEnd"/>
      <w:r w:rsidR="004D3B84"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планирани</w:t>
      </w:r>
      <w:proofErr w:type="spellEnd"/>
      <w:r w:rsidRPr="006C13DF">
        <w:rPr>
          <w:rFonts w:ascii="Times New Roman" w:hAnsi="Times New Roman" w:cs="Times New Roman"/>
          <w:sz w:val="24"/>
          <w:szCs w:val="24"/>
          <w:lang w:val="ru-RU"/>
        </w:rPr>
        <w:t xml:space="preserve"> </w:t>
      </w:r>
      <w:r w:rsidR="004D3B84" w:rsidRPr="006C13DF">
        <w:rPr>
          <w:rFonts w:ascii="Times New Roman" w:hAnsi="Times New Roman" w:cs="Times New Roman"/>
          <w:bCs/>
          <w:sz w:val="24"/>
          <w:szCs w:val="24"/>
          <w:lang w:val="ru-RU"/>
        </w:rPr>
        <w:t xml:space="preserve">12 </w:t>
      </w:r>
      <w:proofErr w:type="spellStart"/>
      <w:r w:rsidR="004D3B84" w:rsidRPr="006C13DF">
        <w:rPr>
          <w:rFonts w:ascii="Times New Roman" w:hAnsi="Times New Roman" w:cs="Times New Roman"/>
          <w:bCs/>
          <w:sz w:val="24"/>
          <w:szCs w:val="24"/>
          <w:lang w:val="ru-RU"/>
        </w:rPr>
        <w:t>бр</w:t>
      </w:r>
      <w:proofErr w:type="spellEnd"/>
      <w:r w:rsidR="004D3B84" w:rsidRPr="006C13DF">
        <w:rPr>
          <w:rFonts w:ascii="Times New Roman" w:hAnsi="Times New Roman" w:cs="Times New Roman"/>
          <w:bCs/>
          <w:sz w:val="24"/>
          <w:szCs w:val="24"/>
          <w:lang w:val="ru-RU"/>
        </w:rPr>
        <w:t>.</w:t>
      </w:r>
      <w:r w:rsidR="004D3B84" w:rsidRPr="006C13DF">
        <w:rPr>
          <w:rFonts w:ascii="Times New Roman" w:hAnsi="Times New Roman" w:cs="Times New Roman"/>
          <w:b/>
          <w:bCs/>
          <w:sz w:val="24"/>
          <w:szCs w:val="24"/>
          <w:lang w:val="ru-RU"/>
        </w:rPr>
        <w:t xml:space="preserve"> </w:t>
      </w:r>
      <w:r w:rsidR="004D3B84" w:rsidRPr="006C13DF">
        <w:rPr>
          <w:rFonts w:ascii="Times New Roman" w:hAnsi="Times New Roman" w:cs="Times New Roman"/>
          <w:sz w:val="24"/>
          <w:szCs w:val="24"/>
        </w:rPr>
        <w:t>хора с трайни увреждания над 50-годишна възраст с осигурена заетост в специализирана работна среда</w:t>
      </w:r>
      <w:r w:rsidR="004D3B84" w:rsidRPr="006C13DF">
        <w:rPr>
          <w:rFonts w:ascii="Times New Roman" w:hAnsi="Times New Roman" w:cs="Times New Roman"/>
          <w:sz w:val="24"/>
          <w:szCs w:val="24"/>
          <w:lang w:val="ru-RU"/>
        </w:rPr>
        <w:t xml:space="preserve">. Чрез </w:t>
      </w:r>
      <w:proofErr w:type="spellStart"/>
      <w:r w:rsidR="004D3B84" w:rsidRPr="006C13DF">
        <w:rPr>
          <w:rFonts w:ascii="Times New Roman" w:hAnsi="Times New Roman" w:cs="Times New Roman"/>
          <w:sz w:val="24"/>
          <w:szCs w:val="24"/>
          <w:lang w:val="ru-RU"/>
        </w:rPr>
        <w:t>финансираните</w:t>
      </w:r>
      <w:proofErr w:type="spellEnd"/>
      <w:r w:rsidR="004D3B84" w:rsidRPr="006C13DF">
        <w:rPr>
          <w:rFonts w:ascii="Times New Roman" w:hAnsi="Times New Roman" w:cs="Times New Roman"/>
          <w:sz w:val="24"/>
          <w:szCs w:val="24"/>
          <w:lang w:val="ru-RU"/>
        </w:rPr>
        <w:t xml:space="preserve"> </w:t>
      </w:r>
      <w:proofErr w:type="spellStart"/>
      <w:r w:rsidR="004D3B84" w:rsidRPr="006C13DF">
        <w:rPr>
          <w:rFonts w:ascii="Times New Roman" w:hAnsi="Times New Roman" w:cs="Times New Roman"/>
          <w:sz w:val="24"/>
          <w:szCs w:val="24"/>
          <w:lang w:val="ru-RU"/>
        </w:rPr>
        <w:t>проекти</w:t>
      </w:r>
      <w:proofErr w:type="spellEnd"/>
      <w:r w:rsidR="004D3B84" w:rsidRPr="006C13DF">
        <w:rPr>
          <w:rFonts w:ascii="Times New Roman" w:hAnsi="Times New Roman" w:cs="Times New Roman"/>
          <w:sz w:val="24"/>
          <w:szCs w:val="24"/>
          <w:lang w:val="ru-RU"/>
        </w:rPr>
        <w:t xml:space="preserve"> </w:t>
      </w:r>
      <w:proofErr w:type="spellStart"/>
      <w:r w:rsidR="004D3B84" w:rsidRPr="006C13DF">
        <w:rPr>
          <w:rFonts w:ascii="Times New Roman" w:hAnsi="Times New Roman" w:cs="Times New Roman"/>
          <w:sz w:val="24"/>
          <w:szCs w:val="24"/>
          <w:lang w:val="ru-RU"/>
        </w:rPr>
        <w:t>са</w:t>
      </w:r>
      <w:proofErr w:type="spellEnd"/>
      <w:r w:rsidR="004D3B84" w:rsidRPr="006C13DF">
        <w:rPr>
          <w:rFonts w:ascii="Times New Roman" w:hAnsi="Times New Roman" w:cs="Times New Roman"/>
          <w:sz w:val="24"/>
          <w:szCs w:val="24"/>
          <w:lang w:val="ru-RU"/>
        </w:rPr>
        <w:t xml:space="preserve"> </w:t>
      </w:r>
      <w:proofErr w:type="spellStart"/>
      <w:r w:rsidR="004D3B84" w:rsidRPr="006C13DF">
        <w:rPr>
          <w:rFonts w:ascii="Times New Roman" w:hAnsi="Times New Roman" w:cs="Times New Roman"/>
          <w:sz w:val="24"/>
          <w:szCs w:val="24"/>
          <w:lang w:val="ru-RU"/>
        </w:rPr>
        <w:t>разкрити</w:t>
      </w:r>
      <w:proofErr w:type="spellEnd"/>
      <w:r w:rsidR="004D3B84" w:rsidRPr="006C13DF">
        <w:rPr>
          <w:rFonts w:ascii="Times New Roman" w:hAnsi="Times New Roman" w:cs="Times New Roman"/>
          <w:sz w:val="24"/>
          <w:szCs w:val="24"/>
          <w:lang w:val="ru-RU"/>
        </w:rPr>
        <w:t xml:space="preserve"> </w:t>
      </w:r>
      <w:r w:rsidR="004D3B84" w:rsidRPr="006C13DF">
        <w:rPr>
          <w:rFonts w:ascii="Times New Roman" w:hAnsi="Times New Roman" w:cs="Times New Roman"/>
          <w:sz w:val="24"/>
          <w:szCs w:val="24"/>
        </w:rPr>
        <w:t>60</w:t>
      </w:r>
      <w:r w:rsidR="004D3B84" w:rsidRPr="006C13DF">
        <w:rPr>
          <w:rFonts w:ascii="Times New Roman" w:hAnsi="Times New Roman" w:cs="Times New Roman"/>
          <w:b/>
          <w:bCs/>
          <w:sz w:val="24"/>
          <w:szCs w:val="24"/>
          <w:lang w:val="ru-RU"/>
        </w:rPr>
        <w:t xml:space="preserve"> </w:t>
      </w:r>
      <w:r w:rsidR="004D3B84" w:rsidRPr="006C13DF">
        <w:rPr>
          <w:rFonts w:ascii="Times New Roman" w:hAnsi="Times New Roman" w:cs="Times New Roman"/>
          <w:sz w:val="24"/>
          <w:szCs w:val="24"/>
          <w:lang w:val="ru-RU"/>
        </w:rPr>
        <w:t xml:space="preserve">работни места хора с </w:t>
      </w:r>
      <w:proofErr w:type="spellStart"/>
      <w:r w:rsidR="004D3B84" w:rsidRPr="006C13DF">
        <w:rPr>
          <w:rFonts w:ascii="Times New Roman" w:hAnsi="Times New Roman" w:cs="Times New Roman"/>
          <w:sz w:val="24"/>
          <w:szCs w:val="24"/>
          <w:lang w:val="ru-RU"/>
        </w:rPr>
        <w:t>увреждания</w:t>
      </w:r>
      <w:proofErr w:type="spellEnd"/>
      <w:r w:rsidRPr="006C13DF">
        <w:rPr>
          <w:rFonts w:ascii="Times New Roman" w:hAnsi="Times New Roman" w:cs="Times New Roman"/>
          <w:sz w:val="24"/>
          <w:szCs w:val="24"/>
          <w:lang w:val="ru-RU"/>
        </w:rPr>
        <w:t>,</w:t>
      </w:r>
      <w:r w:rsidR="004D3B84" w:rsidRPr="006C13DF">
        <w:rPr>
          <w:rFonts w:ascii="Times New Roman" w:hAnsi="Times New Roman" w:cs="Times New Roman"/>
          <w:sz w:val="24"/>
          <w:szCs w:val="24"/>
          <w:lang w:val="ru-RU"/>
        </w:rPr>
        <w:t xml:space="preserve"> </w:t>
      </w:r>
      <w:r w:rsidRPr="006C13DF">
        <w:rPr>
          <w:rFonts w:ascii="Times New Roman" w:hAnsi="Times New Roman" w:cs="Times New Roman"/>
          <w:sz w:val="24"/>
          <w:szCs w:val="24"/>
          <w:lang w:val="ru-RU"/>
        </w:rPr>
        <w:t xml:space="preserve">от </w:t>
      </w:r>
      <w:proofErr w:type="spellStart"/>
      <w:r w:rsidRPr="006C13DF">
        <w:rPr>
          <w:rFonts w:ascii="Times New Roman" w:hAnsi="Times New Roman" w:cs="Times New Roman"/>
          <w:sz w:val="24"/>
          <w:szCs w:val="24"/>
          <w:lang w:val="ru-RU"/>
        </w:rPr>
        <w:t>които</w:t>
      </w:r>
      <w:proofErr w:type="spellEnd"/>
      <w:r w:rsidRPr="006C13DF">
        <w:rPr>
          <w:rFonts w:ascii="Times New Roman" w:hAnsi="Times New Roman" w:cs="Times New Roman"/>
          <w:sz w:val="24"/>
          <w:szCs w:val="24"/>
          <w:lang w:val="ru-RU"/>
        </w:rPr>
        <w:t xml:space="preserve"> </w:t>
      </w:r>
      <w:r w:rsidRPr="006C13DF">
        <w:rPr>
          <w:rFonts w:ascii="Times New Roman" w:hAnsi="Times New Roman" w:cs="Times New Roman"/>
          <w:b/>
          <w:sz w:val="24"/>
          <w:szCs w:val="24"/>
          <w:lang w:val="ru-RU"/>
        </w:rPr>
        <w:t xml:space="preserve">30 </w:t>
      </w:r>
      <w:r w:rsidR="004D3B84" w:rsidRPr="006C13DF">
        <w:rPr>
          <w:rFonts w:ascii="Times New Roman" w:hAnsi="Times New Roman" w:cs="Times New Roman"/>
          <w:b/>
          <w:sz w:val="24"/>
          <w:szCs w:val="24"/>
        </w:rPr>
        <w:t>хора с трайни увреждания над 50-годишна възраст</w:t>
      </w:r>
      <w:r w:rsidR="004D3B84" w:rsidRPr="006C13DF">
        <w:rPr>
          <w:rFonts w:ascii="Times New Roman" w:hAnsi="Times New Roman" w:cs="Times New Roman"/>
          <w:sz w:val="24"/>
          <w:szCs w:val="24"/>
        </w:rPr>
        <w:t>.</w:t>
      </w:r>
    </w:p>
    <w:p w14:paraId="1984D7E1" w14:textId="77777777" w:rsidR="004D3B84" w:rsidRPr="006C13DF" w:rsidRDefault="004D3B84" w:rsidP="00554703">
      <w:pPr>
        <w:pStyle w:val="ListParagraph"/>
        <w:numPr>
          <w:ilvl w:val="0"/>
          <w:numId w:val="14"/>
        </w:numPr>
        <w:spacing w:after="0" w:line="240" w:lineRule="auto"/>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Финансови</w:t>
      </w:r>
      <w:proofErr w:type="spellEnd"/>
      <w:r w:rsidRPr="006C13DF">
        <w:rPr>
          <w:rFonts w:ascii="Times New Roman" w:hAnsi="Times New Roman" w:cs="Times New Roman"/>
          <w:sz w:val="24"/>
          <w:szCs w:val="24"/>
          <w:lang w:val="ru-RU"/>
        </w:rPr>
        <w:t xml:space="preserve"> средства за </w:t>
      </w:r>
      <w:proofErr w:type="spellStart"/>
      <w:r w:rsidRPr="006C13DF">
        <w:rPr>
          <w:rFonts w:ascii="Times New Roman" w:hAnsi="Times New Roman" w:cs="Times New Roman"/>
          <w:sz w:val="24"/>
          <w:szCs w:val="24"/>
          <w:lang w:val="ru-RU"/>
        </w:rPr>
        <w:t>реализиране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проектите</w:t>
      </w:r>
      <w:proofErr w:type="spellEnd"/>
      <w:r w:rsidRPr="006C13DF">
        <w:rPr>
          <w:rFonts w:ascii="Times New Roman" w:hAnsi="Times New Roman" w:cs="Times New Roman"/>
          <w:sz w:val="24"/>
          <w:szCs w:val="24"/>
          <w:lang w:val="ru-RU"/>
        </w:rPr>
        <w:t xml:space="preserve"> за 2023 г. – 1 018 886 </w:t>
      </w:r>
      <w:proofErr w:type="spellStart"/>
      <w:r w:rsidRPr="006C13DF">
        <w:rPr>
          <w:rFonts w:ascii="Times New Roman" w:hAnsi="Times New Roman" w:cs="Times New Roman"/>
          <w:sz w:val="24"/>
          <w:szCs w:val="24"/>
          <w:lang w:val="ru-RU"/>
        </w:rPr>
        <w:t>лв</w:t>
      </w:r>
      <w:proofErr w:type="spellEnd"/>
      <w:r w:rsidRPr="006C13DF">
        <w:rPr>
          <w:rFonts w:ascii="Times New Roman" w:hAnsi="Times New Roman" w:cs="Times New Roman"/>
          <w:sz w:val="24"/>
          <w:szCs w:val="24"/>
          <w:lang w:val="ru-RU"/>
        </w:rPr>
        <w:t>.</w:t>
      </w:r>
    </w:p>
    <w:p w14:paraId="185A80BF" w14:textId="77777777" w:rsidR="004D3B84" w:rsidRPr="006C13DF" w:rsidRDefault="004D3B84" w:rsidP="00554703">
      <w:pPr>
        <w:pStyle w:val="ListParagraph"/>
        <w:numPr>
          <w:ilvl w:val="0"/>
          <w:numId w:val="14"/>
        </w:numPr>
        <w:spacing w:after="0" w:line="240" w:lineRule="auto"/>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Финансови</w:t>
      </w:r>
      <w:proofErr w:type="spellEnd"/>
      <w:r w:rsidRPr="006C13DF">
        <w:rPr>
          <w:rFonts w:ascii="Times New Roman" w:hAnsi="Times New Roman" w:cs="Times New Roman"/>
          <w:sz w:val="24"/>
          <w:szCs w:val="24"/>
          <w:lang w:val="ru-RU"/>
        </w:rPr>
        <w:t xml:space="preserve"> средства за </w:t>
      </w:r>
      <w:proofErr w:type="spellStart"/>
      <w:r w:rsidRPr="006C13DF">
        <w:rPr>
          <w:rFonts w:ascii="Times New Roman" w:hAnsi="Times New Roman" w:cs="Times New Roman"/>
          <w:sz w:val="24"/>
          <w:szCs w:val="24"/>
          <w:lang w:val="ru-RU"/>
        </w:rPr>
        <w:t>реализиране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проектите</w:t>
      </w:r>
      <w:proofErr w:type="spellEnd"/>
      <w:r w:rsidRPr="006C13DF">
        <w:rPr>
          <w:rFonts w:ascii="Times New Roman" w:hAnsi="Times New Roman" w:cs="Times New Roman"/>
          <w:sz w:val="24"/>
          <w:szCs w:val="24"/>
          <w:lang w:val="ru-RU"/>
        </w:rPr>
        <w:t xml:space="preserve"> за 2024 г. – 1 417 069 </w:t>
      </w:r>
      <w:proofErr w:type="spellStart"/>
      <w:r w:rsidRPr="006C13DF">
        <w:rPr>
          <w:rFonts w:ascii="Times New Roman" w:hAnsi="Times New Roman" w:cs="Times New Roman"/>
          <w:sz w:val="24"/>
          <w:szCs w:val="24"/>
          <w:lang w:val="ru-RU"/>
        </w:rPr>
        <w:t>лв</w:t>
      </w:r>
      <w:proofErr w:type="spellEnd"/>
      <w:r w:rsidRPr="006C13DF">
        <w:rPr>
          <w:rFonts w:ascii="Times New Roman" w:hAnsi="Times New Roman" w:cs="Times New Roman"/>
          <w:sz w:val="24"/>
          <w:szCs w:val="24"/>
          <w:lang w:val="ru-RU"/>
        </w:rPr>
        <w:t>.</w:t>
      </w:r>
    </w:p>
    <w:p w14:paraId="6309E717" w14:textId="77777777" w:rsidR="004D3B84" w:rsidRPr="00432FAD" w:rsidRDefault="004D3B84" w:rsidP="00432FAD">
      <w:pPr>
        <w:spacing w:after="0" w:line="240" w:lineRule="auto"/>
        <w:jc w:val="both"/>
        <w:rPr>
          <w:rFonts w:ascii="Times New Roman" w:hAnsi="Times New Roman" w:cs="Times New Roman"/>
          <w:bCs/>
          <w:sz w:val="24"/>
        </w:rPr>
      </w:pPr>
    </w:p>
    <w:p w14:paraId="0DF3570B" w14:textId="77777777" w:rsidR="003773D1" w:rsidRPr="006C13DF" w:rsidRDefault="003773D1" w:rsidP="003773D1">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4B5EF3DF" w14:textId="77777777" w:rsidR="003773D1" w:rsidRDefault="003773D1" w:rsidP="003773D1">
      <w:pPr>
        <w:spacing w:after="0" w:line="240" w:lineRule="auto"/>
        <w:jc w:val="center"/>
        <w:rPr>
          <w:rFonts w:ascii="Times New Roman" w:eastAsia="Calibri" w:hAnsi="Times New Roman" w:cs="Times New Roman"/>
          <w:b/>
          <w:color w:val="C0504D"/>
          <w:sz w:val="24"/>
          <w:szCs w:val="24"/>
        </w:rPr>
      </w:pPr>
      <w:r>
        <w:rPr>
          <w:rFonts w:ascii="Times New Roman" w:eastAsia="Calibri" w:hAnsi="Times New Roman" w:cs="Times New Roman"/>
          <w:b/>
          <w:color w:val="C0504D"/>
          <w:sz w:val="24"/>
          <w:szCs w:val="24"/>
        </w:rPr>
        <w:t>АГЕНЦИЯ</w:t>
      </w:r>
      <w:r>
        <w:rPr>
          <w:rFonts w:ascii="Times New Roman" w:eastAsia="Calibri" w:hAnsi="Times New Roman" w:cs="Times New Roman"/>
          <w:b/>
          <w:color w:val="C0504D"/>
          <w:sz w:val="24"/>
          <w:szCs w:val="24"/>
          <w:lang w:val="en-US"/>
        </w:rPr>
        <w:t xml:space="preserve"> </w:t>
      </w:r>
      <w:r>
        <w:rPr>
          <w:rFonts w:ascii="Times New Roman" w:eastAsia="Calibri" w:hAnsi="Times New Roman" w:cs="Times New Roman"/>
          <w:b/>
          <w:color w:val="C0504D"/>
          <w:sz w:val="24"/>
          <w:szCs w:val="24"/>
        </w:rPr>
        <w:t>ПО ЗАЕТОСТТА</w:t>
      </w:r>
    </w:p>
    <w:p w14:paraId="14BE98AB" w14:textId="77777777" w:rsidR="003773D1" w:rsidRPr="003773D1" w:rsidRDefault="003773D1" w:rsidP="003773D1">
      <w:pPr>
        <w:spacing w:after="0" w:line="240" w:lineRule="auto"/>
        <w:jc w:val="center"/>
        <w:rPr>
          <w:rFonts w:ascii="Times New Roman" w:hAnsi="Times New Roman" w:cs="Times New Roman"/>
          <w:b/>
          <w:bCs/>
          <w:i/>
          <w:sz w:val="24"/>
        </w:rPr>
      </w:pPr>
    </w:p>
    <w:p w14:paraId="6EF385C0" w14:textId="77777777" w:rsidR="00B237EC" w:rsidRPr="006C13DF" w:rsidRDefault="00B237EC" w:rsidP="007B2378">
      <w:pPr>
        <w:spacing w:after="0" w:line="240" w:lineRule="auto"/>
        <w:jc w:val="both"/>
        <w:rPr>
          <w:rFonts w:ascii="Times New Roman" w:hAnsi="Times New Roman" w:cs="Times New Roman"/>
          <w:b/>
          <w:bCs/>
          <w:sz w:val="24"/>
        </w:rPr>
      </w:pPr>
      <w:r w:rsidRPr="003773D1">
        <w:rPr>
          <w:rFonts w:ascii="Times New Roman" w:hAnsi="Times New Roman" w:cs="Times New Roman"/>
          <w:b/>
          <w:bCs/>
          <w:sz w:val="24"/>
        </w:rPr>
        <w:t>1.1.17. Включване на безработни лица над 50-годишна възраст в насърчителните мерки по Закона за насърчаване на заетостта</w:t>
      </w:r>
    </w:p>
    <w:p w14:paraId="0F5F0858" w14:textId="77777777" w:rsidR="003773D1" w:rsidRDefault="003773D1" w:rsidP="003773D1">
      <w:pPr>
        <w:spacing w:after="0" w:line="240" w:lineRule="auto"/>
        <w:jc w:val="both"/>
        <w:rPr>
          <w:rFonts w:ascii="Times New Roman" w:hAnsi="Times New Roman" w:cs="Times New Roman"/>
          <w:b/>
          <w:bCs/>
          <w:sz w:val="24"/>
        </w:rPr>
      </w:pPr>
    </w:p>
    <w:p w14:paraId="4BCFD988" w14:textId="77777777" w:rsidR="003773D1" w:rsidRPr="003773D1" w:rsidRDefault="003773D1" w:rsidP="003773D1">
      <w:pPr>
        <w:spacing w:after="0" w:line="240" w:lineRule="auto"/>
        <w:jc w:val="both"/>
        <w:rPr>
          <w:rFonts w:ascii="Times New Roman" w:hAnsi="Times New Roman" w:cs="Times New Roman"/>
          <w:bCs/>
          <w:sz w:val="24"/>
        </w:rPr>
      </w:pPr>
      <w:r>
        <w:rPr>
          <w:rFonts w:ascii="Times New Roman" w:hAnsi="Times New Roman" w:cs="Times New Roman"/>
          <w:bCs/>
          <w:sz w:val="24"/>
        </w:rPr>
        <w:tab/>
      </w:r>
      <w:r w:rsidRPr="003773D1">
        <w:rPr>
          <w:rFonts w:ascii="Times New Roman" w:hAnsi="Times New Roman" w:cs="Times New Roman"/>
          <w:bCs/>
          <w:sz w:val="24"/>
        </w:rPr>
        <w:t>През 2023 г. в з</w:t>
      </w:r>
      <w:r>
        <w:rPr>
          <w:rFonts w:ascii="Times New Roman" w:hAnsi="Times New Roman" w:cs="Times New Roman"/>
          <w:bCs/>
          <w:sz w:val="24"/>
        </w:rPr>
        <w:t>аетост по насърчителни мерки от</w:t>
      </w:r>
      <w:r w:rsidRPr="003773D1">
        <w:rPr>
          <w:rFonts w:ascii="Times New Roman" w:hAnsi="Times New Roman" w:cs="Times New Roman"/>
          <w:b/>
          <w:bCs/>
          <w:sz w:val="24"/>
        </w:rPr>
        <w:t xml:space="preserve"> </w:t>
      </w:r>
      <w:r w:rsidRPr="003773D1">
        <w:rPr>
          <w:rFonts w:ascii="Times New Roman" w:hAnsi="Times New Roman" w:cs="Times New Roman"/>
          <w:bCs/>
          <w:sz w:val="24"/>
        </w:rPr>
        <w:t xml:space="preserve">Закона за насърчаване на заетостта </w:t>
      </w:r>
      <w:r>
        <w:rPr>
          <w:rFonts w:ascii="Times New Roman" w:hAnsi="Times New Roman" w:cs="Times New Roman"/>
          <w:bCs/>
          <w:sz w:val="24"/>
        </w:rPr>
        <w:t>(</w:t>
      </w:r>
      <w:r w:rsidRPr="003773D1">
        <w:rPr>
          <w:rFonts w:ascii="Times New Roman" w:hAnsi="Times New Roman" w:cs="Times New Roman"/>
          <w:bCs/>
          <w:sz w:val="24"/>
        </w:rPr>
        <w:t>ЗНЗ</w:t>
      </w:r>
      <w:r>
        <w:rPr>
          <w:rFonts w:ascii="Times New Roman" w:hAnsi="Times New Roman" w:cs="Times New Roman"/>
          <w:bCs/>
          <w:sz w:val="24"/>
        </w:rPr>
        <w:t>)</w:t>
      </w:r>
      <w:r w:rsidRPr="003773D1">
        <w:rPr>
          <w:rFonts w:ascii="Times New Roman" w:hAnsi="Times New Roman" w:cs="Times New Roman"/>
          <w:bCs/>
          <w:sz w:val="24"/>
        </w:rPr>
        <w:t xml:space="preserve"> със средства от </w:t>
      </w:r>
      <w:r w:rsidR="006D64A7">
        <w:rPr>
          <w:rFonts w:ascii="Times New Roman" w:hAnsi="Times New Roman" w:cs="Times New Roman"/>
          <w:bCs/>
          <w:sz w:val="24"/>
        </w:rPr>
        <w:t>държавния бюджет</w:t>
      </w:r>
      <w:r w:rsidRPr="003773D1">
        <w:rPr>
          <w:rFonts w:ascii="Times New Roman" w:hAnsi="Times New Roman" w:cs="Times New Roman"/>
          <w:bCs/>
          <w:sz w:val="24"/>
        </w:rPr>
        <w:t xml:space="preserve"> са включени </w:t>
      </w:r>
      <w:r w:rsidRPr="006D64A7">
        <w:rPr>
          <w:rFonts w:ascii="Times New Roman" w:hAnsi="Times New Roman" w:cs="Times New Roman"/>
          <w:b/>
          <w:bCs/>
          <w:sz w:val="24"/>
        </w:rPr>
        <w:t>319 лица над 50-годишна възраст</w:t>
      </w:r>
      <w:r w:rsidRPr="003773D1">
        <w:rPr>
          <w:rFonts w:ascii="Times New Roman" w:hAnsi="Times New Roman" w:cs="Times New Roman"/>
          <w:bCs/>
          <w:sz w:val="24"/>
        </w:rPr>
        <w:t>.</w:t>
      </w:r>
    </w:p>
    <w:p w14:paraId="7FD90DC5" w14:textId="77777777" w:rsidR="003773D1" w:rsidRPr="003773D1" w:rsidRDefault="003773D1" w:rsidP="003773D1">
      <w:pPr>
        <w:spacing w:after="0" w:line="240" w:lineRule="auto"/>
        <w:jc w:val="both"/>
        <w:rPr>
          <w:rFonts w:ascii="Times New Roman" w:hAnsi="Times New Roman" w:cs="Times New Roman"/>
          <w:bCs/>
          <w:sz w:val="24"/>
        </w:rPr>
      </w:pPr>
      <w:r>
        <w:rPr>
          <w:rFonts w:ascii="Times New Roman" w:hAnsi="Times New Roman" w:cs="Times New Roman"/>
          <w:bCs/>
          <w:sz w:val="24"/>
        </w:rPr>
        <w:tab/>
      </w:r>
      <w:r w:rsidRPr="003773D1">
        <w:rPr>
          <w:rFonts w:ascii="Times New Roman" w:hAnsi="Times New Roman" w:cs="Times New Roman"/>
          <w:bCs/>
          <w:sz w:val="24"/>
        </w:rPr>
        <w:t xml:space="preserve">През 2024 г. в заетост по насърчителни мерки от ЗНЗ със средства от </w:t>
      </w:r>
      <w:r w:rsidR="006D64A7">
        <w:rPr>
          <w:rFonts w:ascii="Times New Roman" w:hAnsi="Times New Roman" w:cs="Times New Roman"/>
          <w:bCs/>
          <w:sz w:val="24"/>
        </w:rPr>
        <w:t>държавния бюджет</w:t>
      </w:r>
      <w:r w:rsidRPr="003773D1">
        <w:rPr>
          <w:rFonts w:ascii="Times New Roman" w:hAnsi="Times New Roman" w:cs="Times New Roman"/>
          <w:bCs/>
          <w:sz w:val="24"/>
        </w:rPr>
        <w:t xml:space="preserve"> са включени </w:t>
      </w:r>
      <w:r w:rsidRPr="006D64A7">
        <w:rPr>
          <w:rFonts w:ascii="Times New Roman" w:hAnsi="Times New Roman" w:cs="Times New Roman"/>
          <w:b/>
          <w:bCs/>
          <w:sz w:val="24"/>
        </w:rPr>
        <w:t>480 лица над 50-годишна възраст</w:t>
      </w:r>
      <w:r w:rsidRPr="003773D1">
        <w:rPr>
          <w:rFonts w:ascii="Times New Roman" w:hAnsi="Times New Roman" w:cs="Times New Roman"/>
          <w:bCs/>
          <w:sz w:val="24"/>
        </w:rPr>
        <w:t>.</w:t>
      </w:r>
    </w:p>
    <w:p w14:paraId="44F236D4" w14:textId="77777777" w:rsidR="003773D1" w:rsidRPr="006C13DF" w:rsidRDefault="003773D1" w:rsidP="00B237EC">
      <w:pPr>
        <w:spacing w:after="0" w:line="240" w:lineRule="auto"/>
        <w:ind w:firstLine="708"/>
        <w:jc w:val="both"/>
        <w:rPr>
          <w:rFonts w:ascii="Times New Roman" w:hAnsi="Times New Roman" w:cs="Times New Roman"/>
          <w:b/>
          <w:bCs/>
          <w:sz w:val="24"/>
        </w:rPr>
      </w:pPr>
    </w:p>
    <w:p w14:paraId="1B2E2B06" w14:textId="77777777" w:rsidR="003A25E8" w:rsidRPr="006C13DF" w:rsidRDefault="003A25E8" w:rsidP="003A25E8">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55354E02" w14:textId="77777777" w:rsidR="003A25E8" w:rsidRPr="006C13DF" w:rsidRDefault="003A25E8" w:rsidP="003A25E8">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ДЪРЖАВНО ПРЕДПРИЯТИЕ „ПРИСТАНИЩНА ИНФРАСТРУКТУРА“ (ДППИ)</w:t>
      </w:r>
    </w:p>
    <w:p w14:paraId="78FE91D8" w14:textId="77777777" w:rsidR="003A25E8" w:rsidRPr="006C13DF" w:rsidRDefault="003A25E8" w:rsidP="003A25E8">
      <w:pPr>
        <w:spacing w:after="0" w:line="240" w:lineRule="auto"/>
        <w:jc w:val="both"/>
        <w:rPr>
          <w:rFonts w:ascii="Times New Roman" w:hAnsi="Times New Roman" w:cs="Times New Roman"/>
          <w:b/>
          <w:bCs/>
          <w:sz w:val="24"/>
          <w:szCs w:val="24"/>
        </w:rPr>
      </w:pPr>
    </w:p>
    <w:p w14:paraId="592DF39E" w14:textId="77777777" w:rsidR="003A25E8" w:rsidRPr="006C13DF" w:rsidRDefault="003A25E8" w:rsidP="003A25E8">
      <w:pPr>
        <w:spacing w:after="0" w:line="240" w:lineRule="auto"/>
        <w:jc w:val="both"/>
        <w:rPr>
          <w:rFonts w:ascii="Times New Roman" w:eastAsiaTheme="minorEastAsia" w:hAnsi="Times New Roman" w:cs="Times New Roman"/>
          <w:b/>
          <w:sz w:val="24"/>
          <w:szCs w:val="24"/>
        </w:rPr>
      </w:pPr>
      <w:r w:rsidRPr="006C13DF">
        <w:rPr>
          <w:rFonts w:ascii="Times New Roman" w:eastAsiaTheme="minorEastAsia" w:hAnsi="Times New Roman" w:cs="Times New Roman"/>
          <w:b/>
          <w:sz w:val="24"/>
          <w:szCs w:val="24"/>
        </w:rPr>
        <w:t xml:space="preserve">1.1.18. Насърчаване на заетостта сред възрастните хора със специфични знания и опит в областта на пристанищната инфраструктура </w:t>
      </w:r>
    </w:p>
    <w:p w14:paraId="52E7E0D2" w14:textId="77777777" w:rsidR="003A25E8" w:rsidRPr="006C13DF" w:rsidRDefault="003A25E8" w:rsidP="003A25E8">
      <w:pPr>
        <w:spacing w:after="0" w:line="240" w:lineRule="auto"/>
        <w:jc w:val="both"/>
        <w:rPr>
          <w:rFonts w:ascii="Times New Roman" w:eastAsiaTheme="minorEastAsia" w:hAnsi="Times New Roman" w:cs="Times New Roman"/>
          <w:b/>
          <w:sz w:val="24"/>
          <w:szCs w:val="24"/>
        </w:rPr>
      </w:pPr>
    </w:p>
    <w:p w14:paraId="24A8ABC3" w14:textId="77777777" w:rsidR="003A25E8" w:rsidRPr="006C13DF" w:rsidRDefault="003A25E8" w:rsidP="003A25E8">
      <w:pPr>
        <w:spacing w:after="0" w:line="240" w:lineRule="auto"/>
        <w:ind w:firstLine="708"/>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За периода 2023 – 2024 г. ДППИ е осигурило заетост на възрастни хора със специфични знания и опит в областта на пристанищната инфраструктура. Данните за осигурените ресурси представляват финансови средства за работни заплати от бюджета на </w:t>
      </w:r>
      <w:r w:rsidRPr="006C13DF">
        <w:rPr>
          <w:rFonts w:ascii="Times New Roman" w:eastAsia="Calibri" w:hAnsi="Times New Roman" w:cs="Times New Roman"/>
          <w:sz w:val="24"/>
          <w:szCs w:val="24"/>
        </w:rPr>
        <w:t>ДППИ</w:t>
      </w:r>
      <w:r w:rsidRPr="006C13DF">
        <w:rPr>
          <w:rFonts w:ascii="Times New Roman" w:eastAsia="Times New Roman" w:hAnsi="Times New Roman" w:cs="Times New Roman"/>
          <w:sz w:val="24"/>
          <w:szCs w:val="24"/>
          <w:lang w:eastAsia="bg-BG"/>
        </w:rPr>
        <w:t xml:space="preserve"> в размер на </w:t>
      </w:r>
      <w:r w:rsidRPr="006C13DF">
        <w:rPr>
          <w:rFonts w:ascii="Times New Roman" w:eastAsia="Times New Roman" w:hAnsi="Times New Roman" w:cs="Times New Roman"/>
          <w:sz w:val="24"/>
          <w:szCs w:val="24"/>
          <w:lang w:val="en-US" w:eastAsia="bg-BG"/>
        </w:rPr>
        <w:t>671 922</w:t>
      </w:r>
      <w:r w:rsidRPr="006C13DF">
        <w:rPr>
          <w:rFonts w:ascii="Times New Roman" w:eastAsia="Times New Roman" w:hAnsi="Times New Roman" w:cs="Times New Roman"/>
          <w:sz w:val="24"/>
          <w:szCs w:val="24"/>
          <w:lang w:eastAsia="bg-BG"/>
        </w:rPr>
        <w:t xml:space="preserve"> лв. за 2023 г. и на </w:t>
      </w:r>
      <w:r w:rsidRPr="006C13DF">
        <w:rPr>
          <w:rFonts w:ascii="Times New Roman" w:eastAsia="Times New Roman" w:hAnsi="Times New Roman" w:cs="Times New Roman"/>
          <w:sz w:val="24"/>
          <w:szCs w:val="24"/>
          <w:lang w:val="en-US" w:eastAsia="bg-BG"/>
        </w:rPr>
        <w:t>568</w:t>
      </w:r>
      <w:r w:rsidRPr="006C13DF">
        <w:rPr>
          <w:rFonts w:ascii="Times New Roman" w:eastAsia="Times New Roman" w:hAnsi="Times New Roman" w:cs="Times New Roman"/>
          <w:sz w:val="24"/>
          <w:szCs w:val="24"/>
          <w:lang w:eastAsia="bg-BG"/>
        </w:rPr>
        <w:t> </w:t>
      </w:r>
      <w:r w:rsidRPr="006C13DF">
        <w:rPr>
          <w:rFonts w:ascii="Times New Roman" w:eastAsia="Times New Roman" w:hAnsi="Times New Roman" w:cs="Times New Roman"/>
          <w:sz w:val="24"/>
          <w:szCs w:val="24"/>
          <w:lang w:val="en-US" w:eastAsia="bg-BG"/>
        </w:rPr>
        <w:t>070</w:t>
      </w:r>
      <w:r w:rsidRPr="006C13DF">
        <w:rPr>
          <w:rFonts w:ascii="Times New Roman" w:eastAsia="Times New Roman" w:hAnsi="Times New Roman" w:cs="Times New Roman"/>
          <w:sz w:val="24"/>
          <w:szCs w:val="24"/>
          <w:lang w:eastAsia="bg-BG"/>
        </w:rPr>
        <w:t xml:space="preserve"> лв. за 2024 г. </w:t>
      </w:r>
    </w:p>
    <w:p w14:paraId="75D218A6" w14:textId="77777777" w:rsidR="003A25E8" w:rsidRPr="006C13DF" w:rsidRDefault="003A25E8" w:rsidP="003A25E8">
      <w:pPr>
        <w:spacing w:after="0" w:line="240" w:lineRule="auto"/>
        <w:ind w:firstLine="708"/>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Предоставените продукти/услуги са свързани с </w:t>
      </w:r>
      <w:r w:rsidRPr="002D4D0F">
        <w:rPr>
          <w:rFonts w:ascii="Times New Roman" w:eastAsia="Times New Roman" w:hAnsi="Times New Roman" w:cs="Times New Roman"/>
          <w:b/>
          <w:sz w:val="24"/>
          <w:szCs w:val="24"/>
          <w:lang w:eastAsia="bg-BG"/>
        </w:rPr>
        <w:t xml:space="preserve">осигуряване на заетост сред възрастните хора </w:t>
      </w:r>
      <w:r w:rsidRPr="002D4D0F">
        <w:rPr>
          <w:rFonts w:ascii="Times New Roman" w:eastAsia="Times New Roman" w:hAnsi="Times New Roman" w:cs="Times New Roman"/>
          <w:sz w:val="24"/>
          <w:szCs w:val="24"/>
          <w:lang w:eastAsia="bg-BG"/>
        </w:rPr>
        <w:t>със специфични знания и опит в областта на пристанищната инфраструктура и</w:t>
      </w:r>
      <w:r w:rsidRPr="002D4D0F">
        <w:rPr>
          <w:rFonts w:ascii="Times New Roman" w:eastAsia="Times New Roman" w:hAnsi="Times New Roman" w:cs="Times New Roman"/>
          <w:b/>
          <w:sz w:val="24"/>
          <w:szCs w:val="24"/>
          <w:lang w:eastAsia="bg-BG"/>
        </w:rPr>
        <w:t xml:space="preserve"> предаване на знания и умения на млади специалисти</w:t>
      </w:r>
      <w:r w:rsidRPr="006C13DF">
        <w:rPr>
          <w:rFonts w:ascii="Times New Roman" w:eastAsia="Times New Roman" w:hAnsi="Times New Roman" w:cs="Times New Roman"/>
          <w:sz w:val="24"/>
          <w:szCs w:val="24"/>
          <w:lang w:eastAsia="bg-BG"/>
        </w:rPr>
        <w:t xml:space="preserve">. Осигурена е приемственост на знанията в предприятието. </w:t>
      </w:r>
      <w:r w:rsidRPr="002D4D0F">
        <w:rPr>
          <w:rFonts w:ascii="Times New Roman" w:eastAsia="Times New Roman" w:hAnsi="Times New Roman" w:cs="Times New Roman"/>
          <w:sz w:val="24"/>
          <w:szCs w:val="24"/>
          <w:lang w:eastAsia="bg-BG"/>
        </w:rPr>
        <w:t>Броят на заетите възрастни хора</w:t>
      </w:r>
      <w:r w:rsidRPr="006C13DF">
        <w:rPr>
          <w:rFonts w:ascii="Times New Roman" w:eastAsia="Times New Roman" w:hAnsi="Times New Roman" w:cs="Times New Roman"/>
          <w:sz w:val="24"/>
          <w:szCs w:val="24"/>
          <w:lang w:eastAsia="bg-BG"/>
        </w:rPr>
        <w:t xml:space="preserve"> със </w:t>
      </w:r>
      <w:r w:rsidRPr="006C13DF">
        <w:rPr>
          <w:rFonts w:ascii="Times New Roman" w:eastAsia="Times New Roman" w:hAnsi="Times New Roman" w:cs="Times New Roman"/>
          <w:sz w:val="24"/>
          <w:szCs w:val="24"/>
          <w:lang w:eastAsia="bg-BG"/>
        </w:rPr>
        <w:lastRenderedPageBreak/>
        <w:t>специфични знания и опит в областта на пристанищната инфраструктура</w:t>
      </w:r>
      <w:r w:rsidRPr="006C13DF">
        <w:rPr>
          <w:rFonts w:ascii="Times New Roman" w:eastAsia="Times New Roman" w:hAnsi="Times New Roman" w:cs="Times New Roman"/>
          <w:sz w:val="24"/>
          <w:szCs w:val="24"/>
          <w:lang w:val="en-US" w:eastAsia="bg-BG"/>
        </w:rPr>
        <w:t xml:space="preserve"> </w:t>
      </w:r>
      <w:r w:rsidRPr="006C13DF">
        <w:rPr>
          <w:rFonts w:ascii="Times New Roman" w:eastAsia="Times New Roman" w:hAnsi="Times New Roman" w:cs="Times New Roman"/>
          <w:sz w:val="24"/>
          <w:szCs w:val="24"/>
          <w:lang w:eastAsia="bg-BG"/>
        </w:rPr>
        <w:t>за отчетния период е 24 бр. (13 бр. за 2023 г. и 11 бр. за 2024 г.). Младите специалисти, приели знанията и опита на възрастните хора за отчетния период са 23 бр. (11 бр. за 2023 г. и 12 бр. за 2024 г.).</w:t>
      </w:r>
    </w:p>
    <w:p w14:paraId="18089D15" w14:textId="77777777" w:rsidR="003A25E8" w:rsidRPr="006C13DF" w:rsidRDefault="003A25E8" w:rsidP="003A25E8">
      <w:pPr>
        <w:spacing w:after="0" w:line="240" w:lineRule="auto"/>
        <w:ind w:firstLine="708"/>
        <w:jc w:val="both"/>
        <w:rPr>
          <w:rFonts w:ascii="Times New Roman" w:eastAsia="Times New Roman" w:hAnsi="Times New Roman" w:cs="Times New Roman"/>
          <w:bCs/>
          <w:sz w:val="24"/>
          <w:szCs w:val="24"/>
          <w:lang w:eastAsia="bg-BG"/>
        </w:rPr>
      </w:pPr>
      <w:r w:rsidRPr="006C13DF">
        <w:rPr>
          <w:rFonts w:ascii="Times New Roman" w:eastAsia="Times New Roman" w:hAnsi="Times New Roman" w:cs="Times New Roman"/>
          <w:sz w:val="24"/>
          <w:szCs w:val="24"/>
          <w:lang w:eastAsia="bg-BG"/>
        </w:rPr>
        <w:t xml:space="preserve">Мярката е изпълнена в </w:t>
      </w:r>
      <w:r w:rsidRPr="006C13DF">
        <w:rPr>
          <w:rFonts w:ascii="Times New Roman" w:eastAsia="Times New Roman" w:hAnsi="Times New Roman" w:cs="Times New Roman"/>
          <w:bCs/>
          <w:sz w:val="24"/>
          <w:szCs w:val="24"/>
          <w:lang w:eastAsia="bg-BG"/>
        </w:rPr>
        <w:t xml:space="preserve">структурите на ДППИ на територията на цялата страна и </w:t>
      </w:r>
      <w:r w:rsidRPr="006C13DF">
        <w:rPr>
          <w:rFonts w:ascii="Times New Roman" w:eastAsia="Times New Roman" w:hAnsi="Times New Roman" w:cs="Times New Roman"/>
          <w:sz w:val="24"/>
          <w:szCs w:val="24"/>
          <w:lang w:eastAsia="bg-BG"/>
        </w:rPr>
        <w:t>оказва въздействие в пет района на страната – София-град, Бургас, Варна, Русе и Лом, където са разположени главното управление, четири териториални и три специализирани поделения на предприятието.</w:t>
      </w:r>
    </w:p>
    <w:p w14:paraId="1D7EDD03" w14:textId="77777777" w:rsidR="00B237EC" w:rsidRPr="006C13DF" w:rsidRDefault="00B237EC" w:rsidP="00B237EC">
      <w:pPr>
        <w:spacing w:after="0" w:line="240" w:lineRule="auto"/>
        <w:ind w:firstLine="708"/>
        <w:jc w:val="both"/>
        <w:rPr>
          <w:rFonts w:ascii="Times New Roman" w:hAnsi="Times New Roman" w:cs="Times New Roman"/>
          <w:b/>
          <w:bCs/>
          <w:sz w:val="24"/>
        </w:rPr>
      </w:pPr>
    </w:p>
    <w:p w14:paraId="26F18047" w14:textId="77777777" w:rsidR="00013003" w:rsidRPr="006C13DF" w:rsidRDefault="00013003" w:rsidP="00013003">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19D2E283" w14:textId="77777777" w:rsidR="00013003" w:rsidRPr="006C13DF" w:rsidRDefault="00013003" w:rsidP="00013003">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„БДЖ – ПЪТНИЧЕСКИ ПРЕВОЗИ“ ЕООД И „БДЖ – ТОВАРНИ ПРЕВОЗИ“ ЕООД</w:t>
      </w:r>
    </w:p>
    <w:p w14:paraId="4A487057" w14:textId="77777777" w:rsidR="00013003" w:rsidRPr="006C13DF" w:rsidRDefault="00013003" w:rsidP="00013003">
      <w:pPr>
        <w:spacing w:after="0" w:line="240" w:lineRule="auto"/>
        <w:jc w:val="center"/>
        <w:rPr>
          <w:rFonts w:ascii="Times New Roman" w:hAnsi="Times New Roman" w:cs="Times New Roman"/>
          <w:b/>
          <w:bCs/>
          <w:sz w:val="24"/>
        </w:rPr>
      </w:pPr>
    </w:p>
    <w:p w14:paraId="580A8EA6" w14:textId="77777777" w:rsidR="00B237EC" w:rsidRPr="006C13DF" w:rsidRDefault="00B237EC" w:rsidP="00013003">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1.1.19. Използване и предаване на професионалния опит на по-възрастните служители като обучители в Център за професионално обучение към „БДЖ – Пътнически превози“ ЕООД</w:t>
      </w:r>
    </w:p>
    <w:p w14:paraId="280F565D" w14:textId="77777777" w:rsidR="00B237EC" w:rsidRPr="006C13DF" w:rsidRDefault="00B237EC" w:rsidP="00013003">
      <w:pPr>
        <w:spacing w:after="0" w:line="240" w:lineRule="auto"/>
        <w:ind w:firstLine="708"/>
        <w:jc w:val="both"/>
        <w:rPr>
          <w:rFonts w:ascii="Times New Roman" w:hAnsi="Times New Roman" w:cs="Times New Roman"/>
          <w:b/>
          <w:bCs/>
          <w:sz w:val="24"/>
        </w:rPr>
      </w:pPr>
    </w:p>
    <w:p w14:paraId="6F710260" w14:textId="77777777" w:rsidR="00013003" w:rsidRPr="006C13DF" w:rsidRDefault="00013003" w:rsidP="00013003">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t xml:space="preserve">Използването на лица, навършили 65-годишна възраст като лектори в организираните от Центъра за професионално обучение (ЦПО) към „БДЖ – Пътнически превози“ ЕООД има за цел предаването на техния ценен, дългогодишен професионален опит, знания и умения на по-младите обучаващи се, както и осигуряване на възможности за подобряване на качеството им на живот. Изпълнението на тази мярка се постига чрез сключване на граждански договори с обучители над 65-годишна възраст за провеждане на различни обучения срещу заплащане на съответното лекторско възнаграждение. </w:t>
      </w:r>
    </w:p>
    <w:p w14:paraId="5D751FD9" w14:textId="77777777" w:rsidR="00013003" w:rsidRDefault="00013003" w:rsidP="00013003">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 xml:space="preserve">За периода 2023 – 2024 г. ЦПО е сключил общо </w:t>
      </w:r>
      <w:r w:rsidRPr="002D4D0F">
        <w:rPr>
          <w:rFonts w:ascii="Times New Roman" w:eastAsia="Calibri" w:hAnsi="Times New Roman" w:cs="Times New Roman"/>
          <w:b/>
          <w:sz w:val="24"/>
          <w:szCs w:val="24"/>
        </w:rPr>
        <w:t>82 бр. договора с лица над 65-годишна възраст</w:t>
      </w:r>
      <w:r w:rsidRPr="006C13DF">
        <w:rPr>
          <w:rFonts w:ascii="Times New Roman" w:eastAsia="Calibri" w:hAnsi="Times New Roman" w:cs="Times New Roman"/>
          <w:sz w:val="24"/>
          <w:szCs w:val="24"/>
        </w:rPr>
        <w:t>, като разпределението им през годините е както следва:</w:t>
      </w:r>
    </w:p>
    <w:p w14:paraId="7153B526" w14:textId="77777777" w:rsidR="00013003" w:rsidRPr="002D4D0F" w:rsidRDefault="002D4D0F" w:rsidP="00554703">
      <w:pPr>
        <w:pStyle w:val="ListParagraph"/>
        <w:numPr>
          <w:ilvl w:val="0"/>
          <w:numId w:val="2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013003" w:rsidRPr="002D4D0F">
        <w:rPr>
          <w:rFonts w:ascii="Times New Roman" w:eastAsia="Times New Roman" w:hAnsi="Times New Roman" w:cs="Times New Roman"/>
          <w:sz w:val="24"/>
          <w:szCs w:val="24"/>
          <w:lang w:eastAsia="bg-BG"/>
        </w:rPr>
        <w:t>рез 2023 г. – 43 бр. договора;</w:t>
      </w:r>
    </w:p>
    <w:p w14:paraId="33597388" w14:textId="77777777" w:rsidR="00013003" w:rsidRPr="002D4D0F" w:rsidRDefault="002D4D0F" w:rsidP="00554703">
      <w:pPr>
        <w:pStyle w:val="ListParagraph"/>
        <w:numPr>
          <w:ilvl w:val="0"/>
          <w:numId w:val="2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013003" w:rsidRPr="002D4D0F">
        <w:rPr>
          <w:rFonts w:ascii="Times New Roman" w:eastAsia="Times New Roman" w:hAnsi="Times New Roman" w:cs="Times New Roman"/>
          <w:sz w:val="24"/>
          <w:szCs w:val="24"/>
          <w:lang w:eastAsia="bg-BG"/>
        </w:rPr>
        <w:t>рез 2024 г. – 39 бр. договора.</w:t>
      </w:r>
    </w:p>
    <w:p w14:paraId="09B204A6" w14:textId="77777777" w:rsidR="00013003" w:rsidRPr="006C13DF" w:rsidRDefault="00013003" w:rsidP="00013003">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t xml:space="preserve">Общият брутен размер на доходите на лекторите през 2023 г. е в размер на </w:t>
      </w:r>
      <w:r w:rsidR="002D4D0F">
        <w:rPr>
          <w:rFonts w:ascii="Times New Roman" w:eastAsia="Calibri" w:hAnsi="Times New Roman" w:cs="Times New Roman"/>
          <w:sz w:val="24"/>
          <w:szCs w:val="24"/>
        </w:rPr>
        <w:br/>
      </w:r>
      <w:r w:rsidRPr="006C13DF">
        <w:rPr>
          <w:rFonts w:ascii="Times New Roman" w:eastAsia="Calibri" w:hAnsi="Times New Roman" w:cs="Times New Roman"/>
          <w:sz w:val="24"/>
          <w:szCs w:val="24"/>
        </w:rPr>
        <w:t xml:space="preserve">17 826 лв., а през 2024 г. – в размер на 20 754 лв. </w:t>
      </w:r>
    </w:p>
    <w:p w14:paraId="0D68F86C" w14:textId="77777777" w:rsidR="002D4D0F" w:rsidRPr="002D4D0F" w:rsidRDefault="002D4D0F" w:rsidP="002D4D0F">
      <w:pPr>
        <w:spacing w:after="0" w:line="240" w:lineRule="auto"/>
        <w:jc w:val="both"/>
        <w:rPr>
          <w:rFonts w:ascii="Times New Roman" w:hAnsi="Times New Roman" w:cs="Times New Roman"/>
          <w:bCs/>
          <w:sz w:val="24"/>
        </w:rPr>
      </w:pPr>
    </w:p>
    <w:p w14:paraId="0F0F0FD8" w14:textId="77777777" w:rsidR="00013003" w:rsidRPr="006C13DF" w:rsidRDefault="00013003" w:rsidP="00013003">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4FDF8552" w14:textId="77777777" w:rsidR="00013003" w:rsidRPr="006C13DF" w:rsidRDefault="00013003" w:rsidP="00013003">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„БДЖ – ПЪТНИЧЕСКИ ПРЕВОЗИ“ ЕООД И „БДЖ – ТОВАРНИ ПРЕВОЗИ“ ЕООД</w:t>
      </w:r>
    </w:p>
    <w:p w14:paraId="4D0A68F0" w14:textId="77777777" w:rsidR="00013003" w:rsidRPr="006C13DF" w:rsidRDefault="00013003" w:rsidP="00013003">
      <w:pPr>
        <w:spacing w:after="0" w:line="240" w:lineRule="auto"/>
        <w:jc w:val="both"/>
        <w:rPr>
          <w:rFonts w:ascii="Times New Roman" w:hAnsi="Times New Roman" w:cs="Times New Roman"/>
          <w:b/>
          <w:bCs/>
          <w:sz w:val="24"/>
        </w:rPr>
      </w:pPr>
    </w:p>
    <w:p w14:paraId="2368AA56" w14:textId="77777777" w:rsidR="00013003" w:rsidRPr="006C13DF" w:rsidRDefault="00B237EC" w:rsidP="00013003">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1.1.20. Осигуряване на заетост на лица в пенсионна възраст</w:t>
      </w:r>
    </w:p>
    <w:p w14:paraId="015B7558" w14:textId="77777777" w:rsidR="00013003" w:rsidRPr="006C13DF" w:rsidRDefault="00013003" w:rsidP="00013003">
      <w:pPr>
        <w:spacing w:after="0" w:line="240" w:lineRule="auto"/>
        <w:jc w:val="both"/>
        <w:rPr>
          <w:rFonts w:ascii="Times New Roman" w:hAnsi="Times New Roman" w:cs="Times New Roman"/>
          <w:b/>
          <w:bCs/>
          <w:sz w:val="24"/>
        </w:rPr>
      </w:pPr>
    </w:p>
    <w:p w14:paraId="2CB16B1D" w14:textId="77777777" w:rsidR="00013003" w:rsidRPr="006C13DF" w:rsidRDefault="00013003" w:rsidP="00013003">
      <w:pPr>
        <w:spacing w:after="0" w:line="240" w:lineRule="auto"/>
        <w:jc w:val="both"/>
        <w:rPr>
          <w:rFonts w:ascii="Times New Roman" w:hAnsi="Times New Roman" w:cs="Times New Roman"/>
          <w:bCs/>
          <w:sz w:val="24"/>
        </w:rPr>
      </w:pPr>
      <w:r w:rsidRPr="006C13DF">
        <w:rPr>
          <w:rFonts w:ascii="Times New Roman" w:hAnsi="Times New Roman" w:cs="Times New Roman"/>
          <w:bCs/>
          <w:sz w:val="24"/>
        </w:rPr>
        <w:tab/>
        <w:t xml:space="preserve">За насърчаване активния живот на възрастните хора, предоставяне на възможност за трудова заетост на лица в пенсионна възраст и предаване на знанията и уменията им на млади служители, през 2023 г. в структурата на „БДЖ – Пътнически превози“ ЕООД на територията на цялата страна е имало </w:t>
      </w:r>
      <w:r w:rsidRPr="002D4D0F">
        <w:rPr>
          <w:rFonts w:ascii="Times New Roman" w:hAnsi="Times New Roman" w:cs="Times New Roman"/>
          <w:b/>
          <w:bCs/>
          <w:sz w:val="24"/>
        </w:rPr>
        <w:t>227 бр. работещи лица след като са придобили и/или упражнили право на пенсия за осигурителен стаж и възраст</w:t>
      </w:r>
      <w:r w:rsidRPr="006C13DF">
        <w:rPr>
          <w:rFonts w:ascii="Times New Roman" w:hAnsi="Times New Roman" w:cs="Times New Roman"/>
          <w:bCs/>
          <w:sz w:val="24"/>
        </w:rPr>
        <w:t xml:space="preserve">, а през 2024 г. – </w:t>
      </w:r>
      <w:r w:rsidRPr="002D4D0F">
        <w:rPr>
          <w:rFonts w:ascii="Times New Roman" w:hAnsi="Times New Roman" w:cs="Times New Roman"/>
          <w:b/>
          <w:bCs/>
          <w:sz w:val="24"/>
        </w:rPr>
        <w:t>212 бр</w:t>
      </w:r>
      <w:r w:rsidRPr="006C13DF">
        <w:rPr>
          <w:rFonts w:ascii="Times New Roman" w:hAnsi="Times New Roman" w:cs="Times New Roman"/>
          <w:bCs/>
          <w:sz w:val="24"/>
        </w:rPr>
        <w:t xml:space="preserve">. </w:t>
      </w:r>
    </w:p>
    <w:p w14:paraId="2D670F94" w14:textId="77777777" w:rsidR="00013003" w:rsidRPr="006C13DF" w:rsidRDefault="002D4D0F" w:rsidP="002D4D0F">
      <w:pPr>
        <w:spacing w:after="0" w:line="240" w:lineRule="auto"/>
        <w:jc w:val="both"/>
        <w:rPr>
          <w:rFonts w:ascii="Times New Roman" w:hAnsi="Times New Roman" w:cs="Times New Roman"/>
          <w:bCs/>
          <w:sz w:val="24"/>
        </w:rPr>
      </w:pPr>
      <w:r>
        <w:rPr>
          <w:rFonts w:ascii="Times New Roman" w:hAnsi="Times New Roman" w:cs="Times New Roman"/>
          <w:bCs/>
          <w:sz w:val="24"/>
        </w:rPr>
        <w:tab/>
      </w:r>
      <w:r w:rsidR="00013003" w:rsidRPr="006C13DF">
        <w:rPr>
          <w:rFonts w:ascii="Times New Roman" w:hAnsi="Times New Roman" w:cs="Times New Roman"/>
          <w:bCs/>
          <w:sz w:val="24"/>
        </w:rPr>
        <w:t>„БДЖ – Товарни превози“ ЕООД осигурява заетост на лица в пенсионна възраст и сключва договори за услуги с пенсионирани служители от дружеството.</w:t>
      </w:r>
    </w:p>
    <w:p w14:paraId="65CD7026" w14:textId="77777777" w:rsidR="006A3331" w:rsidRPr="006C13DF" w:rsidRDefault="002D4D0F" w:rsidP="002D4D0F">
      <w:pPr>
        <w:spacing w:after="0" w:line="240" w:lineRule="auto"/>
        <w:jc w:val="both"/>
        <w:rPr>
          <w:rFonts w:ascii="Times New Roman" w:hAnsi="Times New Roman" w:cs="Times New Roman"/>
          <w:bCs/>
          <w:sz w:val="24"/>
        </w:rPr>
      </w:pPr>
      <w:r>
        <w:rPr>
          <w:rFonts w:ascii="Times New Roman" w:hAnsi="Times New Roman" w:cs="Times New Roman"/>
          <w:bCs/>
          <w:sz w:val="24"/>
        </w:rPr>
        <w:tab/>
      </w:r>
      <w:r w:rsidR="00013003" w:rsidRPr="006C13DF">
        <w:rPr>
          <w:rFonts w:ascii="Times New Roman" w:hAnsi="Times New Roman" w:cs="Times New Roman"/>
          <w:bCs/>
          <w:sz w:val="24"/>
        </w:rPr>
        <w:t>Чрез насърчаване на заетостта сред възрастните хора със специфични професионални знания и опит в областта на железопътния транспорт, се осигурява приемственост и кадрова обезпеченост.</w:t>
      </w:r>
    </w:p>
    <w:p w14:paraId="15546006" w14:textId="77777777" w:rsidR="006A3331" w:rsidRPr="002D4D0F" w:rsidRDefault="006A3331" w:rsidP="002D4D0F">
      <w:pPr>
        <w:spacing w:after="0" w:line="240" w:lineRule="auto"/>
        <w:ind w:firstLine="142"/>
        <w:jc w:val="both"/>
        <w:rPr>
          <w:rFonts w:ascii="Times New Roman" w:hAnsi="Times New Roman" w:cs="Times New Roman"/>
          <w:b/>
          <w:bCs/>
          <w:sz w:val="24"/>
        </w:rPr>
      </w:pPr>
    </w:p>
    <w:p w14:paraId="60F48BDC" w14:textId="77777777" w:rsidR="006A3331" w:rsidRPr="006C13DF" w:rsidRDefault="006A3331" w:rsidP="006A3331">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20A67447" w14:textId="77777777" w:rsidR="006A3331" w:rsidRPr="006C13DF" w:rsidRDefault="006A3331" w:rsidP="006A3331">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olor w:val="C0504D"/>
          <w:sz w:val="24"/>
          <w:szCs w:val="24"/>
        </w:rPr>
        <w:t xml:space="preserve">НАЦИОНАЛНА КОМПАНИЯ „ЖЕЛЕЗОПЪТНА ИНФРАСТРУКТУРА“ (НКЖИ) </w:t>
      </w:r>
    </w:p>
    <w:p w14:paraId="2CC79D36" w14:textId="77777777" w:rsidR="006A3331" w:rsidRPr="006C13DF" w:rsidRDefault="006A3331" w:rsidP="002D4D0F">
      <w:pPr>
        <w:spacing w:after="0" w:line="240" w:lineRule="auto"/>
        <w:jc w:val="both"/>
        <w:rPr>
          <w:rFonts w:ascii="Times New Roman" w:hAnsi="Times New Roman" w:cs="Times New Roman"/>
          <w:b/>
          <w:bCs/>
          <w:sz w:val="24"/>
        </w:rPr>
      </w:pPr>
    </w:p>
    <w:p w14:paraId="00E6FD28" w14:textId="77777777" w:rsidR="00B237EC" w:rsidRDefault="00B237EC" w:rsidP="002D4D0F">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1.1.21. Наемане на работа на възрастни хора, пенсионирани от системата на Държавно предприятие „Национална компания Железопътна инфраструктура“ (ДП НКЖИ), с цел използване на техните знания, умения, потенциал и пр</w:t>
      </w:r>
      <w:r w:rsidR="002D4D0F">
        <w:rPr>
          <w:rFonts w:ascii="Times New Roman" w:hAnsi="Times New Roman" w:cs="Times New Roman"/>
          <w:b/>
          <w:bCs/>
          <w:sz w:val="24"/>
        </w:rPr>
        <w:t>едаването им на млади служители</w:t>
      </w:r>
    </w:p>
    <w:p w14:paraId="388AA785" w14:textId="77777777" w:rsidR="002D4D0F" w:rsidRPr="006C13DF" w:rsidRDefault="002D4D0F" w:rsidP="002D4D0F">
      <w:pPr>
        <w:spacing w:after="0" w:line="240" w:lineRule="auto"/>
        <w:jc w:val="both"/>
        <w:rPr>
          <w:rFonts w:ascii="Times New Roman" w:hAnsi="Times New Roman" w:cs="Times New Roman"/>
          <w:b/>
          <w:bCs/>
          <w:sz w:val="24"/>
        </w:rPr>
      </w:pPr>
    </w:p>
    <w:p w14:paraId="3A4977CE" w14:textId="77777777" w:rsidR="006A3331" w:rsidRPr="006C13DF" w:rsidRDefault="002D4D0F" w:rsidP="002D4D0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6A3331" w:rsidRPr="006C13DF">
        <w:rPr>
          <w:rFonts w:ascii="Times New Roman" w:hAnsi="Times New Roman" w:cs="Times New Roman"/>
          <w:bCs/>
          <w:sz w:val="24"/>
          <w:szCs w:val="24"/>
        </w:rPr>
        <w:t xml:space="preserve">През 2023 г. заетите длъжности от </w:t>
      </w:r>
      <w:r w:rsidR="006A3331" w:rsidRPr="00E70467">
        <w:rPr>
          <w:rFonts w:ascii="Times New Roman" w:hAnsi="Times New Roman" w:cs="Times New Roman"/>
          <w:b/>
          <w:bCs/>
          <w:sz w:val="24"/>
          <w:szCs w:val="24"/>
        </w:rPr>
        <w:t>работещи пенсионери, пенсионирани от системата на НКЖИ</w:t>
      </w:r>
      <w:r w:rsidR="006A3331" w:rsidRPr="006C13DF">
        <w:rPr>
          <w:rFonts w:ascii="Times New Roman" w:hAnsi="Times New Roman" w:cs="Times New Roman"/>
          <w:bCs/>
          <w:sz w:val="24"/>
          <w:szCs w:val="24"/>
        </w:rPr>
        <w:t xml:space="preserve">, са 404 бр. Изплатените средства за работна заплата в годишен размер възлизат на стойност от 7 650 144 лв. (при средна брутна работна заплата за </w:t>
      </w:r>
      <w:r w:rsidR="006A3331" w:rsidRPr="006C13DF">
        <w:rPr>
          <w:rFonts w:ascii="Times New Roman" w:hAnsi="Times New Roman" w:cs="Times New Roman"/>
          <w:bCs/>
          <w:sz w:val="24"/>
          <w:szCs w:val="24"/>
        </w:rPr>
        <w:br/>
        <w:t>2023 г. – 1 578 лв.).</w:t>
      </w:r>
    </w:p>
    <w:p w14:paraId="2F85DAA6" w14:textId="77777777" w:rsidR="006A3331" w:rsidRPr="006C13DF" w:rsidRDefault="002D4D0F" w:rsidP="002D4D0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6A3331" w:rsidRPr="006C13DF">
        <w:rPr>
          <w:rFonts w:ascii="Times New Roman" w:hAnsi="Times New Roman" w:cs="Times New Roman"/>
          <w:bCs/>
          <w:sz w:val="24"/>
          <w:szCs w:val="24"/>
        </w:rPr>
        <w:t>През 2024 г. техният брой е 403 бр., като изплатените средства за работна заплата в годишен размер възлизат на стойност от 9 449 544 лв. (при средна брутна работна заплата за 2024 г. – 1 954 лв.).</w:t>
      </w:r>
    </w:p>
    <w:p w14:paraId="3D21F0B7" w14:textId="77777777" w:rsidR="006A3331" w:rsidRPr="00E70467" w:rsidRDefault="006A3331" w:rsidP="00E70467">
      <w:pPr>
        <w:spacing w:after="0" w:line="240" w:lineRule="auto"/>
        <w:jc w:val="both"/>
        <w:rPr>
          <w:rFonts w:ascii="Times New Roman" w:hAnsi="Times New Roman" w:cs="Times New Roman"/>
          <w:bCs/>
          <w:sz w:val="24"/>
        </w:rPr>
      </w:pPr>
    </w:p>
    <w:p w14:paraId="5A1C7139" w14:textId="77777777" w:rsidR="00102DB5" w:rsidRPr="006C13DF" w:rsidRDefault="00102DB5" w:rsidP="00102DB5">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10308242" w14:textId="77777777" w:rsidR="00102DB5" w:rsidRPr="006C13DF" w:rsidRDefault="00102DB5" w:rsidP="00102DB5">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olor w:val="C0504D"/>
          <w:sz w:val="24"/>
          <w:szCs w:val="24"/>
        </w:rPr>
        <w:t xml:space="preserve">НАЦИОНАЛНА КОМПАНИЯ „ЖЕЛЕЗОПЪТНА ИНФРАСТРУКТУРА“ (НКЖИ) </w:t>
      </w:r>
    </w:p>
    <w:p w14:paraId="3001DCB1" w14:textId="77777777" w:rsidR="00102DB5" w:rsidRPr="00E70467" w:rsidRDefault="00102DB5" w:rsidP="00E70467">
      <w:pPr>
        <w:spacing w:after="0" w:line="240" w:lineRule="auto"/>
        <w:jc w:val="both"/>
        <w:rPr>
          <w:rFonts w:ascii="Times New Roman" w:hAnsi="Times New Roman" w:cs="Times New Roman"/>
          <w:b/>
          <w:bCs/>
          <w:sz w:val="24"/>
        </w:rPr>
      </w:pPr>
    </w:p>
    <w:p w14:paraId="527C4D6A" w14:textId="77777777" w:rsidR="00102DB5" w:rsidRPr="006C13DF" w:rsidRDefault="00102DB5" w:rsidP="00102DB5">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1.1.22. Управление на процеса по използване и предаване на професионалния опит на по-възрастните служители, чрез програми за менторство и приемственост</w:t>
      </w:r>
    </w:p>
    <w:p w14:paraId="05B2B08E" w14:textId="77777777" w:rsidR="00102DB5" w:rsidRPr="006C13DF" w:rsidRDefault="00102DB5" w:rsidP="00102DB5">
      <w:pPr>
        <w:spacing w:after="0" w:line="240" w:lineRule="auto"/>
        <w:jc w:val="both"/>
        <w:rPr>
          <w:rFonts w:ascii="Times New Roman" w:hAnsi="Times New Roman" w:cs="Times New Roman"/>
          <w:b/>
          <w:bCs/>
          <w:i/>
          <w:sz w:val="24"/>
        </w:rPr>
      </w:pPr>
      <w:r w:rsidRPr="006C13DF">
        <w:rPr>
          <w:rFonts w:ascii="Times New Roman" w:hAnsi="Times New Roman" w:cs="Times New Roman"/>
          <w:b/>
          <w:bCs/>
          <w:i/>
          <w:sz w:val="24"/>
        </w:rPr>
        <w:tab/>
      </w:r>
    </w:p>
    <w:p w14:paraId="332BF148" w14:textId="77777777" w:rsidR="00102DB5" w:rsidRPr="006C13DF" w:rsidRDefault="00102DB5" w:rsidP="00102DB5">
      <w:pPr>
        <w:spacing w:after="0" w:line="240" w:lineRule="auto"/>
        <w:jc w:val="both"/>
        <w:rPr>
          <w:rFonts w:ascii="Times New Roman" w:eastAsia="Calibri" w:hAnsi="Times New Roman" w:cs="Times New Roman"/>
          <w:bCs/>
          <w:kern w:val="2"/>
          <w:sz w:val="24"/>
          <w:szCs w:val="24"/>
          <w14:ligatures w14:val="standardContextual"/>
        </w:rPr>
      </w:pPr>
      <w:r w:rsidRPr="006C13DF">
        <w:rPr>
          <w:rFonts w:ascii="Times New Roman" w:hAnsi="Times New Roman" w:cs="Times New Roman"/>
          <w:b/>
          <w:bCs/>
          <w:i/>
          <w:sz w:val="24"/>
        </w:rPr>
        <w:tab/>
      </w:r>
      <w:r w:rsidRPr="006C13DF">
        <w:rPr>
          <w:rFonts w:ascii="Times New Roman" w:eastAsia="Calibri" w:hAnsi="Times New Roman" w:cs="Times New Roman"/>
          <w:bCs/>
          <w:kern w:val="2"/>
          <w:sz w:val="24"/>
          <w:szCs w:val="24"/>
          <w14:ligatures w14:val="standardContextual"/>
        </w:rPr>
        <w:t xml:space="preserve">През 2023 г. изплатените средства за възнаграждения на </w:t>
      </w:r>
      <w:r w:rsidRPr="00E70467">
        <w:rPr>
          <w:rFonts w:ascii="Times New Roman" w:eastAsia="Calibri" w:hAnsi="Times New Roman" w:cs="Times New Roman"/>
          <w:b/>
          <w:bCs/>
          <w:kern w:val="2"/>
          <w:sz w:val="24"/>
          <w:szCs w:val="24"/>
          <w14:ligatures w14:val="standardContextual"/>
        </w:rPr>
        <w:t>ментори</w:t>
      </w:r>
      <w:r w:rsidRPr="006C13DF">
        <w:rPr>
          <w:rFonts w:ascii="Times New Roman" w:eastAsia="Calibri" w:hAnsi="Times New Roman" w:cs="Times New Roman"/>
          <w:bCs/>
          <w:kern w:val="2"/>
          <w:sz w:val="24"/>
          <w:szCs w:val="24"/>
          <w14:ligatures w14:val="standardContextual"/>
        </w:rPr>
        <w:t xml:space="preserve"> са</w:t>
      </w:r>
      <w:r w:rsidRPr="006C13DF">
        <w:rPr>
          <w:rFonts w:ascii="Times New Roman" w:eastAsia="Calibri" w:hAnsi="Times New Roman" w:cs="Times New Roman"/>
          <w:bCs/>
          <w:kern w:val="2"/>
          <w:sz w:val="24"/>
          <w:szCs w:val="24"/>
          <w:lang w:val="en-US"/>
          <w14:ligatures w14:val="standardContextual"/>
        </w:rPr>
        <w:t xml:space="preserve"> 26 913 </w:t>
      </w:r>
      <w:r w:rsidRPr="006C13DF">
        <w:rPr>
          <w:rFonts w:ascii="Times New Roman" w:eastAsia="Calibri" w:hAnsi="Times New Roman" w:cs="Times New Roman"/>
          <w:bCs/>
          <w:kern w:val="2"/>
          <w:sz w:val="24"/>
          <w:szCs w:val="24"/>
          <w14:ligatures w14:val="standardContextual"/>
        </w:rPr>
        <w:t xml:space="preserve">лв. за </w:t>
      </w:r>
      <w:r w:rsidRPr="006C13DF">
        <w:rPr>
          <w:rFonts w:ascii="Times New Roman" w:eastAsia="Calibri" w:hAnsi="Times New Roman" w:cs="Times New Roman"/>
          <w:bCs/>
          <w:kern w:val="2"/>
          <w:sz w:val="24"/>
          <w:szCs w:val="24"/>
          <w:lang w:val="en-US"/>
          <w14:ligatures w14:val="standardContextual"/>
        </w:rPr>
        <w:t>161</w:t>
      </w:r>
      <w:r w:rsidRPr="006C13DF">
        <w:rPr>
          <w:rFonts w:ascii="Times New Roman" w:eastAsia="Calibri" w:hAnsi="Times New Roman" w:cs="Times New Roman"/>
          <w:bCs/>
          <w:kern w:val="2"/>
          <w:sz w:val="24"/>
          <w:szCs w:val="24"/>
          <w14:ligatures w14:val="standardContextual"/>
        </w:rPr>
        <w:t xml:space="preserve"> бр. сключени договори/споразумения.</w:t>
      </w:r>
    </w:p>
    <w:p w14:paraId="37D42BC0" w14:textId="77777777" w:rsidR="00102DB5" w:rsidRPr="006C13DF" w:rsidRDefault="00102DB5" w:rsidP="00102DB5">
      <w:pPr>
        <w:spacing w:after="0" w:line="240" w:lineRule="auto"/>
        <w:ind w:firstLine="709"/>
        <w:jc w:val="both"/>
        <w:rPr>
          <w:rFonts w:ascii="Times New Roman" w:eastAsia="Calibri" w:hAnsi="Times New Roman" w:cs="Times New Roman"/>
          <w:bCs/>
          <w:kern w:val="2"/>
          <w:sz w:val="24"/>
          <w:szCs w:val="24"/>
          <w14:ligatures w14:val="standardContextual"/>
        </w:rPr>
      </w:pPr>
      <w:r w:rsidRPr="006C13DF">
        <w:rPr>
          <w:rFonts w:ascii="Times New Roman" w:eastAsia="Calibri" w:hAnsi="Times New Roman" w:cs="Times New Roman"/>
          <w:bCs/>
          <w:kern w:val="2"/>
          <w:sz w:val="24"/>
          <w:szCs w:val="24"/>
          <w14:ligatures w14:val="standardContextual"/>
        </w:rPr>
        <w:t>През 2024 г. изплатените средства за възнаграждения на ментори са</w:t>
      </w:r>
      <w:r w:rsidRPr="006C13DF">
        <w:rPr>
          <w:rFonts w:ascii="Times New Roman" w:eastAsia="Calibri" w:hAnsi="Times New Roman" w:cs="Times New Roman"/>
          <w:bCs/>
          <w:kern w:val="2"/>
          <w:sz w:val="24"/>
          <w:szCs w:val="24"/>
          <w:lang w:val="en-US"/>
          <w14:ligatures w14:val="standardContextual"/>
        </w:rPr>
        <w:t xml:space="preserve"> 36 103 </w:t>
      </w:r>
      <w:r w:rsidRPr="006C13DF">
        <w:rPr>
          <w:rFonts w:ascii="Times New Roman" w:eastAsia="Calibri" w:hAnsi="Times New Roman" w:cs="Times New Roman"/>
          <w:bCs/>
          <w:kern w:val="2"/>
          <w:sz w:val="24"/>
          <w:szCs w:val="24"/>
          <w14:ligatures w14:val="standardContextual"/>
        </w:rPr>
        <w:t>лв. за около 180 бр. сключени договори/споразумения.</w:t>
      </w:r>
    </w:p>
    <w:p w14:paraId="619F415C" w14:textId="77777777" w:rsidR="006A3331" w:rsidRPr="006C13DF" w:rsidRDefault="006A3331" w:rsidP="00B237EC">
      <w:pPr>
        <w:spacing w:after="0" w:line="240" w:lineRule="auto"/>
        <w:ind w:firstLine="708"/>
        <w:jc w:val="both"/>
        <w:rPr>
          <w:rFonts w:ascii="Times New Roman" w:hAnsi="Times New Roman" w:cs="Times New Roman"/>
          <w:b/>
          <w:bCs/>
          <w:i/>
          <w:sz w:val="24"/>
        </w:rPr>
      </w:pPr>
    </w:p>
    <w:p w14:paraId="359B53BE" w14:textId="77777777" w:rsidR="00102DB5" w:rsidRPr="006C13DF" w:rsidRDefault="00102DB5" w:rsidP="00102DB5">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22E87A64" w14:textId="77777777" w:rsidR="00102DB5" w:rsidRPr="006C13DF" w:rsidRDefault="00102DB5" w:rsidP="00102DB5">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olor w:val="C0504D"/>
          <w:sz w:val="24"/>
          <w:szCs w:val="24"/>
        </w:rPr>
        <w:t xml:space="preserve">НАЦИОНАЛНА КОМПАНИЯ „ЖЕЛЕЗОПЪТНА ИНФРАСТРУКТУРА“ (НКЖИ) </w:t>
      </w:r>
    </w:p>
    <w:p w14:paraId="4BAC040D" w14:textId="77777777" w:rsidR="00102DB5" w:rsidRPr="006C13DF" w:rsidRDefault="00102DB5" w:rsidP="00B237EC">
      <w:pPr>
        <w:spacing w:after="0" w:line="240" w:lineRule="auto"/>
        <w:ind w:firstLine="708"/>
        <w:jc w:val="both"/>
        <w:rPr>
          <w:rFonts w:ascii="Times New Roman" w:hAnsi="Times New Roman" w:cs="Times New Roman"/>
          <w:b/>
          <w:bCs/>
          <w:i/>
          <w:sz w:val="24"/>
        </w:rPr>
      </w:pPr>
    </w:p>
    <w:p w14:paraId="212449A1" w14:textId="77777777" w:rsidR="00B237EC" w:rsidRPr="006C13DF" w:rsidRDefault="00B237EC" w:rsidP="00102DB5">
      <w:pPr>
        <w:spacing w:after="0" w:line="240" w:lineRule="auto"/>
        <w:jc w:val="both"/>
        <w:rPr>
          <w:rFonts w:ascii="Times New Roman" w:hAnsi="Times New Roman" w:cs="Times New Roman"/>
          <w:b/>
          <w:bCs/>
          <w:sz w:val="24"/>
        </w:rPr>
      </w:pPr>
      <w:r w:rsidRPr="006C13DF">
        <w:rPr>
          <w:rFonts w:ascii="Times New Roman" w:hAnsi="Times New Roman" w:cs="Times New Roman"/>
          <w:b/>
          <w:bCs/>
          <w:sz w:val="24"/>
        </w:rPr>
        <w:t>1.1.23. Сключване на договори за услуги с пенсионирани служители от ДП НКЖИ</w:t>
      </w:r>
    </w:p>
    <w:p w14:paraId="08297657" w14:textId="77777777" w:rsidR="00B237EC" w:rsidRPr="006C13DF" w:rsidRDefault="00B237EC" w:rsidP="00102DB5">
      <w:pPr>
        <w:spacing w:after="0" w:line="240" w:lineRule="auto"/>
        <w:ind w:firstLine="708"/>
        <w:jc w:val="both"/>
        <w:rPr>
          <w:rFonts w:ascii="Times New Roman" w:hAnsi="Times New Roman" w:cs="Times New Roman"/>
          <w:b/>
          <w:bCs/>
          <w:sz w:val="24"/>
        </w:rPr>
      </w:pPr>
    </w:p>
    <w:p w14:paraId="39AD9AB5" w14:textId="77777777" w:rsidR="00102DB5" w:rsidRDefault="00102DB5" w:rsidP="00013003">
      <w:pPr>
        <w:spacing w:after="0" w:line="240" w:lineRule="auto"/>
        <w:ind w:firstLine="709"/>
        <w:jc w:val="both"/>
        <w:rPr>
          <w:rFonts w:ascii="Times New Roman" w:eastAsia="Calibri" w:hAnsi="Times New Roman" w:cs="Times New Roman"/>
          <w:bCs/>
          <w:kern w:val="2"/>
          <w:sz w:val="24"/>
          <w:szCs w:val="24"/>
          <w14:ligatures w14:val="standardContextual"/>
        </w:rPr>
      </w:pPr>
      <w:r w:rsidRPr="006C13DF">
        <w:rPr>
          <w:rFonts w:ascii="Times New Roman" w:eastAsia="Calibri" w:hAnsi="Times New Roman" w:cs="Times New Roman"/>
          <w:bCs/>
          <w:kern w:val="2"/>
          <w:sz w:val="24"/>
          <w:szCs w:val="24"/>
          <w14:ligatures w14:val="standardContextual"/>
        </w:rPr>
        <w:t xml:space="preserve">Сключените </w:t>
      </w:r>
      <w:r w:rsidRPr="00E70467">
        <w:rPr>
          <w:rFonts w:ascii="Times New Roman" w:eastAsia="Calibri" w:hAnsi="Times New Roman" w:cs="Times New Roman"/>
          <w:b/>
          <w:bCs/>
          <w:kern w:val="2"/>
          <w:sz w:val="24"/>
          <w:szCs w:val="24"/>
          <w14:ligatures w14:val="standardContextual"/>
        </w:rPr>
        <w:t>договори за услуги с пенсионирани служители от НКЖИ</w:t>
      </w:r>
      <w:r w:rsidRPr="006C13DF">
        <w:rPr>
          <w:rFonts w:ascii="Times New Roman" w:eastAsia="Calibri" w:hAnsi="Times New Roman" w:cs="Times New Roman"/>
          <w:bCs/>
          <w:kern w:val="2"/>
          <w:sz w:val="24"/>
          <w:szCs w:val="24"/>
          <w14:ligatures w14:val="standardContextual"/>
        </w:rPr>
        <w:t xml:space="preserve"> през 2023 г. са 15 бр. с изплатени финансови средства в размер на 136 810 лв., а през 2024 г. са 14 бр., като изплатените финансови средства са в размер на 163 514 лв. </w:t>
      </w:r>
    </w:p>
    <w:p w14:paraId="5414E6F2" w14:textId="77777777" w:rsidR="00172915" w:rsidRDefault="00172915" w:rsidP="00013003">
      <w:pPr>
        <w:spacing w:after="0" w:line="240" w:lineRule="auto"/>
        <w:ind w:firstLine="709"/>
        <w:jc w:val="both"/>
        <w:rPr>
          <w:rFonts w:ascii="Times New Roman" w:eastAsia="Calibri" w:hAnsi="Times New Roman" w:cs="Times New Roman"/>
          <w:bCs/>
          <w:kern w:val="2"/>
          <w:sz w:val="24"/>
          <w:szCs w:val="24"/>
          <w14:ligatures w14:val="standardContextual"/>
        </w:rPr>
      </w:pPr>
    </w:p>
    <w:p w14:paraId="40ECBFE9" w14:textId="77777777" w:rsidR="00172915" w:rsidRDefault="00172915" w:rsidP="00172915">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558B19FF" w14:textId="77777777" w:rsidR="00172915" w:rsidRPr="006C13DF" w:rsidRDefault="00172915" w:rsidP="00172915">
      <w:pPr>
        <w:spacing w:after="0" w:line="240" w:lineRule="auto"/>
        <w:jc w:val="center"/>
        <w:rPr>
          <w:rFonts w:ascii="Times New Roman" w:eastAsia="Calibri" w:hAnsi="Times New Roman" w:cs="Times New Roman"/>
          <w:b/>
          <w:caps/>
          <w:color w:val="C0504D"/>
          <w:sz w:val="24"/>
          <w:szCs w:val="24"/>
        </w:rPr>
      </w:pPr>
      <w:r>
        <w:rPr>
          <w:rFonts w:ascii="Times New Roman" w:eastAsia="Calibri" w:hAnsi="Times New Roman" w:cs="Times New Roman"/>
          <w:b/>
          <w:caps/>
          <w:color w:val="C0504D"/>
          <w:sz w:val="24"/>
          <w:szCs w:val="24"/>
        </w:rPr>
        <w:t xml:space="preserve">РЕГИОНАЛНА ДИРЕКЦИЯ „АВТОМОБИЛНА АДМИНИСТРАЦИЯ“ – СОФИЯ </w:t>
      </w:r>
    </w:p>
    <w:p w14:paraId="547128FF" w14:textId="77777777" w:rsidR="00172915" w:rsidRPr="006C13DF" w:rsidRDefault="00172915" w:rsidP="00013003">
      <w:pPr>
        <w:spacing w:after="0" w:line="240" w:lineRule="auto"/>
        <w:ind w:firstLine="709"/>
        <w:jc w:val="both"/>
        <w:rPr>
          <w:rFonts w:ascii="Times New Roman" w:eastAsia="Calibri" w:hAnsi="Times New Roman" w:cs="Times New Roman"/>
          <w:bCs/>
          <w:kern w:val="2"/>
          <w:sz w:val="24"/>
          <w:szCs w:val="24"/>
          <w14:ligatures w14:val="standardContextual"/>
        </w:rPr>
      </w:pPr>
    </w:p>
    <w:p w14:paraId="143EA4EB" w14:textId="77777777" w:rsidR="00B237EC" w:rsidRDefault="00B237EC" w:rsidP="00172915">
      <w:pPr>
        <w:spacing w:after="0" w:line="240" w:lineRule="auto"/>
        <w:jc w:val="both"/>
        <w:rPr>
          <w:rFonts w:ascii="Times New Roman" w:hAnsi="Times New Roman" w:cs="Times New Roman"/>
          <w:b/>
          <w:bCs/>
          <w:sz w:val="24"/>
        </w:rPr>
      </w:pPr>
      <w:r w:rsidRPr="00172915">
        <w:rPr>
          <w:rFonts w:ascii="Times New Roman" w:hAnsi="Times New Roman" w:cs="Times New Roman"/>
          <w:b/>
          <w:bCs/>
          <w:sz w:val="24"/>
        </w:rPr>
        <w:t>1.1.24. Наемане на работа на възрастни хора, пенсионирани от системата на ИА „Автомобилна администрация“ (ИААА), с цел използване на техните умения, потенциал и знания</w:t>
      </w:r>
    </w:p>
    <w:p w14:paraId="42497C86" w14:textId="77777777" w:rsidR="00172915" w:rsidRDefault="00172915" w:rsidP="00172915">
      <w:pPr>
        <w:spacing w:after="0" w:line="240" w:lineRule="auto"/>
        <w:jc w:val="both"/>
        <w:rPr>
          <w:rFonts w:ascii="Times New Roman" w:hAnsi="Times New Roman" w:cs="Times New Roman"/>
          <w:b/>
          <w:bCs/>
          <w:sz w:val="24"/>
        </w:rPr>
      </w:pPr>
    </w:p>
    <w:p w14:paraId="183B0084" w14:textId="77777777" w:rsidR="00172915" w:rsidRPr="00172915" w:rsidRDefault="00172915" w:rsidP="00172915">
      <w:pPr>
        <w:spacing w:after="0" w:line="240" w:lineRule="auto"/>
        <w:jc w:val="both"/>
        <w:rPr>
          <w:rFonts w:ascii="Times New Roman" w:hAnsi="Times New Roman" w:cs="Times New Roman"/>
          <w:bCs/>
          <w:sz w:val="24"/>
        </w:rPr>
      </w:pPr>
      <w:r>
        <w:rPr>
          <w:rFonts w:ascii="Times New Roman" w:hAnsi="Times New Roman" w:cs="Times New Roman"/>
          <w:b/>
          <w:bCs/>
          <w:sz w:val="24"/>
        </w:rPr>
        <w:tab/>
      </w:r>
      <w:r w:rsidRPr="00172915">
        <w:rPr>
          <w:rFonts w:ascii="Times New Roman" w:hAnsi="Times New Roman" w:cs="Times New Roman"/>
          <w:bCs/>
          <w:sz w:val="24"/>
        </w:rPr>
        <w:t>Наетите на работа възрастни хора, пенсионирани от системата на Изпълнителна агенция „Автомобилна</w:t>
      </w:r>
      <w:r>
        <w:rPr>
          <w:rFonts w:ascii="Times New Roman" w:hAnsi="Times New Roman" w:cs="Times New Roman"/>
          <w:bCs/>
          <w:sz w:val="24"/>
        </w:rPr>
        <w:t xml:space="preserve"> администрация“ за периода 2023 – </w:t>
      </w:r>
      <w:r w:rsidRPr="00172915">
        <w:rPr>
          <w:rFonts w:ascii="Times New Roman" w:hAnsi="Times New Roman" w:cs="Times New Roman"/>
          <w:bCs/>
          <w:sz w:val="24"/>
        </w:rPr>
        <w:t xml:space="preserve">2024 г. са 12 броя. </w:t>
      </w:r>
    </w:p>
    <w:p w14:paraId="2A8F87A5" w14:textId="77777777" w:rsidR="00013003" w:rsidRPr="006C13DF" w:rsidRDefault="00013003" w:rsidP="00BF78E9">
      <w:pPr>
        <w:pStyle w:val="ListParagraph"/>
        <w:spacing w:after="0" w:line="240" w:lineRule="auto"/>
        <w:ind w:left="0" w:firstLine="709"/>
        <w:jc w:val="both"/>
        <w:rPr>
          <w:rFonts w:ascii="Times New Roman" w:hAnsi="Times New Roman" w:cs="Times New Roman"/>
          <w:b/>
          <w:sz w:val="24"/>
          <w:szCs w:val="24"/>
        </w:rPr>
      </w:pPr>
    </w:p>
    <w:p w14:paraId="5F53878D" w14:textId="77777777" w:rsidR="00BF78E9" w:rsidRPr="006C13DF" w:rsidRDefault="00BF78E9" w:rsidP="00BF78E9">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aps/>
          <w:color w:val="C0504D"/>
          <w:sz w:val="24"/>
          <w:szCs w:val="24"/>
        </w:rPr>
        <w:t xml:space="preserve">Министерство на ЗЕМЕДЕЛИЕТО И ХРАНИТЕ </w:t>
      </w:r>
    </w:p>
    <w:p w14:paraId="2284186C" w14:textId="77777777" w:rsidR="00BF78E9" w:rsidRPr="006C13DF" w:rsidRDefault="00BF78E9" w:rsidP="00BF78E9">
      <w:pPr>
        <w:spacing w:after="0" w:line="240" w:lineRule="auto"/>
        <w:ind w:firstLine="708"/>
        <w:jc w:val="both"/>
        <w:rPr>
          <w:rFonts w:ascii="Times New Roman" w:hAnsi="Times New Roman" w:cs="Times New Roman"/>
          <w:b/>
          <w:bCs/>
          <w:i/>
          <w:sz w:val="24"/>
        </w:rPr>
      </w:pPr>
    </w:p>
    <w:p w14:paraId="40A9A5CD" w14:textId="77777777" w:rsidR="00B237EC" w:rsidRPr="006C13DF" w:rsidRDefault="00B237EC" w:rsidP="00BF78E9">
      <w:pPr>
        <w:spacing w:after="0" w:line="240" w:lineRule="auto"/>
        <w:jc w:val="both"/>
        <w:rPr>
          <w:rFonts w:ascii="Times New Roman" w:hAnsi="Times New Roman" w:cs="Times New Roman"/>
          <w:b/>
          <w:bCs/>
          <w:sz w:val="24"/>
          <w:szCs w:val="24"/>
        </w:rPr>
      </w:pPr>
      <w:r w:rsidRPr="006C13DF">
        <w:rPr>
          <w:rFonts w:ascii="Times New Roman" w:hAnsi="Times New Roman" w:cs="Times New Roman"/>
          <w:b/>
          <w:bCs/>
          <w:sz w:val="24"/>
          <w:szCs w:val="24"/>
        </w:rPr>
        <w:t>1.1.25. Предоставяне на съвети и консултации, които да подпомагат възрастни лица да стартират земеделска дейност и/или да развиват земеделските си стопанства</w:t>
      </w:r>
    </w:p>
    <w:p w14:paraId="474A76A6" w14:textId="77777777" w:rsidR="00BF78E9" w:rsidRPr="006C13DF" w:rsidRDefault="00BF78E9" w:rsidP="00BF78E9">
      <w:pPr>
        <w:spacing w:after="0" w:line="240" w:lineRule="auto"/>
        <w:jc w:val="both"/>
        <w:rPr>
          <w:rFonts w:ascii="Times New Roman" w:hAnsi="Times New Roman" w:cs="Times New Roman"/>
          <w:bCs/>
          <w:sz w:val="24"/>
          <w:szCs w:val="24"/>
        </w:rPr>
      </w:pPr>
    </w:p>
    <w:p w14:paraId="0EB69B98" w14:textId="77777777" w:rsidR="00BF78E9" w:rsidRDefault="00BF78E9" w:rsidP="00BF78E9">
      <w:pPr>
        <w:tabs>
          <w:tab w:val="left" w:pos="0"/>
        </w:tabs>
        <w:spacing w:after="0" w:line="240" w:lineRule="auto"/>
        <w:jc w:val="both"/>
        <w:rPr>
          <w:rFonts w:ascii="Times New Roman" w:eastAsia="Times New Roman" w:hAnsi="Times New Roman" w:cs="Times New Roman"/>
          <w:color w:val="000000"/>
          <w:sz w:val="24"/>
          <w:szCs w:val="24"/>
          <w:lang w:eastAsia="bg-BG"/>
        </w:rPr>
      </w:pPr>
      <w:r w:rsidRPr="006C13DF">
        <w:rPr>
          <w:rFonts w:ascii="Times New Roman" w:eastAsia="Times New Roman" w:hAnsi="Times New Roman" w:cs="Times New Roman"/>
          <w:color w:val="000000"/>
          <w:sz w:val="24"/>
          <w:szCs w:val="24"/>
          <w:lang w:eastAsia="bg-BG"/>
        </w:rPr>
        <w:tab/>
        <w:t xml:space="preserve">През периода 2023 – 2024 г. Национална служба за съвети в земеделието (НССЗ) е предоставила общо </w:t>
      </w:r>
      <w:r w:rsidRPr="006C13DF">
        <w:rPr>
          <w:rFonts w:ascii="Times New Roman" w:eastAsia="Times New Roman" w:hAnsi="Times New Roman" w:cs="Times New Roman"/>
          <w:b/>
          <w:color w:val="000000"/>
          <w:sz w:val="24"/>
          <w:szCs w:val="24"/>
          <w:lang w:eastAsia="bg-BG"/>
        </w:rPr>
        <w:t>69 187 консултации на 10 631 лица на възраст над 55 години</w:t>
      </w:r>
      <w:r w:rsidRPr="006C13DF">
        <w:rPr>
          <w:rFonts w:ascii="Times New Roman" w:eastAsia="Times New Roman" w:hAnsi="Times New Roman" w:cs="Times New Roman"/>
          <w:color w:val="000000"/>
          <w:sz w:val="24"/>
          <w:szCs w:val="24"/>
          <w:lang w:eastAsia="bg-BG"/>
        </w:rPr>
        <w:t xml:space="preserve"> за </w:t>
      </w:r>
      <w:r w:rsidRPr="006C13DF">
        <w:rPr>
          <w:rFonts w:ascii="Times New Roman" w:eastAsia="Times New Roman" w:hAnsi="Times New Roman" w:cs="Times New Roman"/>
          <w:color w:val="000000"/>
          <w:sz w:val="24"/>
          <w:szCs w:val="24"/>
          <w:lang w:eastAsia="bg-BG"/>
        </w:rPr>
        <w:lastRenderedPageBreak/>
        <w:t>стартиране и/или развитие на земеделските стопанства и за възможностите за подпомагане по национални и европейски мерки и интервенции в сектор „Земеделие“, от които:</w:t>
      </w:r>
    </w:p>
    <w:p w14:paraId="0E7BCF2B" w14:textId="77777777" w:rsidR="00BF78E9" w:rsidRDefault="00E70467" w:rsidP="00554703">
      <w:pPr>
        <w:pStyle w:val="ListParagraph"/>
        <w:numPr>
          <w:ilvl w:val="0"/>
          <w:numId w:val="29"/>
        </w:numPr>
        <w:tabs>
          <w:tab w:val="left" w:pos="0"/>
        </w:tabs>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п</w:t>
      </w:r>
      <w:r w:rsidR="00BF78E9" w:rsidRPr="00E70467">
        <w:rPr>
          <w:rFonts w:ascii="Times New Roman" w:eastAsia="Times New Roman" w:hAnsi="Times New Roman" w:cs="Times New Roman"/>
          <w:color w:val="000000"/>
          <w:sz w:val="24"/>
          <w:szCs w:val="24"/>
          <w:lang w:eastAsia="bg-BG"/>
        </w:rPr>
        <w:t>рез 2023 г. – 31 098 консултации на 5 237 лица;</w:t>
      </w:r>
    </w:p>
    <w:p w14:paraId="3EC759E5" w14:textId="77777777" w:rsidR="00BF78E9" w:rsidRPr="00E70467" w:rsidRDefault="00E70467" w:rsidP="00554703">
      <w:pPr>
        <w:pStyle w:val="ListParagraph"/>
        <w:numPr>
          <w:ilvl w:val="0"/>
          <w:numId w:val="29"/>
        </w:numPr>
        <w:tabs>
          <w:tab w:val="left" w:pos="0"/>
        </w:tabs>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п</w:t>
      </w:r>
      <w:r w:rsidR="00BF78E9" w:rsidRPr="00E70467">
        <w:rPr>
          <w:rFonts w:ascii="Times New Roman" w:eastAsia="Times New Roman" w:hAnsi="Times New Roman" w:cs="Times New Roman"/>
          <w:color w:val="000000"/>
          <w:sz w:val="24"/>
          <w:szCs w:val="24"/>
          <w:lang w:eastAsia="bg-BG"/>
        </w:rPr>
        <w:t>рез 2024 г. – 38 089 консултации на 5 394 лица.</w:t>
      </w:r>
    </w:p>
    <w:p w14:paraId="00D085A7" w14:textId="77777777" w:rsidR="00535808" w:rsidRPr="006C13DF" w:rsidRDefault="00BF78E9" w:rsidP="00E70467">
      <w:pPr>
        <w:spacing w:after="0" w:line="240" w:lineRule="auto"/>
        <w:jc w:val="both"/>
        <w:rPr>
          <w:rFonts w:ascii="Times New Roman" w:eastAsia="Times New Roman" w:hAnsi="Times New Roman" w:cs="Times New Roman"/>
          <w:color w:val="000000"/>
          <w:sz w:val="24"/>
          <w:szCs w:val="24"/>
          <w:lang w:eastAsia="bg-BG"/>
        </w:rPr>
      </w:pPr>
      <w:r w:rsidRPr="006C13DF">
        <w:rPr>
          <w:rFonts w:ascii="Times New Roman" w:eastAsia="Times New Roman" w:hAnsi="Times New Roman" w:cs="Times New Roman"/>
          <w:color w:val="000000"/>
          <w:sz w:val="24"/>
          <w:szCs w:val="24"/>
          <w:lang w:eastAsia="bg-BG"/>
        </w:rPr>
        <w:tab/>
        <w:t>Предоставянето на консултантски услуги се финансира със средства по Мярка 2 „Консултантски услуги, услуги по управление на стопанството и услуги по заместване в стопанството” от Програмата за развитие на селските райони 2014-2020 г. (ПРСР 2014-2020 г.) и от националния бюджет.</w:t>
      </w:r>
      <w:r w:rsidRPr="006C13DF">
        <w:rPr>
          <w:rFonts w:ascii="Times New Roman" w:eastAsia="Times New Roman" w:hAnsi="Times New Roman" w:cs="Times New Roman"/>
          <w:color w:val="000000"/>
          <w:sz w:val="24"/>
          <w:szCs w:val="24"/>
          <w:lang w:val="en-US" w:eastAsia="bg-BG"/>
        </w:rPr>
        <w:t xml:space="preserve"> </w:t>
      </w:r>
      <w:r w:rsidRPr="006C13DF">
        <w:rPr>
          <w:rFonts w:ascii="Times New Roman" w:eastAsia="Times New Roman" w:hAnsi="Times New Roman" w:cs="Times New Roman"/>
          <w:color w:val="000000"/>
          <w:sz w:val="24"/>
          <w:szCs w:val="24"/>
          <w:lang w:eastAsia="bg-BG"/>
        </w:rPr>
        <w:t xml:space="preserve">Осигуреният финансов ресурс за изпълнение на дейностите по </w:t>
      </w:r>
      <w:proofErr w:type="spellStart"/>
      <w:r w:rsidRPr="006C13DF">
        <w:rPr>
          <w:rFonts w:ascii="Times New Roman" w:eastAsia="Times New Roman" w:hAnsi="Times New Roman" w:cs="Times New Roman"/>
          <w:color w:val="000000"/>
          <w:sz w:val="24"/>
          <w:szCs w:val="24"/>
          <w:lang w:eastAsia="bg-BG"/>
        </w:rPr>
        <w:t>подмярката</w:t>
      </w:r>
      <w:proofErr w:type="spellEnd"/>
      <w:r w:rsidRPr="006C13DF">
        <w:rPr>
          <w:rFonts w:ascii="Times New Roman" w:eastAsia="Times New Roman" w:hAnsi="Times New Roman" w:cs="Times New Roman"/>
          <w:color w:val="000000"/>
          <w:sz w:val="24"/>
          <w:szCs w:val="24"/>
          <w:lang w:eastAsia="bg-BG"/>
        </w:rPr>
        <w:t xml:space="preserve"> от Плана възлиза на 1 499 345 лв. за 2023 г. и 2 032 344 лв. за 2024 г.</w:t>
      </w:r>
      <w:r w:rsidRPr="006C13DF">
        <w:rPr>
          <w:rFonts w:ascii="Times New Roman" w:eastAsia="Times New Roman" w:hAnsi="Times New Roman" w:cs="Times New Roman"/>
          <w:color w:val="000000"/>
          <w:sz w:val="24"/>
          <w:szCs w:val="24"/>
          <w:vertAlign w:val="superscript"/>
          <w:lang w:eastAsia="bg-BG"/>
        </w:rPr>
        <w:footnoteReference w:id="7"/>
      </w:r>
      <w:r w:rsidRPr="006C13DF">
        <w:rPr>
          <w:rFonts w:ascii="Times New Roman" w:eastAsia="Times New Roman" w:hAnsi="Times New Roman" w:cs="Times New Roman"/>
          <w:color w:val="000000"/>
          <w:sz w:val="24"/>
          <w:szCs w:val="24"/>
          <w:lang w:eastAsia="bg-BG"/>
        </w:rPr>
        <w:t xml:space="preserve">  </w:t>
      </w:r>
    </w:p>
    <w:p w14:paraId="5AA41AE1" w14:textId="77777777" w:rsidR="00E70467" w:rsidRPr="006C13DF" w:rsidRDefault="00E70467" w:rsidP="00BF78E9">
      <w:pPr>
        <w:tabs>
          <w:tab w:val="left" w:pos="0"/>
        </w:tabs>
        <w:spacing w:after="0" w:line="240" w:lineRule="auto"/>
        <w:jc w:val="both"/>
        <w:rPr>
          <w:rFonts w:ascii="Times New Roman" w:eastAsia="Times New Roman" w:hAnsi="Times New Roman" w:cs="Times New Roman"/>
          <w:color w:val="000000"/>
          <w:sz w:val="24"/>
          <w:szCs w:val="24"/>
          <w:lang w:eastAsia="bg-BG"/>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72"/>
      </w:tblGrid>
      <w:tr w:rsidR="00A97432" w:rsidRPr="006C13DF" w14:paraId="65E6F21D" w14:textId="77777777" w:rsidTr="00E655FD">
        <w:trPr>
          <w:trHeight w:val="449"/>
        </w:trPr>
        <w:tc>
          <w:tcPr>
            <w:tcW w:w="5000" w:type="pct"/>
            <w:shd w:val="clear" w:color="auto" w:fill="EBE453"/>
          </w:tcPr>
          <w:p w14:paraId="64A800F4" w14:textId="77777777" w:rsidR="00A97432" w:rsidRPr="006C13DF" w:rsidRDefault="00A97432" w:rsidP="00A97432">
            <w:pPr>
              <w:jc w:val="both"/>
              <w:rPr>
                <w:rFonts w:ascii="Times New Roman" w:hAnsi="Times New Roman" w:cs="Times New Roman"/>
                <w:b/>
                <w:sz w:val="28"/>
                <w:szCs w:val="28"/>
              </w:rPr>
            </w:pPr>
            <w:r w:rsidRPr="006C13DF">
              <w:rPr>
                <w:rFonts w:ascii="Times New Roman" w:hAnsi="Times New Roman" w:cs="Times New Roman"/>
                <w:b/>
                <w:sz w:val="28"/>
                <w:szCs w:val="28"/>
              </w:rPr>
              <w:t>1.2. Осигуряване на възможности за професионално обучение</w:t>
            </w:r>
          </w:p>
          <w:p w14:paraId="1C39866E" w14:textId="77777777" w:rsidR="00A97432" w:rsidRPr="006C13DF" w:rsidRDefault="00A97432" w:rsidP="00E655FD">
            <w:pPr>
              <w:jc w:val="both"/>
              <w:rPr>
                <w:rFonts w:ascii="Times New Roman" w:hAnsi="Times New Roman" w:cs="Times New Roman"/>
              </w:rPr>
            </w:pPr>
          </w:p>
        </w:tc>
      </w:tr>
    </w:tbl>
    <w:p w14:paraId="67E33FAA" w14:textId="77777777" w:rsidR="006E5C93" w:rsidRPr="006C13DF" w:rsidRDefault="006E5C93" w:rsidP="00E91E47">
      <w:pPr>
        <w:spacing w:after="0" w:line="240" w:lineRule="auto"/>
        <w:rPr>
          <w:rFonts w:ascii="Times New Roman" w:hAnsi="Times New Roman" w:cs="Times New Roman"/>
          <w:b/>
          <w:bCs/>
          <w:caps/>
          <w:color w:val="ED7D31" w:themeColor="accent2"/>
          <w:sz w:val="24"/>
          <w:szCs w:val="24"/>
        </w:rPr>
      </w:pPr>
    </w:p>
    <w:p w14:paraId="140E43A3" w14:textId="77777777" w:rsidR="007E5AED" w:rsidRPr="006C13DF" w:rsidRDefault="007E5AED" w:rsidP="007E5AED">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024586C1" w14:textId="77777777" w:rsidR="007E5AED" w:rsidRPr="006C13DF" w:rsidRDefault="007E5AED" w:rsidP="007E5AED">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404F58FA" w14:textId="77777777" w:rsidR="00816DF8" w:rsidRPr="006C13DF" w:rsidRDefault="00816DF8" w:rsidP="00E91E47">
      <w:pPr>
        <w:spacing w:after="0" w:line="240" w:lineRule="auto"/>
        <w:rPr>
          <w:rFonts w:ascii="Times New Roman" w:hAnsi="Times New Roman" w:cs="Times New Roman"/>
          <w:b/>
          <w:bCs/>
          <w:caps/>
          <w:color w:val="ED7D31" w:themeColor="accent2"/>
          <w:sz w:val="24"/>
          <w:szCs w:val="24"/>
        </w:rPr>
      </w:pPr>
    </w:p>
    <w:p w14:paraId="3F1557DF"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b/>
          <w:sz w:val="24"/>
          <w:szCs w:val="24"/>
        </w:rPr>
        <w:tab/>
      </w:r>
      <w:r w:rsidRPr="006C13DF">
        <w:rPr>
          <w:rFonts w:ascii="Times New Roman" w:hAnsi="Times New Roman" w:cs="Times New Roman"/>
          <w:sz w:val="24"/>
          <w:szCs w:val="24"/>
        </w:rPr>
        <w:t xml:space="preserve">Повишаването на квалификацията и уменията на безработните лица и на заетите лица им дава възможност да постигнат при равни други условия и по-висока производителност на труда. Подпомагането на безработните при търсене на работа, включването в обучение и заетост на най-уязвимите групи от безработни осигурява социално включване за тези хора, заработени доходи и осигурителни права, постъпления от данъци и осигуровки за държавата. </w:t>
      </w:r>
    </w:p>
    <w:p w14:paraId="30D8E9D1"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Агенцията по заетостта (АЗ) организира обучения на възрастни в съответствие с потребностите на пазара на труда и изискванията на работодателите. Обученията са </w:t>
      </w:r>
      <w:r w:rsidRPr="006C13DF">
        <w:rPr>
          <w:rFonts w:ascii="Times New Roman" w:hAnsi="Times New Roman" w:cs="Times New Roman"/>
          <w:b/>
          <w:sz w:val="24"/>
          <w:szCs w:val="24"/>
        </w:rPr>
        <w:t>насочени към придобиване на знания и умения</w:t>
      </w:r>
      <w:r w:rsidRPr="006C13DF">
        <w:rPr>
          <w:rFonts w:ascii="Times New Roman" w:hAnsi="Times New Roman" w:cs="Times New Roman"/>
          <w:sz w:val="24"/>
          <w:szCs w:val="24"/>
        </w:rPr>
        <w:t xml:space="preserve">, необходими за заемане на заявени свободни работни места, както и за задоволяване бъдещи потребности на пазара на труда от квалифицирана работна сила. Чрез тях се насърчава производителността, </w:t>
      </w:r>
      <w:proofErr w:type="spellStart"/>
      <w:r w:rsidRPr="006C13DF">
        <w:rPr>
          <w:rFonts w:ascii="Times New Roman" w:hAnsi="Times New Roman" w:cs="Times New Roman"/>
          <w:sz w:val="24"/>
          <w:szCs w:val="24"/>
        </w:rPr>
        <w:t>конкурентноспособността</w:t>
      </w:r>
      <w:proofErr w:type="spellEnd"/>
      <w:r w:rsidRPr="006C13DF">
        <w:rPr>
          <w:rFonts w:ascii="Times New Roman" w:hAnsi="Times New Roman" w:cs="Times New Roman"/>
          <w:sz w:val="24"/>
          <w:szCs w:val="24"/>
        </w:rPr>
        <w:t>, творчеството, иновациите и предприемачеството. Те са важен фактор за повишаване на пригодността за заетост и мобилността на работната сила на пазара на труда.</w:t>
      </w:r>
    </w:p>
    <w:p w14:paraId="0C8ECEAC"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b/>
          <w:sz w:val="24"/>
          <w:szCs w:val="24"/>
        </w:rPr>
        <w:tab/>
        <w:t>Професионалното обучение за възрастни</w:t>
      </w:r>
      <w:r w:rsidRPr="006C13DF">
        <w:rPr>
          <w:rFonts w:ascii="Times New Roman" w:hAnsi="Times New Roman" w:cs="Times New Roman"/>
          <w:sz w:val="24"/>
          <w:szCs w:val="24"/>
        </w:rPr>
        <w:t xml:space="preserve">, организирано от АЗ, се осъществява от институции в системата на професионалното образование и обучение. Професиите, по които се провеждат обученията, са в съответствие със Списък на професиите за професионално образование и обучение, утвърден от министъра на образованието и науката, след съгласуване с министъра на труда и социалната политика, както и със съответните отраслови министерства и с представителните организации на работодателите и на работниците и служителите на национално равнище.  </w:t>
      </w:r>
    </w:p>
    <w:p w14:paraId="5D9B447F"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През периода 2023 – 2024 г. АЗ продължи да подпомага бизнеса за осигуряване на квалифицирани кадри, с цел </w:t>
      </w:r>
      <w:r w:rsidRPr="006C13DF">
        <w:rPr>
          <w:rFonts w:ascii="Times New Roman" w:hAnsi="Times New Roman" w:cs="Times New Roman"/>
          <w:b/>
          <w:sz w:val="24"/>
          <w:szCs w:val="24"/>
        </w:rPr>
        <w:t>повишаване пригодността за заетост</w:t>
      </w:r>
      <w:r w:rsidRPr="006C13DF">
        <w:rPr>
          <w:rFonts w:ascii="Times New Roman" w:hAnsi="Times New Roman" w:cs="Times New Roman"/>
          <w:sz w:val="24"/>
          <w:szCs w:val="24"/>
        </w:rPr>
        <w:t xml:space="preserve"> на безработните лица на пазара на труда и </w:t>
      </w:r>
      <w:r w:rsidRPr="006C13DF">
        <w:rPr>
          <w:rFonts w:ascii="Times New Roman" w:hAnsi="Times New Roman" w:cs="Times New Roman"/>
          <w:b/>
          <w:sz w:val="24"/>
          <w:szCs w:val="24"/>
        </w:rPr>
        <w:t>ускоряване на прехода от безработица към устойчива заетост</w:t>
      </w:r>
      <w:r w:rsidRPr="006C13DF">
        <w:rPr>
          <w:rFonts w:ascii="Times New Roman" w:hAnsi="Times New Roman" w:cs="Times New Roman"/>
          <w:sz w:val="24"/>
          <w:szCs w:val="24"/>
        </w:rPr>
        <w:t>, чрез инвестиране в умения за повишаване на тяхната конкурентоспособност и шанса им за реализация. Финансирането на обученията се извършва със средства от държавния бюджет (ДБ), съгласно НПДЗ и по П РЧР 2021-2027.</w:t>
      </w:r>
    </w:p>
    <w:p w14:paraId="289F95D4" w14:textId="77777777" w:rsidR="00816DF8" w:rsidRPr="006C13DF" w:rsidRDefault="00816DF8" w:rsidP="00816DF8">
      <w:pPr>
        <w:spacing w:after="0" w:line="240" w:lineRule="auto"/>
        <w:jc w:val="both"/>
        <w:rPr>
          <w:rFonts w:ascii="Times New Roman" w:hAnsi="Times New Roman" w:cs="Times New Roman"/>
          <w:b/>
          <w:sz w:val="24"/>
          <w:szCs w:val="24"/>
        </w:rPr>
      </w:pPr>
    </w:p>
    <w:p w14:paraId="0D43A9C1" w14:textId="77777777" w:rsidR="00914282" w:rsidRPr="006C13DF" w:rsidRDefault="00914282" w:rsidP="0091428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77D40C61" w14:textId="77777777" w:rsidR="00816DF8" w:rsidRPr="006C13DF" w:rsidRDefault="00816DF8" w:rsidP="00816DF8">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lastRenderedPageBreak/>
        <w:t>АГЕНЦИЯ ПО ЗАЕТОСТТА</w:t>
      </w:r>
    </w:p>
    <w:p w14:paraId="1CEBD914" w14:textId="77777777" w:rsidR="00816DF8" w:rsidRPr="006C13DF" w:rsidRDefault="00816DF8" w:rsidP="00816DF8">
      <w:pPr>
        <w:spacing w:after="0" w:line="240" w:lineRule="auto"/>
        <w:jc w:val="both"/>
        <w:rPr>
          <w:rFonts w:ascii="Times New Roman" w:hAnsi="Times New Roman" w:cs="Times New Roman"/>
          <w:b/>
          <w:sz w:val="24"/>
          <w:szCs w:val="24"/>
        </w:rPr>
      </w:pPr>
    </w:p>
    <w:p w14:paraId="1EF3A737" w14:textId="77777777" w:rsidR="006E5C93" w:rsidRPr="006C13DF" w:rsidRDefault="00A632A1" w:rsidP="00816DF8">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1.2.1. Включване на безработни и заети лица над 50-годишна възраст в професионално обучение и обучение за придобиване на ключови компетентности</w:t>
      </w:r>
    </w:p>
    <w:p w14:paraId="04629F62" w14:textId="77777777" w:rsidR="00816DF8" w:rsidRPr="006C13DF" w:rsidRDefault="00816DF8" w:rsidP="00067951">
      <w:pPr>
        <w:spacing w:after="0" w:line="240" w:lineRule="auto"/>
        <w:jc w:val="both"/>
        <w:rPr>
          <w:rFonts w:ascii="Times New Roman" w:hAnsi="Times New Roman" w:cs="Times New Roman"/>
          <w:b/>
          <w:sz w:val="24"/>
          <w:szCs w:val="24"/>
        </w:rPr>
      </w:pPr>
    </w:p>
    <w:p w14:paraId="56892122"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b/>
          <w:sz w:val="24"/>
          <w:szCs w:val="24"/>
        </w:rPr>
        <w:tab/>
      </w:r>
      <w:r w:rsidRPr="006C13DF">
        <w:rPr>
          <w:rFonts w:ascii="Times New Roman" w:hAnsi="Times New Roman" w:cs="Times New Roman"/>
          <w:sz w:val="24"/>
          <w:szCs w:val="24"/>
        </w:rPr>
        <w:t xml:space="preserve">През 2023 г. в обучение със средства от </w:t>
      </w:r>
      <w:r w:rsidR="00432FAD">
        <w:rPr>
          <w:rFonts w:ascii="Times New Roman" w:hAnsi="Times New Roman" w:cs="Times New Roman"/>
          <w:sz w:val="24"/>
          <w:szCs w:val="24"/>
        </w:rPr>
        <w:t>държавния бюджет</w:t>
      </w:r>
      <w:r w:rsidRPr="006C13DF">
        <w:rPr>
          <w:rFonts w:ascii="Times New Roman" w:hAnsi="Times New Roman" w:cs="Times New Roman"/>
          <w:sz w:val="24"/>
          <w:szCs w:val="24"/>
        </w:rPr>
        <w:t xml:space="preserve"> са включени </w:t>
      </w:r>
      <w:r w:rsidRPr="006C13DF">
        <w:rPr>
          <w:rFonts w:ascii="Times New Roman" w:hAnsi="Times New Roman" w:cs="Times New Roman"/>
          <w:b/>
          <w:sz w:val="24"/>
          <w:szCs w:val="24"/>
        </w:rPr>
        <w:t>2 933 лица</w:t>
      </w:r>
      <w:r w:rsidRPr="006C13DF">
        <w:rPr>
          <w:rFonts w:ascii="Times New Roman" w:hAnsi="Times New Roman" w:cs="Times New Roman"/>
          <w:sz w:val="24"/>
          <w:szCs w:val="24"/>
        </w:rPr>
        <w:t xml:space="preserve"> над 50-годишна възраст.</w:t>
      </w:r>
    </w:p>
    <w:p w14:paraId="65C8E779"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През 2024 г. в обучение със средства от </w:t>
      </w:r>
      <w:r w:rsidR="00432FAD">
        <w:rPr>
          <w:rFonts w:ascii="Times New Roman" w:hAnsi="Times New Roman" w:cs="Times New Roman"/>
          <w:sz w:val="24"/>
          <w:szCs w:val="24"/>
        </w:rPr>
        <w:t>държавния бюджет</w:t>
      </w:r>
      <w:r w:rsidRPr="006C13DF">
        <w:rPr>
          <w:rFonts w:ascii="Times New Roman" w:hAnsi="Times New Roman" w:cs="Times New Roman"/>
          <w:sz w:val="24"/>
          <w:szCs w:val="24"/>
        </w:rPr>
        <w:t xml:space="preserve"> са включени </w:t>
      </w:r>
      <w:r w:rsidRPr="006C13DF">
        <w:rPr>
          <w:rFonts w:ascii="Times New Roman" w:hAnsi="Times New Roman" w:cs="Times New Roman"/>
          <w:b/>
          <w:sz w:val="24"/>
          <w:szCs w:val="24"/>
        </w:rPr>
        <w:t>2 421 лица</w:t>
      </w:r>
      <w:r w:rsidRPr="006C13DF">
        <w:rPr>
          <w:rFonts w:ascii="Times New Roman" w:hAnsi="Times New Roman" w:cs="Times New Roman"/>
          <w:sz w:val="24"/>
          <w:szCs w:val="24"/>
        </w:rPr>
        <w:t xml:space="preserve"> над 50-годишна възраст.</w:t>
      </w:r>
    </w:p>
    <w:p w14:paraId="6764E9CB" w14:textId="77777777" w:rsidR="00816DF8" w:rsidRPr="006C13DF" w:rsidRDefault="00816DF8" w:rsidP="00067951">
      <w:pPr>
        <w:spacing w:after="0" w:line="240" w:lineRule="auto"/>
        <w:jc w:val="both"/>
        <w:rPr>
          <w:rFonts w:ascii="Times New Roman" w:hAnsi="Times New Roman" w:cs="Times New Roman"/>
          <w:b/>
          <w:sz w:val="24"/>
          <w:szCs w:val="24"/>
        </w:rPr>
      </w:pPr>
    </w:p>
    <w:p w14:paraId="2569EC9C" w14:textId="77777777" w:rsidR="00914282" w:rsidRPr="006C13DF" w:rsidRDefault="00914282" w:rsidP="0091428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6BA6EAAB" w14:textId="77777777" w:rsidR="00816DF8" w:rsidRPr="006C13DF" w:rsidRDefault="00816DF8" w:rsidP="00816DF8">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7D85A5B1" w14:textId="77777777" w:rsidR="00816DF8" w:rsidRPr="006C13DF" w:rsidRDefault="00816DF8" w:rsidP="00067951">
      <w:pPr>
        <w:spacing w:after="0" w:line="240" w:lineRule="auto"/>
        <w:jc w:val="both"/>
        <w:rPr>
          <w:rFonts w:ascii="Times New Roman" w:hAnsi="Times New Roman" w:cs="Times New Roman"/>
          <w:b/>
          <w:sz w:val="24"/>
          <w:szCs w:val="24"/>
        </w:rPr>
      </w:pPr>
    </w:p>
    <w:p w14:paraId="0B327602" w14:textId="77777777" w:rsidR="00A632A1" w:rsidRPr="006C13DF" w:rsidRDefault="00A632A1" w:rsidP="00067951">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1.2.2. Включване на безработни лица над 50-годишна възраст в обучение, провеждано от ДП „Българо-германски</w:t>
      </w:r>
      <w:r w:rsidRPr="006C13DF">
        <w:rPr>
          <w:rFonts w:ascii="Times New Roman" w:hAnsi="Times New Roman" w:cs="Times New Roman"/>
        </w:rPr>
        <w:t xml:space="preserve"> </w:t>
      </w:r>
      <w:r w:rsidRPr="006C13DF">
        <w:rPr>
          <w:rFonts w:ascii="Times New Roman" w:hAnsi="Times New Roman" w:cs="Times New Roman"/>
          <w:b/>
          <w:sz w:val="24"/>
          <w:szCs w:val="24"/>
        </w:rPr>
        <w:t>център за професионално обучение“, в изпълнение на Двугодишните планове</w:t>
      </w:r>
    </w:p>
    <w:p w14:paraId="29E5E433" w14:textId="77777777" w:rsidR="00816DF8" w:rsidRPr="006C13DF" w:rsidRDefault="00816DF8" w:rsidP="00067951">
      <w:pPr>
        <w:spacing w:after="0" w:line="240" w:lineRule="auto"/>
        <w:jc w:val="both"/>
        <w:rPr>
          <w:rFonts w:ascii="Times New Roman" w:hAnsi="Times New Roman" w:cs="Times New Roman"/>
          <w:b/>
          <w:sz w:val="24"/>
          <w:szCs w:val="24"/>
        </w:rPr>
      </w:pPr>
    </w:p>
    <w:p w14:paraId="73703837"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b/>
          <w:sz w:val="24"/>
          <w:szCs w:val="24"/>
        </w:rPr>
        <w:tab/>
      </w:r>
      <w:r w:rsidRPr="006C13DF">
        <w:rPr>
          <w:rFonts w:ascii="Times New Roman" w:hAnsi="Times New Roman" w:cs="Times New Roman"/>
          <w:sz w:val="24"/>
          <w:szCs w:val="24"/>
        </w:rPr>
        <w:t xml:space="preserve">Двугодишният план за обучение, провеждано от БГЦПО има за основна цел повишаване пригодността за заетост на безработни лица от групите в неравностойно положение на пазара на труда чрез реализиране на комплекс от мерки, включващ информиране, консултиране, професионално ориентиране, професионално обучение и обучение по ключови компетентности (КК) в 5 клона на ДП БГЦПО. </w:t>
      </w:r>
    </w:p>
    <w:p w14:paraId="33297EF5"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През 2023 г. </w:t>
      </w:r>
      <w:r w:rsidRPr="006C13DF">
        <w:rPr>
          <w:rFonts w:ascii="Times New Roman" w:hAnsi="Times New Roman" w:cs="Times New Roman"/>
          <w:b/>
          <w:sz w:val="24"/>
          <w:szCs w:val="24"/>
        </w:rPr>
        <w:t>в обучение са включени общо 422 безработни лица над 50 г</w:t>
      </w:r>
      <w:r w:rsidRPr="006C13DF">
        <w:rPr>
          <w:rFonts w:ascii="Times New Roman" w:hAnsi="Times New Roman" w:cs="Times New Roman"/>
          <w:sz w:val="24"/>
          <w:szCs w:val="24"/>
        </w:rPr>
        <w:t>.</w:t>
      </w:r>
    </w:p>
    <w:p w14:paraId="59F842E9" w14:textId="77777777" w:rsidR="00A632A1" w:rsidRPr="00E70467" w:rsidRDefault="00816DF8" w:rsidP="00067951">
      <w:pPr>
        <w:spacing w:after="0" w:line="240" w:lineRule="auto"/>
        <w:jc w:val="both"/>
        <w:rPr>
          <w:rFonts w:ascii="Times New Roman" w:hAnsi="Times New Roman" w:cs="Times New Roman"/>
          <w:sz w:val="24"/>
          <w:szCs w:val="24"/>
        </w:rPr>
      </w:pPr>
      <w:r w:rsidRPr="006C13DF">
        <w:rPr>
          <w:rFonts w:ascii="Times New Roman" w:hAnsi="Times New Roman" w:cs="Times New Roman"/>
          <w:bCs/>
          <w:sz w:val="24"/>
          <w:szCs w:val="24"/>
        </w:rPr>
        <w:tab/>
        <w:t xml:space="preserve">През 2024 г. ДП БГЦПО е преобразувано чрез вливане в Центъра за развитие на човешките ресурси и регионални инициативи (ЦРЧРРИ). През 2024 г. </w:t>
      </w:r>
      <w:r w:rsidRPr="006C13DF">
        <w:rPr>
          <w:rFonts w:ascii="Times New Roman" w:hAnsi="Times New Roman" w:cs="Times New Roman"/>
          <w:b/>
          <w:bCs/>
          <w:sz w:val="24"/>
          <w:szCs w:val="24"/>
        </w:rPr>
        <w:t>в обучение са включени 158 лица</w:t>
      </w:r>
      <w:r w:rsidRPr="006C13DF">
        <w:rPr>
          <w:rFonts w:ascii="Times New Roman" w:hAnsi="Times New Roman" w:cs="Times New Roman"/>
          <w:bCs/>
          <w:sz w:val="24"/>
          <w:szCs w:val="24"/>
        </w:rPr>
        <w:t xml:space="preserve"> от целевата група.</w:t>
      </w:r>
    </w:p>
    <w:p w14:paraId="242BD08B" w14:textId="77777777" w:rsidR="00E70467" w:rsidRDefault="00E70467" w:rsidP="00562584">
      <w:pPr>
        <w:spacing w:after="0" w:line="240" w:lineRule="auto"/>
        <w:jc w:val="center"/>
        <w:rPr>
          <w:rFonts w:ascii="Times New Roman" w:eastAsia="Calibri" w:hAnsi="Times New Roman" w:cs="Times New Roman"/>
          <w:b/>
          <w:caps/>
          <w:color w:val="C0504D"/>
          <w:sz w:val="24"/>
          <w:szCs w:val="24"/>
        </w:rPr>
      </w:pPr>
    </w:p>
    <w:p w14:paraId="3FEC2D8D" w14:textId="77777777" w:rsidR="00562584" w:rsidRPr="006C13DF" w:rsidRDefault="00562584" w:rsidP="00562584">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629C57E2" w14:textId="77777777" w:rsidR="00816DF8" w:rsidRPr="006C13DF" w:rsidRDefault="00816DF8" w:rsidP="00816DF8">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22E454E4" w14:textId="77777777" w:rsidR="00816DF8" w:rsidRPr="006C13DF" w:rsidRDefault="00816DF8" w:rsidP="00067951">
      <w:pPr>
        <w:spacing w:after="0" w:line="240" w:lineRule="auto"/>
        <w:jc w:val="both"/>
        <w:rPr>
          <w:rFonts w:ascii="Times New Roman" w:hAnsi="Times New Roman" w:cs="Times New Roman"/>
          <w:b/>
          <w:sz w:val="24"/>
          <w:szCs w:val="24"/>
        </w:rPr>
      </w:pPr>
    </w:p>
    <w:p w14:paraId="2C9975DD" w14:textId="77777777" w:rsidR="00A632A1" w:rsidRPr="006C13DF" w:rsidRDefault="00A632A1" w:rsidP="00067951">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1.2.3. Включване на лица над 50-годишна възраст в обучение на въ</w:t>
      </w:r>
      <w:r w:rsidR="00816DF8" w:rsidRPr="006C13DF">
        <w:rPr>
          <w:rFonts w:ascii="Times New Roman" w:hAnsi="Times New Roman" w:cs="Times New Roman"/>
          <w:b/>
          <w:sz w:val="24"/>
          <w:szCs w:val="24"/>
        </w:rPr>
        <w:t xml:space="preserve">зрастни по чл. 63 от ЗНЗ, в т.ч. безработни лица и </w:t>
      </w:r>
      <w:r w:rsidRPr="006C13DF">
        <w:rPr>
          <w:rFonts w:ascii="Times New Roman" w:hAnsi="Times New Roman" w:cs="Times New Roman"/>
          <w:b/>
          <w:sz w:val="24"/>
          <w:szCs w:val="24"/>
        </w:rPr>
        <w:t>заети лица</w:t>
      </w:r>
    </w:p>
    <w:p w14:paraId="164B5A42" w14:textId="77777777" w:rsidR="00A632A1" w:rsidRPr="006C13DF" w:rsidRDefault="00A632A1" w:rsidP="00067951">
      <w:pPr>
        <w:spacing w:after="0" w:line="240" w:lineRule="auto"/>
        <w:jc w:val="both"/>
        <w:rPr>
          <w:rFonts w:ascii="Times New Roman" w:hAnsi="Times New Roman" w:cs="Times New Roman"/>
          <w:b/>
          <w:sz w:val="24"/>
          <w:szCs w:val="24"/>
        </w:rPr>
      </w:pPr>
    </w:p>
    <w:p w14:paraId="63D24794"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b/>
          <w:sz w:val="24"/>
          <w:szCs w:val="24"/>
        </w:rPr>
        <w:tab/>
      </w:r>
      <w:r w:rsidRPr="006C13DF">
        <w:rPr>
          <w:rFonts w:ascii="Times New Roman" w:hAnsi="Times New Roman" w:cs="Times New Roman"/>
          <w:sz w:val="24"/>
          <w:szCs w:val="24"/>
        </w:rPr>
        <w:t xml:space="preserve">Пригодността за заетост се повишава и чрез организиране и провеждане на професионално обучение за придобиване на професионална квалификация по заявка на работодателя при условията и по реда на чл. 63 от ППЗНЗ. Мярката цели повишаване пригодността за заетост на работната сила в съответствие с потребностите на пазара на труда и изискванията на работодателите. През 2023 г. в професионално обучение по заявка на работодатели са включени </w:t>
      </w:r>
      <w:r w:rsidRPr="006C13DF">
        <w:rPr>
          <w:rFonts w:ascii="Times New Roman" w:hAnsi="Times New Roman" w:cs="Times New Roman"/>
          <w:b/>
          <w:sz w:val="24"/>
          <w:szCs w:val="24"/>
        </w:rPr>
        <w:t>9 безработни лица над 50-годишна възраст</w:t>
      </w:r>
      <w:r w:rsidRPr="006C13DF">
        <w:rPr>
          <w:rFonts w:ascii="Times New Roman" w:hAnsi="Times New Roman" w:cs="Times New Roman"/>
          <w:sz w:val="24"/>
          <w:szCs w:val="24"/>
        </w:rPr>
        <w:t>, а през 2024 г. няма включени в обучение лица.</w:t>
      </w:r>
    </w:p>
    <w:p w14:paraId="1510DC0C" w14:textId="77777777" w:rsidR="00816DF8" w:rsidRPr="006C13DF" w:rsidRDefault="00816DF8"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С цел подобряване уменията на заетите лица, за улесняване на преходите от заетост в заетост се провеждат обучения по заявка на работодателите (чл. 63 от ЗНЗ) </w:t>
      </w:r>
      <w:r w:rsidRPr="006C13DF">
        <w:rPr>
          <w:rFonts w:ascii="Times New Roman" w:hAnsi="Times New Roman" w:cs="Times New Roman"/>
          <w:b/>
          <w:sz w:val="24"/>
          <w:szCs w:val="24"/>
        </w:rPr>
        <w:t>на заети лица</w:t>
      </w:r>
      <w:r w:rsidRPr="006C13DF">
        <w:rPr>
          <w:rFonts w:ascii="Times New Roman" w:hAnsi="Times New Roman" w:cs="Times New Roman"/>
          <w:sz w:val="24"/>
          <w:szCs w:val="24"/>
        </w:rPr>
        <w:t xml:space="preserve"> от средни, микро и малки предприятия, за придобиване на ключови компетентности, като през 2023 г. </w:t>
      </w:r>
      <w:r w:rsidRPr="006C13DF">
        <w:rPr>
          <w:rFonts w:ascii="Times New Roman" w:hAnsi="Times New Roman" w:cs="Times New Roman"/>
          <w:b/>
          <w:sz w:val="24"/>
          <w:szCs w:val="24"/>
        </w:rPr>
        <w:t>57 заети лица над 50-годишна възраст са придобили нови компетентности</w:t>
      </w:r>
      <w:r w:rsidRPr="006C13DF">
        <w:rPr>
          <w:rFonts w:ascii="Times New Roman" w:hAnsi="Times New Roman" w:cs="Times New Roman"/>
          <w:sz w:val="24"/>
          <w:szCs w:val="24"/>
        </w:rPr>
        <w:t>, а през 2024 г. няма включени в обучение лица.</w:t>
      </w:r>
    </w:p>
    <w:p w14:paraId="42D685AF" w14:textId="77777777" w:rsidR="00562584" w:rsidRPr="006C13DF" w:rsidRDefault="00562584" w:rsidP="00562584">
      <w:pPr>
        <w:spacing w:after="0" w:line="240" w:lineRule="auto"/>
        <w:jc w:val="both"/>
        <w:rPr>
          <w:rFonts w:ascii="Times New Roman" w:hAnsi="Times New Roman" w:cs="Times New Roman"/>
          <w:b/>
          <w:sz w:val="24"/>
          <w:szCs w:val="24"/>
        </w:rPr>
      </w:pPr>
    </w:p>
    <w:p w14:paraId="3AD375CC" w14:textId="77777777" w:rsidR="008231FD" w:rsidRDefault="008231FD" w:rsidP="00562584">
      <w:pPr>
        <w:spacing w:after="0" w:line="240" w:lineRule="auto"/>
        <w:jc w:val="center"/>
        <w:rPr>
          <w:rFonts w:ascii="Times New Roman" w:eastAsia="Calibri" w:hAnsi="Times New Roman" w:cs="Times New Roman"/>
          <w:b/>
          <w:caps/>
          <w:color w:val="C0504D"/>
          <w:sz w:val="24"/>
          <w:szCs w:val="24"/>
        </w:rPr>
      </w:pPr>
    </w:p>
    <w:p w14:paraId="5D5AEA2D" w14:textId="77777777" w:rsidR="008231FD" w:rsidRDefault="008231FD" w:rsidP="00562584">
      <w:pPr>
        <w:spacing w:after="0" w:line="240" w:lineRule="auto"/>
        <w:jc w:val="center"/>
        <w:rPr>
          <w:rFonts w:ascii="Times New Roman" w:eastAsia="Calibri" w:hAnsi="Times New Roman" w:cs="Times New Roman"/>
          <w:b/>
          <w:caps/>
          <w:color w:val="C0504D"/>
          <w:sz w:val="24"/>
          <w:szCs w:val="24"/>
        </w:rPr>
      </w:pPr>
    </w:p>
    <w:p w14:paraId="03D69CBD" w14:textId="77777777" w:rsidR="008231FD" w:rsidRDefault="008231FD" w:rsidP="00562584">
      <w:pPr>
        <w:spacing w:after="0" w:line="240" w:lineRule="auto"/>
        <w:jc w:val="center"/>
        <w:rPr>
          <w:rFonts w:ascii="Times New Roman" w:eastAsia="Calibri" w:hAnsi="Times New Roman" w:cs="Times New Roman"/>
          <w:b/>
          <w:caps/>
          <w:color w:val="C0504D"/>
          <w:sz w:val="24"/>
          <w:szCs w:val="24"/>
        </w:rPr>
      </w:pPr>
    </w:p>
    <w:p w14:paraId="5B47B0B6" w14:textId="77777777" w:rsidR="008231FD" w:rsidRDefault="008231FD" w:rsidP="00562584">
      <w:pPr>
        <w:spacing w:after="0" w:line="240" w:lineRule="auto"/>
        <w:jc w:val="center"/>
        <w:rPr>
          <w:rFonts w:ascii="Times New Roman" w:eastAsia="Calibri" w:hAnsi="Times New Roman" w:cs="Times New Roman"/>
          <w:b/>
          <w:caps/>
          <w:color w:val="C0504D"/>
          <w:sz w:val="24"/>
          <w:szCs w:val="24"/>
        </w:rPr>
      </w:pPr>
    </w:p>
    <w:p w14:paraId="68531CD7" w14:textId="77777777" w:rsidR="008231FD" w:rsidRDefault="008231FD" w:rsidP="00562584">
      <w:pPr>
        <w:spacing w:after="0" w:line="240" w:lineRule="auto"/>
        <w:jc w:val="center"/>
        <w:rPr>
          <w:rFonts w:ascii="Times New Roman" w:eastAsia="Calibri" w:hAnsi="Times New Roman" w:cs="Times New Roman"/>
          <w:b/>
          <w:caps/>
          <w:color w:val="C0504D"/>
          <w:sz w:val="24"/>
          <w:szCs w:val="24"/>
        </w:rPr>
      </w:pPr>
    </w:p>
    <w:p w14:paraId="5786656E" w14:textId="77777777" w:rsidR="00562584" w:rsidRPr="006C13DF" w:rsidRDefault="00562584" w:rsidP="00562584">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lastRenderedPageBreak/>
        <w:t>Министерство на труда и социалната политика</w:t>
      </w:r>
    </w:p>
    <w:p w14:paraId="59EE1A6E" w14:textId="77777777" w:rsidR="00562584" w:rsidRPr="006C13DF" w:rsidRDefault="00562584" w:rsidP="00562584">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1E78D643" w14:textId="77777777" w:rsidR="00816DF8" w:rsidRPr="006C13DF" w:rsidRDefault="00816DF8" w:rsidP="00816DF8">
      <w:pPr>
        <w:spacing w:after="0" w:line="240" w:lineRule="auto"/>
        <w:jc w:val="both"/>
        <w:rPr>
          <w:rFonts w:ascii="Times New Roman" w:hAnsi="Times New Roman" w:cs="Times New Roman"/>
          <w:sz w:val="24"/>
          <w:szCs w:val="24"/>
        </w:rPr>
      </w:pPr>
    </w:p>
    <w:p w14:paraId="1CC09C30" w14:textId="77777777" w:rsidR="00816DF8" w:rsidRPr="006C13DF" w:rsidRDefault="00562584" w:rsidP="00562584">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1.2.4</w:t>
      </w:r>
      <w:r w:rsidR="00816DF8" w:rsidRPr="006C13DF">
        <w:rPr>
          <w:rFonts w:ascii="Times New Roman" w:hAnsi="Times New Roman" w:cs="Times New Roman"/>
          <w:b/>
          <w:sz w:val="24"/>
          <w:szCs w:val="24"/>
        </w:rPr>
        <w:t>. Включване на безработни лица над 50-годишна възраст в организирано от АЗ обучение на възрастни чрез насочване в Центъра за развитие на човешките ресурси и регионални инициативи (ЦРЧРР</w:t>
      </w:r>
      <w:r w:rsidRPr="006C13DF">
        <w:rPr>
          <w:rFonts w:ascii="Times New Roman" w:hAnsi="Times New Roman" w:cs="Times New Roman"/>
          <w:b/>
          <w:sz w:val="24"/>
          <w:szCs w:val="24"/>
        </w:rPr>
        <w:t>И)</w:t>
      </w:r>
    </w:p>
    <w:p w14:paraId="24349ABB" w14:textId="77777777" w:rsidR="00562584" w:rsidRPr="006C13DF" w:rsidRDefault="00562584" w:rsidP="00562584">
      <w:pPr>
        <w:spacing w:after="0" w:line="240" w:lineRule="auto"/>
        <w:jc w:val="both"/>
        <w:rPr>
          <w:rFonts w:ascii="Times New Roman" w:hAnsi="Times New Roman" w:cs="Times New Roman"/>
          <w:b/>
          <w:sz w:val="24"/>
          <w:szCs w:val="24"/>
        </w:rPr>
      </w:pPr>
    </w:p>
    <w:p w14:paraId="1120C1BE" w14:textId="77777777" w:rsidR="00816DF8" w:rsidRPr="006C13DF" w:rsidRDefault="00562584" w:rsidP="00562584">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816DF8" w:rsidRPr="006C13DF">
        <w:rPr>
          <w:rFonts w:ascii="Times New Roman" w:hAnsi="Times New Roman" w:cs="Times New Roman"/>
          <w:sz w:val="24"/>
          <w:szCs w:val="24"/>
        </w:rPr>
        <w:t xml:space="preserve">Обученията на ЦРЧРРИ се провеждат в материално-технически бази в гр. София, кв. </w:t>
      </w:r>
      <w:r w:rsidR="00E70467">
        <w:rPr>
          <w:rFonts w:ascii="Times New Roman" w:hAnsi="Times New Roman" w:cs="Times New Roman"/>
          <w:sz w:val="24"/>
          <w:szCs w:val="24"/>
        </w:rPr>
        <w:t>„</w:t>
      </w:r>
      <w:r w:rsidR="00816DF8" w:rsidRPr="006C13DF">
        <w:rPr>
          <w:rFonts w:ascii="Times New Roman" w:hAnsi="Times New Roman" w:cs="Times New Roman"/>
          <w:sz w:val="24"/>
          <w:szCs w:val="24"/>
        </w:rPr>
        <w:t>Кремиковци</w:t>
      </w:r>
      <w:r w:rsidR="00E70467">
        <w:rPr>
          <w:rFonts w:ascii="Times New Roman" w:hAnsi="Times New Roman" w:cs="Times New Roman"/>
          <w:sz w:val="24"/>
          <w:szCs w:val="24"/>
        </w:rPr>
        <w:t>“</w:t>
      </w:r>
      <w:r w:rsidR="00816DF8" w:rsidRPr="006C13DF">
        <w:rPr>
          <w:rFonts w:ascii="Times New Roman" w:hAnsi="Times New Roman" w:cs="Times New Roman"/>
          <w:sz w:val="24"/>
          <w:szCs w:val="24"/>
        </w:rPr>
        <w:t>, както и в градовете Пазарджик, Плевен, Стара Загора, Смолян. Основните дейности, които се осъществяват са свързани с обучения за придобиване на степен на професионална квалификация, обучения по част от професия и обучения за придобиване на ключови компетентности. Усилията са насочени към повишаване на уменията и знанията на заетите и безработните лица, вкл. над 50 г.</w:t>
      </w:r>
      <w:r w:rsidR="00E70467">
        <w:rPr>
          <w:rFonts w:ascii="Times New Roman" w:hAnsi="Times New Roman" w:cs="Times New Roman"/>
          <w:sz w:val="24"/>
          <w:szCs w:val="24"/>
        </w:rPr>
        <w:t>,</w:t>
      </w:r>
      <w:r w:rsidR="00816DF8" w:rsidRPr="006C13DF">
        <w:rPr>
          <w:rFonts w:ascii="Times New Roman" w:hAnsi="Times New Roman" w:cs="Times New Roman"/>
          <w:sz w:val="24"/>
          <w:szCs w:val="24"/>
        </w:rPr>
        <w:t xml:space="preserve"> чрез продължаващо обучение и съвременни методи на преподаване.</w:t>
      </w:r>
    </w:p>
    <w:p w14:paraId="30B54647" w14:textId="77777777" w:rsidR="00816DF8" w:rsidRPr="006C13DF" w:rsidRDefault="00562584" w:rsidP="00562584">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816DF8" w:rsidRPr="006C13DF">
        <w:rPr>
          <w:rFonts w:ascii="Times New Roman" w:hAnsi="Times New Roman" w:cs="Times New Roman"/>
          <w:sz w:val="24"/>
          <w:szCs w:val="24"/>
        </w:rPr>
        <w:t>ЦРЧРРИ провежда съвместно с ДБТ информационни срещи с безработните лица. Цел на срещите е представяне на възможностите и ползите от включване в обучения, условията за пребиваване, правата и задълженията на обучаемите лица, с оглед мотивиране на лицата за включване в обучения.</w:t>
      </w:r>
    </w:p>
    <w:p w14:paraId="3555EABC" w14:textId="77777777" w:rsidR="00E70467" w:rsidRPr="006C13DF" w:rsidRDefault="00562584" w:rsidP="00562584">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За периода 2023</w:t>
      </w:r>
      <w:r w:rsidR="00816DF8" w:rsidRPr="006C13DF">
        <w:rPr>
          <w:rFonts w:ascii="Times New Roman" w:hAnsi="Times New Roman" w:cs="Times New Roman"/>
          <w:sz w:val="24"/>
          <w:szCs w:val="24"/>
        </w:rPr>
        <w:t xml:space="preserve"> – 2024 г. в обучение са включени общо </w:t>
      </w:r>
      <w:r w:rsidR="00816DF8" w:rsidRPr="006C13DF">
        <w:rPr>
          <w:rFonts w:ascii="Times New Roman" w:hAnsi="Times New Roman" w:cs="Times New Roman"/>
          <w:b/>
          <w:sz w:val="24"/>
          <w:szCs w:val="24"/>
        </w:rPr>
        <w:t>242 безработни лица над 50 г</w:t>
      </w:r>
      <w:r w:rsidR="00816DF8" w:rsidRPr="006C13DF">
        <w:rPr>
          <w:rFonts w:ascii="Times New Roman" w:hAnsi="Times New Roman" w:cs="Times New Roman"/>
          <w:sz w:val="24"/>
          <w:szCs w:val="24"/>
        </w:rPr>
        <w:t>., като разпределението им през годините е, както следва:</w:t>
      </w:r>
    </w:p>
    <w:p w14:paraId="3C1AF913" w14:textId="77777777" w:rsidR="00816DF8" w:rsidRPr="006C13DF" w:rsidRDefault="00816DF8" w:rsidP="00554703">
      <w:pPr>
        <w:pStyle w:val="ListParagraph"/>
        <w:numPr>
          <w:ilvl w:val="0"/>
          <w:numId w:val="26"/>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през 2023 г. – 84 лица;</w:t>
      </w:r>
    </w:p>
    <w:p w14:paraId="71D23261" w14:textId="77777777" w:rsidR="00816DF8" w:rsidRPr="006C13DF" w:rsidRDefault="00816DF8" w:rsidP="00554703">
      <w:pPr>
        <w:pStyle w:val="ListParagraph"/>
        <w:numPr>
          <w:ilvl w:val="0"/>
          <w:numId w:val="26"/>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през 2024 г. – 158 лица.</w:t>
      </w:r>
    </w:p>
    <w:p w14:paraId="27E3A355" w14:textId="77777777" w:rsidR="00A632A1" w:rsidRPr="006C13DF" w:rsidRDefault="00A632A1" w:rsidP="00E70467">
      <w:pPr>
        <w:spacing w:after="0" w:line="240" w:lineRule="auto"/>
        <w:jc w:val="both"/>
        <w:rPr>
          <w:rFonts w:ascii="Times New Roman" w:hAnsi="Times New Roman" w:cs="Times New Roman"/>
          <w:b/>
          <w:sz w:val="24"/>
          <w:szCs w:val="24"/>
        </w:rPr>
      </w:pPr>
    </w:p>
    <w:p w14:paraId="62FDC387" w14:textId="77777777" w:rsidR="00EF2331" w:rsidRPr="006C13DF" w:rsidRDefault="00EF2331" w:rsidP="00E70467">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3C42EF1B" w14:textId="77777777" w:rsidR="00EF2331" w:rsidRPr="006C13DF" w:rsidRDefault="00EF2331" w:rsidP="00E70467">
      <w:pPr>
        <w:spacing w:after="0" w:line="240" w:lineRule="auto"/>
        <w:jc w:val="both"/>
        <w:rPr>
          <w:rFonts w:ascii="Times New Roman" w:hAnsi="Times New Roman" w:cs="Times New Roman"/>
          <w:b/>
          <w:sz w:val="24"/>
          <w:szCs w:val="24"/>
        </w:rPr>
      </w:pPr>
    </w:p>
    <w:p w14:paraId="6EDBA936" w14:textId="77777777" w:rsidR="00A632A1" w:rsidRPr="006C13DF" w:rsidRDefault="00A632A1" w:rsidP="00E70467">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1.2.5. Включване на безработни и неактивни лица, вкл. над 50-годишна възраст в обучения по операция „Започвам работа“ Компонент 2 „Обучение“ по П РЧР 2021-2027 г.</w:t>
      </w:r>
    </w:p>
    <w:p w14:paraId="7BF7649D" w14:textId="77777777" w:rsidR="00EF2331" w:rsidRPr="006C13DF" w:rsidRDefault="00EF2331" w:rsidP="00E70467">
      <w:pPr>
        <w:spacing w:after="0" w:line="240" w:lineRule="auto"/>
        <w:jc w:val="both"/>
        <w:rPr>
          <w:rFonts w:ascii="Times New Roman" w:hAnsi="Times New Roman" w:cs="Times New Roman"/>
          <w:b/>
          <w:sz w:val="24"/>
          <w:szCs w:val="24"/>
        </w:rPr>
      </w:pPr>
    </w:p>
    <w:p w14:paraId="5CDBDFBB" w14:textId="77777777" w:rsidR="00816DF8" w:rsidRPr="006C13DF" w:rsidRDefault="00EF2331" w:rsidP="00E70467">
      <w:pPr>
        <w:spacing w:after="0" w:line="240" w:lineRule="auto"/>
        <w:jc w:val="both"/>
        <w:rPr>
          <w:rFonts w:ascii="Times New Roman" w:hAnsi="Times New Roman" w:cs="Times New Roman"/>
          <w:sz w:val="24"/>
          <w:szCs w:val="24"/>
        </w:rPr>
      </w:pPr>
      <w:r w:rsidRPr="006C13DF">
        <w:rPr>
          <w:rFonts w:ascii="Times New Roman" w:hAnsi="Times New Roman" w:cs="Times New Roman"/>
          <w:b/>
          <w:sz w:val="24"/>
          <w:szCs w:val="24"/>
        </w:rPr>
        <w:tab/>
      </w:r>
      <w:r w:rsidR="00816DF8" w:rsidRPr="006C13DF">
        <w:rPr>
          <w:rFonts w:ascii="Times New Roman" w:hAnsi="Times New Roman" w:cs="Times New Roman"/>
          <w:sz w:val="24"/>
          <w:szCs w:val="24"/>
        </w:rPr>
        <w:t>Проектът е част от цялостен пакет от мерки, имащи за цел интеграцията на пазара на труда на безработни и неактивни лица с акцент върху лица в неравностойно положение, включително тези над 5</w:t>
      </w:r>
      <w:r w:rsidR="00E70467">
        <w:rPr>
          <w:rFonts w:ascii="Times New Roman" w:hAnsi="Times New Roman" w:cs="Times New Roman"/>
          <w:sz w:val="24"/>
          <w:szCs w:val="24"/>
        </w:rPr>
        <w:t xml:space="preserve">0 </w:t>
      </w:r>
      <w:r w:rsidR="00816DF8" w:rsidRPr="006C13DF">
        <w:rPr>
          <w:rFonts w:ascii="Times New Roman" w:hAnsi="Times New Roman" w:cs="Times New Roman"/>
          <w:sz w:val="24"/>
          <w:szCs w:val="24"/>
        </w:rPr>
        <w:t xml:space="preserve">години. </w:t>
      </w:r>
      <w:r w:rsidR="00E70467">
        <w:rPr>
          <w:rFonts w:ascii="Times New Roman" w:hAnsi="Times New Roman" w:cs="Times New Roman"/>
          <w:sz w:val="24"/>
          <w:szCs w:val="24"/>
        </w:rPr>
        <w:t xml:space="preserve">Неговият фокус </w:t>
      </w:r>
      <w:r w:rsidR="00816DF8" w:rsidRPr="006C13DF">
        <w:rPr>
          <w:rFonts w:ascii="Times New Roman" w:hAnsi="Times New Roman" w:cs="Times New Roman"/>
          <w:sz w:val="24"/>
          <w:szCs w:val="24"/>
        </w:rPr>
        <w:t>е върху предоставяне на възможности за обучения за придобиване или повишаване на професионалната квалификация и/или за придобиване на ключови компетентности.</w:t>
      </w:r>
    </w:p>
    <w:p w14:paraId="7A22FD25" w14:textId="77777777" w:rsidR="00816DF8" w:rsidRPr="006C13DF" w:rsidRDefault="00EF2331" w:rsidP="00816DF8">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816DF8" w:rsidRPr="006C13DF">
        <w:rPr>
          <w:rFonts w:ascii="Times New Roman" w:hAnsi="Times New Roman" w:cs="Times New Roman"/>
          <w:sz w:val="24"/>
          <w:szCs w:val="24"/>
        </w:rPr>
        <w:t xml:space="preserve">Приемът на заявления стартира на 15.07.2024 г. През 2024 г. в обучение са включени </w:t>
      </w:r>
      <w:r w:rsidR="00816DF8" w:rsidRPr="006C13DF">
        <w:rPr>
          <w:rFonts w:ascii="Times New Roman" w:hAnsi="Times New Roman" w:cs="Times New Roman"/>
          <w:b/>
          <w:sz w:val="24"/>
          <w:szCs w:val="24"/>
        </w:rPr>
        <w:t>33 лица над 50 г.</w:t>
      </w:r>
    </w:p>
    <w:p w14:paraId="2B566A15" w14:textId="77777777" w:rsidR="00A632A1" w:rsidRPr="006C13DF" w:rsidRDefault="00A632A1" w:rsidP="00067951">
      <w:pPr>
        <w:spacing w:after="0" w:line="240" w:lineRule="auto"/>
        <w:jc w:val="both"/>
        <w:rPr>
          <w:rFonts w:ascii="Times New Roman" w:hAnsi="Times New Roman" w:cs="Times New Roman"/>
          <w:b/>
          <w:sz w:val="24"/>
          <w:szCs w:val="24"/>
        </w:rPr>
      </w:pPr>
    </w:p>
    <w:p w14:paraId="2D306200" w14:textId="77777777" w:rsidR="00EF2331" w:rsidRPr="006C13DF" w:rsidRDefault="00EF2331" w:rsidP="00EF2331">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342C6095" w14:textId="77777777" w:rsidR="00816DF8" w:rsidRPr="006C13DF" w:rsidRDefault="00816DF8" w:rsidP="00067951">
      <w:pPr>
        <w:spacing w:after="0" w:line="240" w:lineRule="auto"/>
        <w:jc w:val="both"/>
        <w:rPr>
          <w:rFonts w:ascii="Times New Roman" w:hAnsi="Times New Roman" w:cs="Times New Roman"/>
          <w:b/>
          <w:sz w:val="24"/>
          <w:szCs w:val="24"/>
        </w:rPr>
      </w:pPr>
    </w:p>
    <w:p w14:paraId="25821204" w14:textId="77777777" w:rsidR="00A632A1" w:rsidRPr="006C13DF" w:rsidRDefault="00A632A1" w:rsidP="00067951">
      <w:pPr>
        <w:spacing w:after="0" w:line="240" w:lineRule="auto"/>
        <w:jc w:val="both"/>
        <w:rPr>
          <w:rFonts w:ascii="Times New Roman" w:eastAsia="Calibri" w:hAnsi="Times New Roman" w:cs="Times New Roman"/>
          <w:b/>
          <w:sz w:val="24"/>
          <w:szCs w:val="24"/>
        </w:rPr>
      </w:pPr>
      <w:r w:rsidRPr="006C13DF">
        <w:rPr>
          <w:rFonts w:ascii="Times New Roman" w:eastAsia="Calibri" w:hAnsi="Times New Roman" w:cs="Times New Roman"/>
          <w:b/>
          <w:sz w:val="24"/>
          <w:szCs w:val="24"/>
        </w:rPr>
        <w:t>1.2.6. Включване на заети лица, вкл. самостоятелно заети, вкл. над 50-годишна възраст в обучения по операция „Квалификация, умения и кариерно развитие на заети лица“ по П РЧР 2021-2027 г.</w:t>
      </w:r>
    </w:p>
    <w:p w14:paraId="09F9EDC9" w14:textId="77777777" w:rsidR="00A632A1" w:rsidRPr="006C13DF" w:rsidRDefault="00A632A1" w:rsidP="00067951">
      <w:pPr>
        <w:spacing w:after="0" w:line="240" w:lineRule="auto"/>
        <w:jc w:val="both"/>
        <w:rPr>
          <w:rFonts w:ascii="Times New Roman" w:eastAsia="Calibri" w:hAnsi="Times New Roman" w:cs="Times New Roman"/>
          <w:b/>
          <w:sz w:val="24"/>
          <w:szCs w:val="24"/>
        </w:rPr>
      </w:pPr>
    </w:p>
    <w:p w14:paraId="5423F2B0" w14:textId="77777777" w:rsidR="00EF2331" w:rsidRPr="006C13DF" w:rsidRDefault="00EF2331" w:rsidP="00816DF8">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816DF8" w:rsidRPr="006C13DF">
        <w:rPr>
          <w:rFonts w:ascii="Times New Roman" w:eastAsia="Calibri" w:hAnsi="Times New Roman" w:cs="Times New Roman"/>
          <w:sz w:val="24"/>
          <w:szCs w:val="24"/>
        </w:rPr>
        <w:t>Проектът има за цел да предостави подкрепа за професионално развитие и гъвкави възможности за обучение, както и за повишаване на професионалната квалификация и уменията, в това число и дигиталните умения на заети лица, включително и на самостоятелно заети лица.</w:t>
      </w:r>
      <w:r w:rsidRPr="006C13DF">
        <w:rPr>
          <w:rFonts w:ascii="Times New Roman" w:eastAsia="Calibri" w:hAnsi="Times New Roman" w:cs="Times New Roman"/>
          <w:sz w:val="24"/>
          <w:szCs w:val="24"/>
        </w:rPr>
        <w:t xml:space="preserve"> </w:t>
      </w:r>
    </w:p>
    <w:p w14:paraId="02222C66" w14:textId="77777777" w:rsidR="00816DF8" w:rsidRPr="006C13DF" w:rsidRDefault="00EF2331" w:rsidP="00816DF8">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816DF8" w:rsidRPr="006C13DF">
        <w:rPr>
          <w:rFonts w:ascii="Times New Roman" w:eastAsia="Calibri" w:hAnsi="Times New Roman" w:cs="Times New Roman"/>
          <w:sz w:val="24"/>
          <w:szCs w:val="24"/>
        </w:rPr>
        <w:t>Приемът на заявления стартира на 27.05.2024 г.</w:t>
      </w:r>
      <w:r w:rsidRPr="006C13DF">
        <w:rPr>
          <w:rFonts w:ascii="Times New Roman" w:eastAsia="Calibri" w:hAnsi="Times New Roman" w:cs="Times New Roman"/>
          <w:sz w:val="24"/>
          <w:szCs w:val="24"/>
        </w:rPr>
        <w:t xml:space="preserve"> </w:t>
      </w:r>
      <w:r w:rsidR="00816DF8" w:rsidRPr="006C13DF">
        <w:rPr>
          <w:rFonts w:ascii="Times New Roman" w:eastAsia="Calibri" w:hAnsi="Times New Roman" w:cs="Times New Roman"/>
          <w:sz w:val="24"/>
          <w:szCs w:val="24"/>
        </w:rPr>
        <w:t xml:space="preserve">През 2024 г. </w:t>
      </w:r>
      <w:r w:rsidR="00816DF8" w:rsidRPr="006C13DF">
        <w:rPr>
          <w:rFonts w:ascii="Times New Roman" w:eastAsia="Calibri" w:hAnsi="Times New Roman" w:cs="Times New Roman"/>
          <w:b/>
          <w:sz w:val="24"/>
          <w:szCs w:val="24"/>
        </w:rPr>
        <w:t>в обучение са включени 2 863 лица над 50 г</w:t>
      </w:r>
      <w:r w:rsidR="00816DF8" w:rsidRPr="006C13DF">
        <w:rPr>
          <w:rFonts w:ascii="Times New Roman" w:eastAsia="Calibri" w:hAnsi="Times New Roman" w:cs="Times New Roman"/>
          <w:sz w:val="24"/>
          <w:szCs w:val="24"/>
        </w:rPr>
        <w:t>.</w:t>
      </w:r>
    </w:p>
    <w:p w14:paraId="740DEC17" w14:textId="77777777" w:rsidR="00816DF8" w:rsidRPr="006C13DF" w:rsidRDefault="00EF2331" w:rsidP="00816DF8">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816DF8" w:rsidRPr="006C13DF">
        <w:rPr>
          <w:rFonts w:ascii="Times New Roman" w:eastAsia="Calibri" w:hAnsi="Times New Roman" w:cs="Times New Roman"/>
          <w:sz w:val="24"/>
          <w:szCs w:val="24"/>
        </w:rPr>
        <w:t xml:space="preserve">В съответствие с новите потребности на пазара на труда и цифровия преход, фокусът на Агенция по заетостта е насочен и към осигуряване на широк достъп до </w:t>
      </w:r>
      <w:r w:rsidR="00816DF8" w:rsidRPr="006C13DF">
        <w:rPr>
          <w:rFonts w:ascii="Times New Roman" w:eastAsia="Calibri" w:hAnsi="Times New Roman" w:cs="Times New Roman"/>
          <w:sz w:val="24"/>
          <w:szCs w:val="24"/>
        </w:rPr>
        <w:lastRenderedPageBreak/>
        <w:t xml:space="preserve">обучения за повишаване на дигиталните умения на работната сила, включително лицата над 50-годишна възраст чрез стартиране на обучения с електронни ваучери. </w:t>
      </w:r>
    </w:p>
    <w:p w14:paraId="5527208C" w14:textId="77777777" w:rsidR="00816DF8" w:rsidRPr="006C13DF" w:rsidRDefault="00EF2331" w:rsidP="00816DF8">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816DF8" w:rsidRPr="006C13DF">
        <w:rPr>
          <w:rFonts w:ascii="Times New Roman" w:eastAsia="Calibri" w:hAnsi="Times New Roman" w:cs="Times New Roman"/>
          <w:sz w:val="24"/>
          <w:szCs w:val="24"/>
        </w:rPr>
        <w:t>В тази връзка Агенция по заетостта в качеството ѝ на краен получател изпълнява „Компонент 2: Обучения за DI-GI умения и компетенции“ от Инвестиция C1.I3 - ПЗ „Предоставяне на обучения за дигитални умения и създаване на платформа за обучение на възрастни“, финансиран от Механизма за възстановяване и устойчивост и изпълнявана в рамките на Национален план за възстановяване и устойчивост на България. Чрез реализацията на дейностите по Компонент 2 се цели повишаване на дигиталните умения и компетенции на населението в съответствие с новите потребности на пазара на труда и навлизането на дигиталните технологии в социално-икономическите процеси, което от своя страна допринася и за пълноценно участие в дигиталната трансформация на социално-икономическия живот.</w:t>
      </w:r>
    </w:p>
    <w:p w14:paraId="591884E2" w14:textId="77777777" w:rsidR="00816DF8" w:rsidRPr="006C13DF" w:rsidRDefault="00EF2331" w:rsidP="00816DF8">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816DF8" w:rsidRPr="006C13DF">
        <w:rPr>
          <w:rFonts w:ascii="Times New Roman" w:eastAsia="Calibri" w:hAnsi="Times New Roman" w:cs="Times New Roman"/>
          <w:sz w:val="24"/>
          <w:szCs w:val="24"/>
        </w:rPr>
        <w:t xml:space="preserve">Приемът на заявления за обучение с ваучери по Компонент 2 стартира на 21.12.2023 г. През 2024 г. </w:t>
      </w:r>
      <w:r w:rsidR="00816DF8" w:rsidRPr="006C13DF">
        <w:rPr>
          <w:rFonts w:ascii="Times New Roman" w:eastAsia="Calibri" w:hAnsi="Times New Roman" w:cs="Times New Roman"/>
          <w:b/>
          <w:sz w:val="24"/>
          <w:szCs w:val="24"/>
        </w:rPr>
        <w:t>в обучение са включени 17 880 лица над 50 г</w:t>
      </w:r>
      <w:r w:rsidR="00816DF8" w:rsidRPr="006C13DF">
        <w:rPr>
          <w:rFonts w:ascii="Times New Roman" w:eastAsia="Calibri" w:hAnsi="Times New Roman" w:cs="Times New Roman"/>
          <w:sz w:val="24"/>
          <w:szCs w:val="24"/>
        </w:rPr>
        <w:t>.</w:t>
      </w:r>
    </w:p>
    <w:p w14:paraId="1CAEACC4" w14:textId="77777777" w:rsidR="00816DF8" w:rsidRPr="006C13DF" w:rsidRDefault="00816DF8" w:rsidP="00067951">
      <w:pPr>
        <w:spacing w:after="0" w:line="240" w:lineRule="auto"/>
        <w:jc w:val="both"/>
        <w:rPr>
          <w:rFonts w:ascii="Times New Roman" w:eastAsia="Calibri" w:hAnsi="Times New Roman" w:cs="Times New Roman"/>
          <w:b/>
          <w:sz w:val="24"/>
          <w:szCs w:val="24"/>
        </w:rPr>
      </w:pPr>
    </w:p>
    <w:p w14:paraId="7426ACCC" w14:textId="77777777" w:rsidR="00EF2331" w:rsidRPr="006C13DF" w:rsidRDefault="00EF2331" w:rsidP="00EF2331">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ПО ЗАЕТОСТТА</w:t>
      </w:r>
    </w:p>
    <w:p w14:paraId="0AC006E6" w14:textId="77777777" w:rsidR="00EF2331" w:rsidRPr="006C13DF" w:rsidRDefault="00EF2331" w:rsidP="00067951">
      <w:pPr>
        <w:spacing w:after="0" w:line="240" w:lineRule="auto"/>
        <w:jc w:val="both"/>
        <w:rPr>
          <w:rFonts w:ascii="Times New Roman" w:eastAsia="Calibri" w:hAnsi="Times New Roman" w:cs="Times New Roman"/>
          <w:b/>
          <w:sz w:val="24"/>
          <w:szCs w:val="24"/>
          <w:lang w:val="en-US"/>
        </w:rPr>
      </w:pPr>
    </w:p>
    <w:p w14:paraId="03D5518B" w14:textId="77777777" w:rsidR="00A632A1" w:rsidRPr="006C13DF" w:rsidRDefault="00A632A1" w:rsidP="00067951">
      <w:pPr>
        <w:spacing w:after="0" w:line="240" w:lineRule="auto"/>
        <w:jc w:val="both"/>
        <w:rPr>
          <w:rFonts w:ascii="Times New Roman" w:eastAsia="Calibri" w:hAnsi="Times New Roman" w:cs="Times New Roman"/>
          <w:b/>
          <w:sz w:val="24"/>
          <w:szCs w:val="24"/>
        </w:rPr>
      </w:pPr>
      <w:r w:rsidRPr="006C13DF">
        <w:rPr>
          <w:rFonts w:ascii="Times New Roman" w:eastAsia="Calibri" w:hAnsi="Times New Roman" w:cs="Times New Roman"/>
          <w:b/>
          <w:sz w:val="24"/>
          <w:szCs w:val="24"/>
        </w:rPr>
        <w:t>1.2.7. Включване на безработни и неактивни лица, вкл. над 50-годишна възраст в обучения по операция „Дигитални умения“ по П РЧР 2021-2027 г.</w:t>
      </w:r>
    </w:p>
    <w:p w14:paraId="29A5E683" w14:textId="77777777" w:rsidR="0038459B" w:rsidRPr="006C13DF" w:rsidRDefault="0038459B" w:rsidP="0038459B">
      <w:pPr>
        <w:spacing w:after="0" w:line="240" w:lineRule="auto"/>
        <w:jc w:val="center"/>
        <w:rPr>
          <w:rFonts w:ascii="Times New Roman" w:eastAsia="Calibri" w:hAnsi="Times New Roman" w:cs="Times New Roman"/>
          <w:b/>
          <w:color w:val="C0504D"/>
          <w:sz w:val="24"/>
          <w:szCs w:val="24"/>
        </w:rPr>
      </w:pPr>
    </w:p>
    <w:p w14:paraId="5C88FF16" w14:textId="77777777" w:rsidR="00816DF8" w:rsidRPr="006C13DF" w:rsidRDefault="00FC1117" w:rsidP="00EF2331">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816DF8" w:rsidRPr="006C13DF">
        <w:rPr>
          <w:rFonts w:ascii="Times New Roman" w:eastAsia="Calibri" w:hAnsi="Times New Roman" w:cs="Times New Roman"/>
          <w:sz w:val="24"/>
          <w:szCs w:val="24"/>
        </w:rPr>
        <w:t xml:space="preserve">Чрез изпълнението на Компонент 2 се дава възможност за включване в обучения за придобиване на базови и </w:t>
      </w:r>
      <w:proofErr w:type="spellStart"/>
      <w:r w:rsidR="00816DF8" w:rsidRPr="006C13DF">
        <w:rPr>
          <w:rFonts w:ascii="Times New Roman" w:eastAsia="Calibri" w:hAnsi="Times New Roman" w:cs="Times New Roman"/>
          <w:sz w:val="24"/>
          <w:szCs w:val="24"/>
        </w:rPr>
        <w:t>надбазови</w:t>
      </w:r>
      <w:proofErr w:type="spellEnd"/>
      <w:r w:rsidR="00816DF8" w:rsidRPr="006C13DF">
        <w:rPr>
          <w:rFonts w:ascii="Times New Roman" w:eastAsia="Calibri" w:hAnsi="Times New Roman" w:cs="Times New Roman"/>
          <w:sz w:val="24"/>
          <w:szCs w:val="24"/>
        </w:rPr>
        <w:t xml:space="preserve"> дигитални умения на безработни и заети лица (ниво 1-4 от </w:t>
      </w:r>
      <w:proofErr w:type="spellStart"/>
      <w:r w:rsidR="00816DF8" w:rsidRPr="006C13DF">
        <w:rPr>
          <w:rFonts w:ascii="Times New Roman" w:eastAsia="Calibri" w:hAnsi="Times New Roman" w:cs="Times New Roman"/>
          <w:sz w:val="24"/>
          <w:szCs w:val="24"/>
        </w:rPr>
        <w:t>DigComp</w:t>
      </w:r>
      <w:proofErr w:type="spellEnd"/>
      <w:r w:rsidR="00816DF8" w:rsidRPr="006C13DF">
        <w:rPr>
          <w:rFonts w:ascii="Times New Roman" w:eastAsia="Calibri" w:hAnsi="Times New Roman" w:cs="Times New Roman"/>
          <w:sz w:val="24"/>
          <w:szCs w:val="24"/>
        </w:rPr>
        <w:t>), както и възможност за валидиране на цифровите умения. Предоставянето на обученията се извършва чрез ваучерен механизъм.</w:t>
      </w:r>
    </w:p>
    <w:p w14:paraId="0EAEE47C" w14:textId="77777777" w:rsidR="00816DF8" w:rsidRPr="006C13DF" w:rsidRDefault="00FC1117" w:rsidP="00EF2331">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816DF8" w:rsidRPr="006C13DF">
        <w:rPr>
          <w:rFonts w:ascii="Times New Roman" w:eastAsia="Calibri" w:hAnsi="Times New Roman" w:cs="Times New Roman"/>
          <w:sz w:val="24"/>
          <w:szCs w:val="24"/>
        </w:rPr>
        <w:t>Целта на проекта е подобряване на дигиталните умения на неактивни и безработни лица, вкл. младежи чрез включването им в обучения. Операцията допринася за изпълнението на Зелената сделка чрез подготовка на кадри за използване на нови технологии и дигитални услуги, които намаляват карбоновия отпечатък върху околната среда.</w:t>
      </w:r>
      <w:r w:rsidRPr="006C13DF">
        <w:rPr>
          <w:rFonts w:ascii="Times New Roman" w:eastAsia="Calibri" w:hAnsi="Times New Roman" w:cs="Times New Roman"/>
          <w:sz w:val="24"/>
          <w:szCs w:val="24"/>
          <w:lang w:val="en-US"/>
        </w:rPr>
        <w:t xml:space="preserve"> </w:t>
      </w:r>
      <w:r w:rsidR="00816DF8" w:rsidRPr="006C13DF">
        <w:rPr>
          <w:rFonts w:ascii="Times New Roman" w:eastAsia="Calibri" w:hAnsi="Times New Roman" w:cs="Times New Roman"/>
          <w:sz w:val="24"/>
          <w:szCs w:val="24"/>
        </w:rPr>
        <w:t xml:space="preserve">Приемът на заявление не е стартирал до края на 2024 г. </w:t>
      </w:r>
    </w:p>
    <w:p w14:paraId="66801554" w14:textId="77777777" w:rsidR="00816DF8" w:rsidRPr="006C13DF" w:rsidRDefault="00816DF8" w:rsidP="0038459B">
      <w:pPr>
        <w:spacing w:after="0" w:line="240" w:lineRule="auto"/>
        <w:jc w:val="center"/>
        <w:rPr>
          <w:rFonts w:ascii="Times New Roman" w:eastAsia="Calibri" w:hAnsi="Times New Roman" w:cs="Times New Roman"/>
          <w:b/>
          <w:color w:val="C0504D"/>
          <w:sz w:val="24"/>
          <w:szCs w:val="24"/>
        </w:rPr>
      </w:pPr>
    </w:p>
    <w:p w14:paraId="5ABF1EC4" w14:textId="77777777" w:rsidR="0038459B" w:rsidRPr="006C13DF" w:rsidRDefault="0038459B" w:rsidP="0038459B">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ИНСТИТУТ ПО ФИЛОСОФИЯ И СОЦИОЛОГИЯ – БАН</w:t>
      </w:r>
    </w:p>
    <w:p w14:paraId="710C2A94" w14:textId="77777777" w:rsidR="00A81EB0" w:rsidRPr="006C13DF" w:rsidRDefault="00A81EB0" w:rsidP="00055B6E">
      <w:pPr>
        <w:spacing w:after="0" w:line="240" w:lineRule="auto"/>
        <w:jc w:val="both"/>
        <w:rPr>
          <w:rFonts w:ascii="Times New Roman" w:eastAsia="Calibri" w:hAnsi="Times New Roman" w:cs="Times New Roman"/>
          <w:b/>
          <w:sz w:val="24"/>
          <w:szCs w:val="24"/>
        </w:rPr>
      </w:pPr>
    </w:p>
    <w:p w14:paraId="7ACA66C0" w14:textId="77777777" w:rsidR="00A632A1" w:rsidRPr="006C13DF" w:rsidRDefault="00055B6E" w:rsidP="002102B2">
      <w:pPr>
        <w:spacing w:after="0" w:line="240" w:lineRule="auto"/>
        <w:jc w:val="both"/>
        <w:rPr>
          <w:rFonts w:ascii="Times New Roman" w:eastAsia="Calibri" w:hAnsi="Times New Roman" w:cs="Times New Roman"/>
          <w:b/>
          <w:sz w:val="24"/>
          <w:szCs w:val="24"/>
        </w:rPr>
      </w:pPr>
      <w:r w:rsidRPr="006C13DF">
        <w:rPr>
          <w:rFonts w:ascii="Times New Roman" w:eastAsia="Calibri" w:hAnsi="Times New Roman" w:cs="Times New Roman"/>
          <w:b/>
          <w:sz w:val="24"/>
          <w:szCs w:val="24"/>
        </w:rPr>
        <w:t>1.2.8. Проект SKILLS2CAPABILITIES</w:t>
      </w:r>
      <w:r w:rsidR="00A632A1" w:rsidRPr="006C13DF">
        <w:rPr>
          <w:rFonts w:ascii="Times New Roman" w:eastAsia="Calibri" w:hAnsi="Times New Roman" w:cs="Times New Roman"/>
          <w:b/>
          <w:sz w:val="24"/>
          <w:szCs w:val="24"/>
        </w:rPr>
        <w:t xml:space="preserve"> </w:t>
      </w:r>
      <w:r w:rsidRPr="006C13DF">
        <w:rPr>
          <w:rFonts w:ascii="Times New Roman" w:eastAsia="Calibri" w:hAnsi="Times New Roman" w:cs="Times New Roman"/>
          <w:b/>
          <w:sz w:val="24"/>
          <w:szCs w:val="24"/>
        </w:rPr>
        <w:t>„</w:t>
      </w:r>
      <w:r w:rsidR="00A632A1" w:rsidRPr="006C13DF">
        <w:rPr>
          <w:rFonts w:ascii="Times New Roman" w:eastAsia="Calibri" w:hAnsi="Times New Roman" w:cs="Times New Roman"/>
          <w:b/>
          <w:sz w:val="24"/>
          <w:szCs w:val="24"/>
        </w:rPr>
        <w:t>От умения към способности и възможности за реализация</w:t>
      </w:r>
      <w:r w:rsidRPr="006C13DF">
        <w:rPr>
          <w:rFonts w:ascii="Times New Roman" w:eastAsia="Calibri" w:hAnsi="Times New Roman" w:cs="Times New Roman"/>
          <w:b/>
          <w:sz w:val="24"/>
          <w:szCs w:val="24"/>
        </w:rPr>
        <w:t>“</w:t>
      </w:r>
      <w:r w:rsidR="00A632A1" w:rsidRPr="006C13DF">
        <w:rPr>
          <w:rFonts w:ascii="Times New Roman" w:eastAsia="Calibri" w:hAnsi="Times New Roman" w:cs="Times New Roman"/>
          <w:b/>
          <w:sz w:val="24"/>
          <w:szCs w:val="24"/>
        </w:rPr>
        <w:t xml:space="preserve"> 2023 – 2025 г.</w:t>
      </w:r>
    </w:p>
    <w:p w14:paraId="41D4BEAC" w14:textId="77777777" w:rsidR="0038459B" w:rsidRPr="006C13DF" w:rsidRDefault="0038459B" w:rsidP="002102B2">
      <w:pPr>
        <w:spacing w:after="0" w:line="240" w:lineRule="auto"/>
        <w:jc w:val="both"/>
        <w:rPr>
          <w:rFonts w:ascii="Times New Roman" w:eastAsia="Calibri" w:hAnsi="Times New Roman" w:cs="Times New Roman"/>
          <w:b/>
          <w:color w:val="C0504D"/>
          <w:sz w:val="24"/>
          <w:szCs w:val="24"/>
        </w:rPr>
      </w:pPr>
    </w:p>
    <w:p w14:paraId="19A3AE1E" w14:textId="77777777" w:rsidR="0038459B" w:rsidRPr="006C13DF" w:rsidRDefault="0038459B" w:rsidP="002102B2">
      <w:pPr>
        <w:spacing w:after="0" w:line="240" w:lineRule="auto"/>
        <w:jc w:val="both"/>
        <w:rPr>
          <w:rFonts w:ascii="Times New Roman" w:eastAsia="Calibri" w:hAnsi="Times New Roman" w:cs="Times New Roman"/>
          <w:bCs/>
          <w:sz w:val="24"/>
          <w:szCs w:val="24"/>
        </w:rPr>
      </w:pPr>
      <w:r w:rsidRPr="006C13DF">
        <w:rPr>
          <w:rFonts w:ascii="Times New Roman" w:eastAsia="Calibri" w:hAnsi="Times New Roman" w:cs="Times New Roman"/>
          <w:sz w:val="24"/>
          <w:szCs w:val="24"/>
        </w:rPr>
        <w:tab/>
        <w:t xml:space="preserve">Екип на ИФС </w:t>
      </w:r>
      <w:r w:rsidR="00055B6E" w:rsidRPr="006C13DF">
        <w:rPr>
          <w:rFonts w:ascii="Times New Roman" w:eastAsia="Calibri" w:hAnsi="Times New Roman" w:cs="Times New Roman"/>
          <w:sz w:val="24"/>
          <w:szCs w:val="24"/>
        </w:rPr>
        <w:t xml:space="preserve">– БАН </w:t>
      </w:r>
      <w:r w:rsidRPr="006C13DF">
        <w:rPr>
          <w:rFonts w:ascii="Times New Roman" w:eastAsia="Calibri" w:hAnsi="Times New Roman" w:cs="Times New Roman"/>
          <w:sz w:val="24"/>
          <w:szCs w:val="24"/>
        </w:rPr>
        <w:t>е работил по проект SKILLS2CAPABILITIES „От умения към  способности и възможности за реализация“</w:t>
      </w:r>
      <w:r w:rsidR="00055B6E" w:rsidRPr="006C13DF">
        <w:rPr>
          <w:rFonts w:ascii="Times New Roman" w:eastAsia="Calibri" w:hAnsi="Times New Roman" w:cs="Times New Roman"/>
          <w:sz w:val="24"/>
          <w:szCs w:val="24"/>
        </w:rPr>
        <w:t xml:space="preserve">. </w:t>
      </w:r>
      <w:r w:rsidRPr="006C13DF">
        <w:rPr>
          <w:rFonts w:ascii="Times New Roman" w:eastAsia="Calibri" w:hAnsi="Times New Roman" w:cs="Times New Roman"/>
          <w:sz w:val="24"/>
          <w:szCs w:val="24"/>
        </w:rPr>
        <w:t>Проектът е със срок на изпълнение 2023</w:t>
      </w:r>
      <w:r w:rsidR="00055B6E" w:rsidRPr="006C13DF">
        <w:rPr>
          <w:rFonts w:ascii="Times New Roman" w:eastAsia="Calibri" w:hAnsi="Times New Roman" w:cs="Times New Roman"/>
          <w:sz w:val="24"/>
          <w:szCs w:val="24"/>
        </w:rPr>
        <w:t xml:space="preserve"> – </w:t>
      </w:r>
      <w:r w:rsidRPr="006C13DF">
        <w:rPr>
          <w:rFonts w:ascii="Times New Roman" w:eastAsia="Calibri" w:hAnsi="Times New Roman" w:cs="Times New Roman"/>
          <w:sz w:val="24"/>
          <w:szCs w:val="24"/>
        </w:rPr>
        <w:t>2025 г.</w:t>
      </w:r>
      <w:r w:rsidR="00055B6E" w:rsidRPr="006C13DF">
        <w:rPr>
          <w:rFonts w:ascii="Times New Roman" w:eastAsia="Calibri" w:hAnsi="Times New Roman" w:cs="Times New Roman"/>
          <w:sz w:val="24"/>
          <w:szCs w:val="24"/>
        </w:rPr>
        <w:t xml:space="preserve"> и </w:t>
      </w:r>
      <w:r w:rsidRPr="006C13DF">
        <w:rPr>
          <w:rFonts w:ascii="Times New Roman" w:eastAsia="Calibri" w:hAnsi="Times New Roman" w:cs="Times New Roman"/>
          <w:sz w:val="24"/>
          <w:szCs w:val="24"/>
        </w:rPr>
        <w:t xml:space="preserve">се финансира от </w:t>
      </w:r>
      <w:r w:rsidRPr="006C13DF">
        <w:rPr>
          <w:rFonts w:ascii="Times New Roman" w:eastAsia="Calibri" w:hAnsi="Times New Roman" w:cs="Times New Roman"/>
          <w:bCs/>
          <w:sz w:val="24"/>
          <w:szCs w:val="24"/>
        </w:rPr>
        <w:t xml:space="preserve">програмата </w:t>
      </w:r>
      <w:r w:rsidR="00055B6E" w:rsidRPr="006C13DF">
        <w:rPr>
          <w:rFonts w:ascii="Times New Roman" w:eastAsia="Calibri" w:hAnsi="Times New Roman" w:cs="Times New Roman"/>
          <w:bCs/>
          <w:sz w:val="24"/>
          <w:szCs w:val="24"/>
        </w:rPr>
        <w:t>„</w:t>
      </w:r>
      <w:r w:rsidRPr="006C13DF">
        <w:rPr>
          <w:rFonts w:ascii="Times New Roman" w:eastAsia="Calibri" w:hAnsi="Times New Roman" w:cs="Times New Roman"/>
          <w:bCs/>
          <w:sz w:val="24"/>
          <w:szCs w:val="24"/>
        </w:rPr>
        <w:t>Хоризонт Европа</w:t>
      </w:r>
      <w:r w:rsidR="00055B6E" w:rsidRPr="006C13DF">
        <w:rPr>
          <w:rFonts w:ascii="Times New Roman" w:eastAsia="Calibri" w:hAnsi="Times New Roman" w:cs="Times New Roman"/>
          <w:bCs/>
          <w:sz w:val="24"/>
          <w:szCs w:val="24"/>
        </w:rPr>
        <w:t>“ –</w:t>
      </w:r>
      <w:r w:rsidRPr="006C13DF">
        <w:rPr>
          <w:rFonts w:ascii="Times New Roman" w:eastAsia="Calibri" w:hAnsi="Times New Roman" w:cs="Times New Roman"/>
          <w:bCs/>
          <w:sz w:val="24"/>
          <w:szCs w:val="24"/>
        </w:rPr>
        <w:t xml:space="preserve"> програма на ЕС за научни изследвания и</w:t>
      </w:r>
      <w:r w:rsidR="00E70467">
        <w:rPr>
          <w:rFonts w:ascii="Times New Roman" w:eastAsia="Calibri" w:hAnsi="Times New Roman" w:cs="Times New Roman"/>
          <w:bCs/>
          <w:sz w:val="24"/>
          <w:szCs w:val="24"/>
        </w:rPr>
        <w:t xml:space="preserve"> иновации 2021 – </w:t>
      </w:r>
      <w:r w:rsidRPr="006C13DF">
        <w:rPr>
          <w:rFonts w:ascii="Times New Roman" w:eastAsia="Calibri" w:hAnsi="Times New Roman" w:cs="Times New Roman"/>
          <w:bCs/>
          <w:sz w:val="24"/>
          <w:szCs w:val="24"/>
        </w:rPr>
        <w:t xml:space="preserve">2027 г., съгласно </w:t>
      </w:r>
      <w:r w:rsidR="00055B6E" w:rsidRPr="006C13DF">
        <w:rPr>
          <w:rFonts w:ascii="Times New Roman" w:eastAsia="Calibri" w:hAnsi="Times New Roman" w:cs="Times New Roman"/>
          <w:bCs/>
          <w:sz w:val="24"/>
          <w:szCs w:val="24"/>
        </w:rPr>
        <w:t>Д</w:t>
      </w:r>
      <w:r w:rsidRPr="006C13DF">
        <w:rPr>
          <w:rFonts w:ascii="Times New Roman" w:eastAsia="Calibri" w:hAnsi="Times New Roman" w:cs="Times New Roman"/>
          <w:bCs/>
          <w:sz w:val="24"/>
          <w:szCs w:val="24"/>
        </w:rPr>
        <w:t>оговор № 101094758.</w:t>
      </w:r>
      <w:r w:rsidR="00055B6E" w:rsidRPr="006C13DF">
        <w:rPr>
          <w:rFonts w:ascii="Times New Roman" w:eastAsia="Calibri" w:hAnsi="Times New Roman" w:cs="Times New Roman"/>
          <w:bCs/>
          <w:sz w:val="24"/>
          <w:szCs w:val="24"/>
        </w:rPr>
        <w:t xml:space="preserve"> Общият бюджет на проекта за</w:t>
      </w:r>
      <w:r w:rsidRPr="006C13DF">
        <w:rPr>
          <w:rFonts w:ascii="Times New Roman" w:eastAsia="Calibri" w:hAnsi="Times New Roman" w:cs="Times New Roman"/>
          <w:bCs/>
          <w:sz w:val="24"/>
          <w:szCs w:val="24"/>
        </w:rPr>
        <w:t xml:space="preserve"> периода 2023 – 2024 </w:t>
      </w:r>
      <w:r w:rsidR="00055B6E" w:rsidRPr="006C13DF">
        <w:rPr>
          <w:rFonts w:ascii="Times New Roman" w:eastAsia="Calibri" w:hAnsi="Times New Roman" w:cs="Times New Roman"/>
          <w:bCs/>
          <w:sz w:val="24"/>
          <w:szCs w:val="24"/>
        </w:rPr>
        <w:t xml:space="preserve">г. е на стойност </w:t>
      </w:r>
      <w:r w:rsidRPr="006C13DF">
        <w:rPr>
          <w:rFonts w:ascii="Times New Roman" w:eastAsia="Calibri" w:hAnsi="Times New Roman" w:cs="Times New Roman"/>
          <w:bCs/>
          <w:sz w:val="24"/>
          <w:szCs w:val="24"/>
        </w:rPr>
        <w:t>252 829 лв.</w:t>
      </w:r>
    </w:p>
    <w:p w14:paraId="375B8260" w14:textId="77777777" w:rsidR="0038459B" w:rsidRPr="006C13DF" w:rsidRDefault="00055B6E" w:rsidP="002102B2">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38459B" w:rsidRPr="006C13DF">
        <w:rPr>
          <w:rFonts w:ascii="Times New Roman" w:eastAsia="Calibri" w:hAnsi="Times New Roman" w:cs="Times New Roman"/>
          <w:sz w:val="24"/>
          <w:szCs w:val="24"/>
        </w:rPr>
        <w:t>В рамките на проекта през периода 2023 г. – 2024 г. са публикувани статии в престижни международни списания и сборници</w:t>
      </w:r>
      <w:r w:rsidRPr="006C13DF">
        <w:rPr>
          <w:rFonts w:ascii="Times New Roman" w:eastAsia="Calibri" w:hAnsi="Times New Roman" w:cs="Times New Roman"/>
          <w:sz w:val="24"/>
          <w:szCs w:val="24"/>
        </w:rPr>
        <w:t xml:space="preserve"> и са изнесени</w:t>
      </w:r>
      <w:r w:rsidR="0038459B" w:rsidRPr="006C13DF">
        <w:rPr>
          <w:rFonts w:ascii="Times New Roman" w:eastAsia="Calibri" w:hAnsi="Times New Roman" w:cs="Times New Roman"/>
          <w:sz w:val="24"/>
          <w:szCs w:val="24"/>
        </w:rPr>
        <w:t xml:space="preserve"> доклади на национални и международни форуми.</w:t>
      </w:r>
    </w:p>
    <w:p w14:paraId="4CA56FAC" w14:textId="77777777" w:rsidR="0038459B" w:rsidRPr="006C13DF" w:rsidRDefault="00E70467" w:rsidP="002102B2">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sidR="0038459B" w:rsidRPr="006C13DF">
        <w:rPr>
          <w:rFonts w:ascii="Times New Roman" w:eastAsia="Calibri" w:hAnsi="Times New Roman" w:cs="Times New Roman"/>
          <w:b/>
          <w:sz w:val="24"/>
          <w:szCs w:val="24"/>
        </w:rPr>
        <w:t>Основни резултати от проекта:</w:t>
      </w:r>
    </w:p>
    <w:p w14:paraId="01B9E850" w14:textId="77777777" w:rsidR="0038459B" w:rsidRPr="00E70467" w:rsidRDefault="0038459B" w:rsidP="00554703">
      <w:pPr>
        <w:pStyle w:val="ListParagraph"/>
        <w:numPr>
          <w:ilvl w:val="0"/>
          <w:numId w:val="3"/>
        </w:numPr>
        <w:spacing w:after="0" w:line="240" w:lineRule="auto"/>
        <w:ind w:left="0" w:firstLine="360"/>
        <w:jc w:val="both"/>
        <w:rPr>
          <w:rFonts w:ascii="Times New Roman" w:eastAsia="Calibri" w:hAnsi="Times New Roman" w:cs="Times New Roman"/>
          <w:b/>
          <w:sz w:val="24"/>
          <w:szCs w:val="24"/>
        </w:rPr>
      </w:pPr>
      <w:r w:rsidRPr="006C13DF">
        <w:rPr>
          <w:rFonts w:ascii="Times New Roman" w:eastAsia="Times New Roman" w:hAnsi="Times New Roman" w:cs="Times New Roman"/>
          <w:sz w:val="24"/>
          <w:szCs w:val="24"/>
          <w:lang w:eastAsia="bg-BG"/>
        </w:rPr>
        <w:t>Преосмислени са моделите за предлагане на умения (</w:t>
      </w:r>
      <w:r w:rsidR="00055B6E" w:rsidRPr="006C13DF">
        <w:rPr>
          <w:rFonts w:ascii="Times New Roman" w:eastAsia="Times New Roman" w:hAnsi="Times New Roman" w:cs="Times New Roman"/>
          <w:sz w:val="24"/>
          <w:szCs w:val="24"/>
          <w:lang w:eastAsia="bg-BG"/>
        </w:rPr>
        <w:t>н</w:t>
      </w:r>
      <w:r w:rsidRPr="006C13DF">
        <w:rPr>
          <w:rFonts w:ascii="Times New Roman" w:eastAsia="Times New Roman" w:hAnsi="Times New Roman" w:cs="Times New Roman"/>
          <w:sz w:val="24"/>
          <w:szCs w:val="24"/>
          <w:lang w:eastAsia="bg-BG"/>
        </w:rPr>
        <w:t>аправени са предложения за подобряване на политиките за ефективност на уменията и образование през целия живот и повишаване на адаптивността, гъвкавостта и устойчивостта на системата за професионално образование и обучение и образованието за възрастни);</w:t>
      </w:r>
    </w:p>
    <w:p w14:paraId="5411FBD6" w14:textId="77777777" w:rsidR="0038459B" w:rsidRPr="00E70467" w:rsidRDefault="0038459B" w:rsidP="00554703">
      <w:pPr>
        <w:pStyle w:val="ListParagraph"/>
        <w:numPr>
          <w:ilvl w:val="0"/>
          <w:numId w:val="3"/>
        </w:numPr>
        <w:spacing w:after="0" w:line="240" w:lineRule="auto"/>
        <w:ind w:left="0" w:firstLine="360"/>
        <w:jc w:val="both"/>
        <w:rPr>
          <w:rFonts w:ascii="Times New Roman" w:eastAsia="Calibri" w:hAnsi="Times New Roman" w:cs="Times New Roman"/>
          <w:b/>
          <w:sz w:val="24"/>
          <w:szCs w:val="24"/>
        </w:rPr>
      </w:pPr>
      <w:r w:rsidRPr="00E70467">
        <w:rPr>
          <w:rFonts w:ascii="Times New Roman" w:eastAsia="Times New Roman" w:hAnsi="Times New Roman" w:cs="Times New Roman"/>
          <w:sz w:val="24"/>
          <w:szCs w:val="24"/>
          <w:lang w:eastAsia="bg-BG"/>
        </w:rPr>
        <w:t>Очертани са нововъзникващи модели на търсене на умения и свързаните с това несъответствия;</w:t>
      </w:r>
    </w:p>
    <w:p w14:paraId="50F7121E" w14:textId="77777777" w:rsidR="0038459B" w:rsidRPr="00E70467" w:rsidRDefault="0038459B" w:rsidP="00554703">
      <w:pPr>
        <w:pStyle w:val="ListParagraph"/>
        <w:numPr>
          <w:ilvl w:val="0"/>
          <w:numId w:val="3"/>
        </w:numPr>
        <w:spacing w:after="0" w:line="240" w:lineRule="auto"/>
        <w:ind w:left="0" w:firstLine="360"/>
        <w:jc w:val="both"/>
        <w:rPr>
          <w:rFonts w:ascii="Times New Roman" w:eastAsia="Calibri" w:hAnsi="Times New Roman" w:cs="Times New Roman"/>
          <w:b/>
          <w:sz w:val="24"/>
          <w:szCs w:val="24"/>
        </w:rPr>
      </w:pPr>
      <w:r w:rsidRPr="00E70467">
        <w:rPr>
          <w:rFonts w:ascii="Times New Roman" w:eastAsia="Times New Roman" w:hAnsi="Times New Roman" w:cs="Times New Roman"/>
          <w:sz w:val="24"/>
          <w:szCs w:val="24"/>
          <w:lang w:eastAsia="bg-BG"/>
        </w:rPr>
        <w:lastRenderedPageBreak/>
        <w:t>Изведени са институционалните отговори (спрямо появяващите се модели на търсене на умения и свързаните с тях несъответствия);</w:t>
      </w:r>
    </w:p>
    <w:p w14:paraId="317EDD6B" w14:textId="77777777" w:rsidR="0038459B" w:rsidRPr="00E70467" w:rsidRDefault="0038459B" w:rsidP="00554703">
      <w:pPr>
        <w:pStyle w:val="ListParagraph"/>
        <w:numPr>
          <w:ilvl w:val="0"/>
          <w:numId w:val="3"/>
        </w:numPr>
        <w:spacing w:after="0" w:line="240" w:lineRule="auto"/>
        <w:ind w:left="0" w:firstLine="360"/>
        <w:jc w:val="both"/>
        <w:rPr>
          <w:rFonts w:ascii="Times New Roman" w:eastAsia="Calibri" w:hAnsi="Times New Roman" w:cs="Times New Roman"/>
          <w:b/>
          <w:sz w:val="24"/>
          <w:szCs w:val="24"/>
        </w:rPr>
      </w:pPr>
      <w:r w:rsidRPr="00E70467">
        <w:rPr>
          <w:rFonts w:ascii="Times New Roman" w:eastAsia="Times New Roman" w:hAnsi="Times New Roman" w:cs="Times New Roman"/>
          <w:sz w:val="24"/>
          <w:szCs w:val="24"/>
          <w:lang w:eastAsia="bg-BG"/>
        </w:rPr>
        <w:t>Разработени са резултати в помощ на политиките и практиката: изведено е разбиране на пътищата за развитие и подобряване на системите за подкрепа на професионалното образование и обучение.</w:t>
      </w:r>
    </w:p>
    <w:p w14:paraId="6B012783" w14:textId="77777777" w:rsidR="0038459B" w:rsidRPr="006C13DF" w:rsidRDefault="00E70467" w:rsidP="002102B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0038459B" w:rsidRPr="006C13DF">
        <w:rPr>
          <w:rFonts w:ascii="Times New Roman" w:eastAsia="Calibri" w:hAnsi="Times New Roman" w:cs="Times New Roman"/>
          <w:b/>
          <w:sz w:val="24"/>
          <w:szCs w:val="24"/>
        </w:rPr>
        <w:t xml:space="preserve">Въздействие на проекта </w:t>
      </w:r>
      <w:r w:rsidR="0038459B" w:rsidRPr="006C13DF">
        <w:rPr>
          <w:rFonts w:ascii="Times New Roman" w:eastAsia="Calibri" w:hAnsi="Times New Roman" w:cs="Times New Roman"/>
          <w:sz w:val="24"/>
          <w:szCs w:val="24"/>
        </w:rPr>
        <w:t>–</w:t>
      </w:r>
      <w:r w:rsidR="0038459B" w:rsidRPr="006C13DF">
        <w:rPr>
          <w:rFonts w:ascii="Times New Roman" w:eastAsia="Calibri" w:hAnsi="Times New Roman" w:cs="Times New Roman"/>
          <w:b/>
          <w:sz w:val="24"/>
          <w:szCs w:val="24"/>
        </w:rPr>
        <w:t xml:space="preserve"> </w:t>
      </w:r>
      <w:r w:rsidR="0038459B" w:rsidRPr="006C13DF">
        <w:rPr>
          <w:rFonts w:ascii="Times New Roman" w:eastAsia="Calibri" w:hAnsi="Times New Roman" w:cs="Times New Roman"/>
          <w:sz w:val="24"/>
          <w:szCs w:val="24"/>
        </w:rPr>
        <w:t>резултатите от проекта имат пряко въздействие на различни нива: национално, регионално и европейско.</w:t>
      </w:r>
    </w:p>
    <w:p w14:paraId="2655BE08" w14:textId="77777777" w:rsidR="00A632A1" w:rsidRPr="006C13DF" w:rsidRDefault="00A632A1" w:rsidP="00410650">
      <w:pPr>
        <w:spacing w:after="0" w:line="240" w:lineRule="auto"/>
        <w:jc w:val="both"/>
        <w:rPr>
          <w:rFonts w:ascii="Times New Roman" w:eastAsia="Calibri" w:hAnsi="Times New Roman" w:cs="Times New Roman"/>
          <w:b/>
          <w:i/>
          <w:sz w:val="24"/>
          <w:szCs w:val="24"/>
        </w:rPr>
      </w:pPr>
    </w:p>
    <w:p w14:paraId="4268130C" w14:textId="77777777" w:rsidR="00410650" w:rsidRPr="006C13DF" w:rsidRDefault="00410650" w:rsidP="00410650">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НАЦИОНАЛНА КОМПАНИЯ „ЖЕЛЕЗОПЪТНА ИНФРАСТРУКТУРА“ (НКЖИ) </w:t>
      </w:r>
    </w:p>
    <w:p w14:paraId="2DAF7A8B" w14:textId="77777777" w:rsidR="00410650" w:rsidRPr="006C13DF" w:rsidRDefault="00410650" w:rsidP="00410650">
      <w:pPr>
        <w:spacing w:after="0" w:line="240" w:lineRule="auto"/>
        <w:jc w:val="both"/>
        <w:rPr>
          <w:rFonts w:ascii="Times New Roman" w:eastAsia="Calibri" w:hAnsi="Times New Roman" w:cs="Times New Roman"/>
          <w:b/>
          <w:i/>
          <w:sz w:val="24"/>
          <w:szCs w:val="24"/>
        </w:rPr>
      </w:pPr>
    </w:p>
    <w:p w14:paraId="3FFCEF67" w14:textId="77777777" w:rsidR="00410650" w:rsidRPr="006C13DF" w:rsidRDefault="00410650" w:rsidP="00410650">
      <w:pPr>
        <w:spacing w:after="0" w:line="240" w:lineRule="auto"/>
        <w:jc w:val="both"/>
        <w:rPr>
          <w:rFonts w:ascii="Times New Roman" w:eastAsia="Calibri" w:hAnsi="Times New Roman" w:cs="Times New Roman"/>
          <w:b/>
          <w:sz w:val="24"/>
          <w:szCs w:val="24"/>
        </w:rPr>
      </w:pPr>
      <w:r w:rsidRPr="006C13DF">
        <w:rPr>
          <w:rFonts w:ascii="Times New Roman" w:eastAsia="Calibri" w:hAnsi="Times New Roman" w:cs="Times New Roman"/>
          <w:b/>
          <w:sz w:val="24"/>
          <w:szCs w:val="24"/>
        </w:rPr>
        <w:t>1.2.9. Насърчаване ученето през целия живот чрез активни дейности по професионално обучение – ежегодни обучения за повишаване на професионалната квалификация и придобиване на нова квалификация, за развиване на умения за работа с новите технологии, чрез осигуряване на равен достъп до възможностите за професионално обучение</w:t>
      </w:r>
    </w:p>
    <w:p w14:paraId="65791224" w14:textId="77777777" w:rsidR="00410650" w:rsidRPr="006C13DF" w:rsidRDefault="00410650" w:rsidP="00410650">
      <w:pPr>
        <w:spacing w:after="0" w:line="240" w:lineRule="auto"/>
        <w:ind w:firstLine="567"/>
        <w:jc w:val="both"/>
        <w:rPr>
          <w:rFonts w:ascii="Times New Roman" w:eastAsia="Calibri" w:hAnsi="Times New Roman" w:cs="Times New Roman"/>
          <w:b/>
          <w:sz w:val="24"/>
          <w:szCs w:val="24"/>
        </w:rPr>
      </w:pPr>
    </w:p>
    <w:p w14:paraId="70B9D31B" w14:textId="77777777" w:rsidR="00410650" w:rsidRPr="006C13DF" w:rsidRDefault="00410650" w:rsidP="00410650">
      <w:pPr>
        <w:spacing w:after="0" w:line="240" w:lineRule="auto"/>
        <w:ind w:firstLine="567"/>
        <w:jc w:val="both"/>
        <w:rPr>
          <w:rFonts w:ascii="Times New Roman" w:eastAsia="Calibri" w:hAnsi="Times New Roman" w:cs="Times New Roman"/>
          <w:kern w:val="2"/>
          <w:sz w:val="24"/>
          <w:szCs w:val="24"/>
          <w14:ligatures w14:val="standardContextual"/>
        </w:rPr>
      </w:pPr>
      <w:r w:rsidRPr="006C13DF">
        <w:rPr>
          <w:rFonts w:ascii="Times New Roman" w:eastAsia="Calibri" w:hAnsi="Times New Roman" w:cs="Times New Roman"/>
          <w:color w:val="000000"/>
          <w:kern w:val="2"/>
          <w:sz w:val="24"/>
          <w:szCs w:val="24"/>
          <w14:ligatures w14:val="standardContextual"/>
        </w:rPr>
        <w:t xml:space="preserve">Осъществено е </w:t>
      </w:r>
      <w:r w:rsidRPr="00EE5556">
        <w:rPr>
          <w:rFonts w:ascii="Times New Roman" w:eastAsia="Calibri" w:hAnsi="Times New Roman" w:cs="Times New Roman"/>
          <w:color w:val="000000"/>
          <w:kern w:val="2"/>
          <w:sz w:val="24"/>
          <w:szCs w:val="24"/>
          <w14:ligatures w14:val="standardContextual"/>
        </w:rPr>
        <w:t>участие на работещите възрастни хора</w:t>
      </w:r>
      <w:r w:rsidRPr="006C13DF">
        <w:rPr>
          <w:rFonts w:ascii="Times New Roman" w:eastAsia="Calibri" w:hAnsi="Times New Roman" w:cs="Times New Roman"/>
          <w:color w:val="000000"/>
          <w:kern w:val="2"/>
          <w:sz w:val="24"/>
          <w:szCs w:val="24"/>
          <w14:ligatures w14:val="standardContextual"/>
        </w:rPr>
        <w:t xml:space="preserve"> в организирани от работодателя периодични обучения по нормативни документи и обучения за развиване на умения за работа с новите технологии.</w:t>
      </w:r>
      <w:r w:rsidRPr="006C13DF">
        <w:rPr>
          <w:rFonts w:ascii="Times New Roman" w:eastAsia="Calibri" w:hAnsi="Times New Roman" w:cs="Times New Roman"/>
          <w:kern w:val="2"/>
          <w:sz w:val="24"/>
          <w:szCs w:val="24"/>
          <w14:ligatures w14:val="standardContextual"/>
        </w:rPr>
        <w:t xml:space="preserve"> </w:t>
      </w:r>
      <w:r w:rsidRPr="00432FAD">
        <w:rPr>
          <w:rFonts w:ascii="Times New Roman" w:eastAsia="Calibri" w:hAnsi="Times New Roman" w:cs="Times New Roman"/>
          <w:kern w:val="2"/>
          <w:sz w:val="24"/>
          <w:szCs w:val="24"/>
          <w14:ligatures w14:val="standardContextual"/>
        </w:rPr>
        <w:t xml:space="preserve">Общият брой на обучените курсисти през </w:t>
      </w:r>
      <w:r w:rsidRPr="00432FAD">
        <w:rPr>
          <w:rFonts w:ascii="Times New Roman" w:eastAsia="Calibri" w:hAnsi="Times New Roman" w:cs="Times New Roman"/>
          <w:kern w:val="2"/>
          <w:sz w:val="24"/>
          <w:szCs w:val="24"/>
          <w14:ligatures w14:val="standardContextual"/>
        </w:rPr>
        <w:br/>
        <w:t>2023 г. е 6 406 бр., а през 2024 г. – 6 366 бр.</w:t>
      </w:r>
    </w:p>
    <w:p w14:paraId="23E49F75" w14:textId="77777777" w:rsidR="00410650" w:rsidRPr="006C13DF" w:rsidRDefault="00410650" w:rsidP="00055B6E">
      <w:pPr>
        <w:spacing w:after="0" w:line="240" w:lineRule="auto"/>
        <w:jc w:val="both"/>
        <w:rPr>
          <w:rFonts w:ascii="Times New Roman" w:eastAsia="Calibri" w:hAnsi="Times New Roman" w:cs="Times New Roman"/>
          <w:b/>
          <w:sz w:val="24"/>
          <w:szCs w:val="24"/>
        </w:rPr>
      </w:pPr>
    </w:p>
    <w:p w14:paraId="14C60DAB" w14:textId="77777777" w:rsidR="00867561" w:rsidRPr="006C13DF" w:rsidRDefault="00867561" w:rsidP="00867561">
      <w:pPr>
        <w:spacing w:after="0" w:line="240" w:lineRule="auto"/>
        <w:jc w:val="center"/>
        <w:rPr>
          <w:rFonts w:ascii="Times New Roman" w:eastAsia="Calibri" w:hAnsi="Times New Roman" w:cs="Times New Roman"/>
          <w:b/>
          <w:color w:val="C0504D"/>
          <w:sz w:val="24"/>
          <w:szCs w:val="24"/>
        </w:rPr>
      </w:pPr>
      <w:bookmarkStart w:id="0" w:name="_Hlk199629906"/>
      <w:r w:rsidRPr="006C13DF">
        <w:rPr>
          <w:rFonts w:ascii="Times New Roman" w:eastAsia="Calibri" w:hAnsi="Times New Roman" w:cs="Times New Roman"/>
          <w:b/>
          <w:color w:val="C0504D"/>
          <w:sz w:val="24"/>
          <w:szCs w:val="24"/>
        </w:rPr>
        <w:t>„БДЖ – ПЪТНИЧЕСКИ ПРЕВОЗИ“ ЕООД И „БДЖ – ТОВАРНИ ПРЕВОЗИ“ ЕООД</w:t>
      </w:r>
    </w:p>
    <w:p w14:paraId="0D071B83" w14:textId="77777777" w:rsidR="00867561" w:rsidRPr="006C13DF" w:rsidRDefault="00867561" w:rsidP="00867561">
      <w:pPr>
        <w:spacing w:after="0" w:line="240" w:lineRule="auto"/>
        <w:jc w:val="center"/>
        <w:rPr>
          <w:rFonts w:ascii="Times New Roman" w:eastAsia="Calibri" w:hAnsi="Times New Roman" w:cs="Times New Roman"/>
          <w:b/>
          <w:color w:val="C0504D"/>
          <w:sz w:val="24"/>
          <w:szCs w:val="24"/>
        </w:rPr>
      </w:pPr>
    </w:p>
    <w:p w14:paraId="64B72184" w14:textId="77777777" w:rsidR="00867561" w:rsidRPr="006C13DF" w:rsidRDefault="00867561" w:rsidP="00867561">
      <w:pPr>
        <w:spacing w:after="0" w:line="240" w:lineRule="auto"/>
        <w:jc w:val="both"/>
        <w:rPr>
          <w:rFonts w:ascii="Times New Roman" w:eastAsia="Calibri" w:hAnsi="Times New Roman" w:cs="Times New Roman"/>
          <w:b/>
          <w:sz w:val="24"/>
          <w:szCs w:val="24"/>
        </w:rPr>
      </w:pPr>
      <w:r w:rsidRPr="006C13DF">
        <w:rPr>
          <w:rFonts w:ascii="Times New Roman" w:eastAsia="Calibri" w:hAnsi="Times New Roman" w:cs="Times New Roman"/>
          <w:b/>
          <w:sz w:val="24"/>
          <w:szCs w:val="24"/>
        </w:rPr>
        <w:t>1.2.10. Насърчаване ученето през целия живот и активни дейности по професионално обучение – ежегодни обучения за повишаване на професионалната квалификация и придобиване на нова квалификация, за развиване на умения за работа с новите технологии</w:t>
      </w:r>
    </w:p>
    <w:p w14:paraId="608DB63E" w14:textId="77777777" w:rsidR="00867561" w:rsidRPr="006C13DF" w:rsidRDefault="00867561" w:rsidP="00867561">
      <w:pPr>
        <w:spacing w:after="0" w:line="240" w:lineRule="auto"/>
        <w:jc w:val="both"/>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 </w:t>
      </w:r>
      <w:bookmarkEnd w:id="0"/>
    </w:p>
    <w:p w14:paraId="37955AF1" w14:textId="77777777" w:rsidR="00867561" w:rsidRPr="006C13DF" w:rsidRDefault="00867561" w:rsidP="00867561">
      <w:pPr>
        <w:spacing w:after="0" w:line="240" w:lineRule="auto"/>
        <w:jc w:val="both"/>
        <w:rPr>
          <w:rFonts w:ascii="Times New Roman" w:eastAsia="Calibri" w:hAnsi="Times New Roman" w:cs="Times New Roman"/>
          <w:b/>
          <w:color w:val="C0504D"/>
          <w:sz w:val="24"/>
          <w:szCs w:val="24"/>
        </w:rPr>
      </w:pPr>
      <w:r w:rsidRPr="006C13DF">
        <w:rPr>
          <w:rFonts w:ascii="Times New Roman" w:eastAsia="Times New Roman" w:hAnsi="Times New Roman" w:cs="Times New Roman"/>
          <w:sz w:val="24"/>
          <w:szCs w:val="24"/>
        </w:rPr>
        <w:tab/>
        <w:t xml:space="preserve">Във връзка с </w:t>
      </w:r>
      <w:r w:rsidRPr="006C13DF">
        <w:rPr>
          <w:rFonts w:ascii="Times New Roman" w:eastAsia="Times New Roman" w:hAnsi="Times New Roman" w:cs="Times New Roman"/>
          <w:bCs/>
          <w:sz w:val="24"/>
          <w:szCs w:val="24"/>
          <w:lang w:eastAsia="bg-BG"/>
        </w:rPr>
        <w:t xml:space="preserve">постигане целите на „БДЖ – Пътнически превози“ ЕООД и осигуряване на персонал с необходимата квалификация и компетентност по отношение на качеството и безопасността, постоянното ѝ поддържане и повишаване, ръководството на дружеството създава условия за поддържане и повишаване компетентността на персонала, в т.ч. и чрез </w:t>
      </w:r>
      <w:r w:rsidRPr="00EE5556">
        <w:rPr>
          <w:rFonts w:ascii="Times New Roman" w:eastAsia="Times New Roman" w:hAnsi="Times New Roman" w:cs="Times New Roman"/>
          <w:b/>
          <w:sz w:val="24"/>
          <w:szCs w:val="24"/>
        </w:rPr>
        <w:t>включване в обучение на</w:t>
      </w:r>
      <w:r w:rsidR="00482CF8" w:rsidRPr="00EE5556">
        <w:rPr>
          <w:rFonts w:ascii="Times New Roman" w:eastAsia="Times New Roman" w:hAnsi="Times New Roman" w:cs="Times New Roman"/>
          <w:b/>
          <w:sz w:val="24"/>
          <w:szCs w:val="24"/>
        </w:rPr>
        <w:t xml:space="preserve"> лица над 55-</w:t>
      </w:r>
      <w:r w:rsidRPr="00EE5556">
        <w:rPr>
          <w:rFonts w:ascii="Times New Roman" w:eastAsia="Times New Roman" w:hAnsi="Times New Roman" w:cs="Times New Roman"/>
          <w:b/>
          <w:sz w:val="24"/>
          <w:szCs w:val="24"/>
        </w:rPr>
        <w:t>годишна възраст в курсове за повишаване на професионалната квалификация, придобиване на нова професионална квалификация и/или правоспособност</w:t>
      </w:r>
      <w:r w:rsidRPr="006C13DF">
        <w:rPr>
          <w:rFonts w:ascii="Times New Roman" w:eastAsia="Times New Roman" w:hAnsi="Times New Roman" w:cs="Times New Roman"/>
          <w:sz w:val="24"/>
          <w:szCs w:val="24"/>
        </w:rPr>
        <w:t>, като например за „Кондуктор“, „Началник влак“, „Маневрист“ и „Ревизор вагони“.</w:t>
      </w:r>
    </w:p>
    <w:p w14:paraId="77CE9109" w14:textId="77777777" w:rsidR="00482CF8" w:rsidRDefault="00867561" w:rsidP="00867561">
      <w:pPr>
        <w:spacing w:after="0" w:line="240" w:lineRule="auto"/>
        <w:ind w:firstLine="708"/>
        <w:jc w:val="both"/>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 xml:space="preserve">За периода 2023 – 2024 г. 121 служители на „БДЖ – </w:t>
      </w:r>
      <w:r w:rsidR="00482CF8" w:rsidRPr="006C13DF">
        <w:rPr>
          <w:rFonts w:ascii="Times New Roman" w:eastAsia="Times New Roman" w:hAnsi="Times New Roman" w:cs="Times New Roman"/>
          <w:sz w:val="24"/>
          <w:szCs w:val="24"/>
        </w:rPr>
        <w:t>Пътнически превози“ ЕООД над 55-</w:t>
      </w:r>
      <w:r w:rsidRPr="006C13DF">
        <w:rPr>
          <w:rFonts w:ascii="Times New Roman" w:eastAsia="Times New Roman" w:hAnsi="Times New Roman" w:cs="Times New Roman"/>
          <w:sz w:val="24"/>
          <w:szCs w:val="24"/>
        </w:rPr>
        <w:t>годишна възраст са преминали през обучение за придобиване на нова професионална квалификация и/или правоспособност в Център за професионално обучение, разпределени по години, както следва:</w:t>
      </w:r>
    </w:p>
    <w:p w14:paraId="4A9EFD08" w14:textId="77777777" w:rsidR="00867561" w:rsidRPr="00EE5556" w:rsidRDefault="00EE5556" w:rsidP="00554703">
      <w:pPr>
        <w:pStyle w:val="ListParagraph"/>
        <w:numPr>
          <w:ilvl w:val="0"/>
          <w:numId w:val="3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867561" w:rsidRPr="00EE5556">
        <w:rPr>
          <w:rFonts w:ascii="Times New Roman" w:eastAsia="Times New Roman" w:hAnsi="Times New Roman" w:cs="Times New Roman"/>
          <w:sz w:val="24"/>
          <w:szCs w:val="24"/>
        </w:rPr>
        <w:t xml:space="preserve">рез </w:t>
      </w:r>
      <w:r w:rsidR="00867561" w:rsidRPr="00EE5556">
        <w:rPr>
          <w:rFonts w:ascii="Times New Roman" w:eastAsia="Times New Roman" w:hAnsi="Times New Roman" w:cs="Times New Roman"/>
          <w:bCs/>
          <w:sz w:val="24"/>
          <w:szCs w:val="24"/>
          <w:lang w:eastAsia="bg-BG"/>
        </w:rPr>
        <w:t xml:space="preserve">2023 г. – </w:t>
      </w:r>
      <w:r w:rsidR="00867561" w:rsidRPr="00EE5556">
        <w:rPr>
          <w:rFonts w:ascii="Times New Roman" w:eastAsia="Times New Roman" w:hAnsi="Times New Roman" w:cs="Times New Roman"/>
          <w:bCs/>
          <w:sz w:val="24"/>
          <w:szCs w:val="24"/>
          <w:lang w:val="en-US" w:eastAsia="bg-BG"/>
        </w:rPr>
        <w:t xml:space="preserve">66 </w:t>
      </w:r>
      <w:r w:rsidR="00867561" w:rsidRPr="00EE5556">
        <w:rPr>
          <w:rFonts w:ascii="Times New Roman" w:eastAsia="Times New Roman" w:hAnsi="Times New Roman" w:cs="Times New Roman"/>
          <w:bCs/>
          <w:sz w:val="24"/>
          <w:szCs w:val="24"/>
          <w:lang w:eastAsia="bg-BG"/>
        </w:rPr>
        <w:t>бр.</w:t>
      </w:r>
      <w:r w:rsidR="00482CF8" w:rsidRPr="00EE5556">
        <w:rPr>
          <w:rFonts w:ascii="Times New Roman" w:eastAsia="Times New Roman" w:hAnsi="Times New Roman" w:cs="Times New Roman"/>
          <w:bCs/>
          <w:sz w:val="24"/>
          <w:szCs w:val="24"/>
          <w:lang w:eastAsia="bg-BG"/>
        </w:rPr>
        <w:t>;</w:t>
      </w:r>
    </w:p>
    <w:p w14:paraId="505DF200" w14:textId="77777777" w:rsidR="00867561" w:rsidRPr="00EE5556" w:rsidRDefault="00EE5556" w:rsidP="00554703">
      <w:pPr>
        <w:pStyle w:val="ListParagraph"/>
        <w:numPr>
          <w:ilvl w:val="0"/>
          <w:numId w:val="3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bg-BG"/>
        </w:rPr>
        <w:t>п</w:t>
      </w:r>
      <w:r w:rsidR="00867561" w:rsidRPr="00EE5556">
        <w:rPr>
          <w:rFonts w:ascii="Times New Roman" w:eastAsia="Times New Roman" w:hAnsi="Times New Roman" w:cs="Times New Roman"/>
          <w:bCs/>
          <w:sz w:val="24"/>
          <w:szCs w:val="24"/>
          <w:lang w:eastAsia="bg-BG"/>
        </w:rPr>
        <w:t>рез 2024 г. – 55 бр.</w:t>
      </w:r>
    </w:p>
    <w:p w14:paraId="3F19B886" w14:textId="77777777" w:rsidR="00867561" w:rsidRPr="006C13DF" w:rsidRDefault="00867561" w:rsidP="00867561">
      <w:pPr>
        <w:spacing w:after="0" w:line="240" w:lineRule="auto"/>
        <w:ind w:firstLine="708"/>
        <w:jc w:val="both"/>
        <w:rPr>
          <w:rFonts w:ascii="Times New Roman" w:eastAsia="Times New Roman" w:hAnsi="Times New Roman" w:cs="Times New Roman"/>
          <w:bCs/>
          <w:sz w:val="24"/>
          <w:szCs w:val="24"/>
          <w:lang w:eastAsia="bg-BG"/>
        </w:rPr>
      </w:pPr>
      <w:r w:rsidRPr="006C13DF">
        <w:rPr>
          <w:rFonts w:ascii="Times New Roman" w:eastAsia="Times New Roman" w:hAnsi="Times New Roman" w:cs="Times New Roman"/>
          <w:bCs/>
          <w:sz w:val="24"/>
          <w:szCs w:val="24"/>
          <w:lang w:eastAsia="bg-BG"/>
        </w:rPr>
        <w:t>Чрез включването</w:t>
      </w:r>
      <w:r w:rsidR="00482CF8" w:rsidRPr="006C13DF">
        <w:rPr>
          <w:rFonts w:ascii="Times New Roman" w:eastAsia="Times New Roman" w:hAnsi="Times New Roman" w:cs="Times New Roman"/>
          <w:bCs/>
          <w:sz w:val="24"/>
          <w:szCs w:val="24"/>
          <w:lang w:eastAsia="bg-BG"/>
        </w:rPr>
        <w:t xml:space="preserve"> в обучения на персонала над 55-</w:t>
      </w:r>
      <w:r w:rsidRPr="006C13DF">
        <w:rPr>
          <w:rFonts w:ascii="Times New Roman" w:eastAsia="Times New Roman" w:hAnsi="Times New Roman" w:cs="Times New Roman"/>
          <w:bCs/>
          <w:sz w:val="24"/>
          <w:szCs w:val="24"/>
          <w:lang w:eastAsia="bg-BG"/>
        </w:rPr>
        <w:t>годишна възраст се поддържат навиците за учене през целия живот, осигуряват се условия за непрекъснато професионално обучение и развитие, и се създават условия за постигане удовлетворение от работата.</w:t>
      </w:r>
    </w:p>
    <w:p w14:paraId="58C8D44E" w14:textId="77777777" w:rsidR="00867561" w:rsidRPr="006C13DF" w:rsidRDefault="00867561" w:rsidP="00F258A9">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 xml:space="preserve">Насърчаване ученето през целия живот чрез активни дейности по професионално обучение – ежегодни обучения за повишаване на професионалната квалификация и придобиване на нова квалификация, за развиване на умения за работа с новите технологии, чрез осигуряване на равен достъп до възможностите за професионално </w:t>
      </w:r>
      <w:r w:rsidRPr="006C13DF">
        <w:rPr>
          <w:rFonts w:ascii="Times New Roman" w:eastAsia="Calibri" w:hAnsi="Times New Roman" w:cs="Times New Roman"/>
          <w:sz w:val="24"/>
          <w:szCs w:val="24"/>
        </w:rPr>
        <w:lastRenderedPageBreak/>
        <w:t>обучение.</w:t>
      </w:r>
      <w:r w:rsidRPr="006C13DF">
        <w:rPr>
          <w:rFonts w:ascii="Times New Roman" w:eastAsia="Calibri" w:hAnsi="Times New Roman" w:cs="Times New Roman"/>
        </w:rPr>
        <w:t xml:space="preserve"> </w:t>
      </w:r>
      <w:r w:rsidRPr="006C13DF">
        <w:rPr>
          <w:rFonts w:ascii="Times New Roman" w:eastAsia="Calibri" w:hAnsi="Times New Roman" w:cs="Times New Roman"/>
          <w:sz w:val="24"/>
          <w:szCs w:val="24"/>
        </w:rPr>
        <w:t>„БДЖ – Товарни превози“ ЕООД</w:t>
      </w:r>
      <w:r w:rsidR="00482CF8" w:rsidRPr="006C13DF">
        <w:rPr>
          <w:rFonts w:ascii="Times New Roman" w:eastAsia="Calibri" w:hAnsi="Times New Roman" w:cs="Times New Roman"/>
          <w:sz w:val="24"/>
          <w:szCs w:val="24"/>
        </w:rPr>
        <w:t xml:space="preserve"> включва в обучение лица над 55-</w:t>
      </w:r>
      <w:r w:rsidRPr="006C13DF">
        <w:rPr>
          <w:rFonts w:ascii="Times New Roman" w:eastAsia="Calibri" w:hAnsi="Times New Roman" w:cs="Times New Roman"/>
          <w:sz w:val="24"/>
          <w:szCs w:val="24"/>
        </w:rPr>
        <w:t>годишна възраст в курсове за повишаване на професионалната квалификация, придобиване на нова професионална квалификация и/или правоспособност.</w:t>
      </w:r>
    </w:p>
    <w:p w14:paraId="2B859632" w14:textId="77777777" w:rsidR="00867561" w:rsidRPr="009A2E60" w:rsidRDefault="00867561" w:rsidP="00F258A9">
      <w:pPr>
        <w:spacing w:after="0" w:line="240" w:lineRule="auto"/>
        <w:jc w:val="both"/>
        <w:rPr>
          <w:rFonts w:ascii="Times New Roman" w:eastAsia="Calibri" w:hAnsi="Times New Roman" w:cs="Times New Roman"/>
          <w:b/>
          <w:sz w:val="24"/>
          <w:szCs w:val="24"/>
        </w:rPr>
      </w:pPr>
    </w:p>
    <w:p w14:paraId="3EDFB82F" w14:textId="77777777" w:rsidR="00326CFC" w:rsidRDefault="00326CFC" w:rsidP="00F258A9">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w:t>
      </w:r>
      <w:r>
        <w:rPr>
          <w:rFonts w:ascii="Times New Roman" w:eastAsia="Calibri" w:hAnsi="Times New Roman" w:cs="Times New Roman"/>
          <w:b/>
          <w:caps/>
          <w:color w:val="C0504D"/>
          <w:sz w:val="24"/>
          <w:szCs w:val="24"/>
        </w:rPr>
        <w:t xml:space="preserve"> ТРАНСПОРТА И СЪОБЩЕНИЯТА</w:t>
      </w:r>
    </w:p>
    <w:p w14:paraId="27A9A982" w14:textId="77777777" w:rsidR="00326CFC" w:rsidRDefault="00326CFC" w:rsidP="00F258A9">
      <w:pPr>
        <w:spacing w:after="0" w:line="240" w:lineRule="auto"/>
        <w:jc w:val="center"/>
        <w:rPr>
          <w:rFonts w:ascii="Times New Roman" w:eastAsia="Calibri" w:hAnsi="Times New Roman" w:cs="Times New Roman"/>
          <w:b/>
          <w:caps/>
          <w:color w:val="C0504D"/>
          <w:sz w:val="24"/>
          <w:szCs w:val="24"/>
        </w:rPr>
      </w:pPr>
      <w:r>
        <w:rPr>
          <w:rFonts w:ascii="Times New Roman" w:eastAsia="Calibri" w:hAnsi="Times New Roman" w:cs="Times New Roman"/>
          <w:b/>
          <w:caps/>
          <w:color w:val="C0504D"/>
          <w:sz w:val="24"/>
          <w:szCs w:val="24"/>
        </w:rPr>
        <w:t>РЕГИОНАЛНА ДИРЕКЦИЯ „АВТОМОБИЛНА АДМИНИСТРАЦИЯ“ – РУСЕ</w:t>
      </w:r>
    </w:p>
    <w:p w14:paraId="32D8B02D" w14:textId="77777777" w:rsidR="00326CFC" w:rsidRPr="00326CFC" w:rsidRDefault="00326CFC" w:rsidP="00F258A9">
      <w:pPr>
        <w:spacing w:after="0" w:line="240" w:lineRule="auto"/>
        <w:jc w:val="both"/>
        <w:rPr>
          <w:rFonts w:ascii="Times New Roman" w:eastAsia="Calibri" w:hAnsi="Times New Roman" w:cs="Times New Roman"/>
          <w:b/>
          <w:sz w:val="24"/>
          <w:szCs w:val="24"/>
        </w:rPr>
      </w:pPr>
    </w:p>
    <w:p w14:paraId="3DEB80EB" w14:textId="77777777" w:rsidR="00326CFC" w:rsidRPr="006C13DF" w:rsidRDefault="00326CFC" w:rsidP="00F258A9">
      <w:pPr>
        <w:spacing w:after="0" w:line="240" w:lineRule="auto"/>
        <w:jc w:val="both"/>
        <w:rPr>
          <w:rFonts w:ascii="Times New Roman" w:eastAsia="Calibri" w:hAnsi="Times New Roman" w:cs="Times New Roman"/>
          <w:b/>
          <w:sz w:val="24"/>
          <w:szCs w:val="24"/>
        </w:rPr>
      </w:pPr>
      <w:r w:rsidRPr="00326CFC">
        <w:rPr>
          <w:rFonts w:ascii="Times New Roman" w:eastAsia="Calibri" w:hAnsi="Times New Roman" w:cs="Times New Roman"/>
          <w:b/>
          <w:sz w:val="24"/>
          <w:szCs w:val="24"/>
        </w:rPr>
        <w:t>1.2.11. Специализирано обучение на инспекторския състав относно повишаване ефективността на контролната дейност за постигане на визия, произтичаща от добрите европейски практики</w:t>
      </w:r>
    </w:p>
    <w:p w14:paraId="0EBD97A8" w14:textId="77777777" w:rsidR="00326CFC" w:rsidRDefault="00326CFC" w:rsidP="00F258A9">
      <w:pPr>
        <w:spacing w:after="0" w:line="240" w:lineRule="auto"/>
        <w:jc w:val="center"/>
        <w:rPr>
          <w:rFonts w:ascii="Times New Roman" w:eastAsia="Calibri" w:hAnsi="Times New Roman" w:cs="Times New Roman"/>
          <w:b/>
          <w:caps/>
          <w:color w:val="C0504D"/>
          <w:sz w:val="24"/>
          <w:szCs w:val="24"/>
        </w:rPr>
      </w:pPr>
      <w:r>
        <w:rPr>
          <w:rFonts w:ascii="Times New Roman" w:eastAsia="Calibri" w:hAnsi="Times New Roman" w:cs="Times New Roman"/>
          <w:b/>
          <w:caps/>
          <w:color w:val="C0504D"/>
          <w:sz w:val="24"/>
          <w:szCs w:val="24"/>
        </w:rPr>
        <w:t xml:space="preserve"> </w:t>
      </w:r>
    </w:p>
    <w:p w14:paraId="1A6FCB2B" w14:textId="77777777" w:rsidR="003B5384" w:rsidRDefault="00F258A9" w:rsidP="00F258A9">
      <w:pPr>
        <w:pStyle w:val="NormalWeb"/>
        <w:spacing w:before="0" w:beforeAutospacing="0" w:after="0" w:afterAutospacing="0" w:line="240" w:lineRule="auto"/>
        <w:jc w:val="both"/>
        <w:rPr>
          <w:rFonts w:eastAsiaTheme="minorHAnsi"/>
          <w:lang w:val="bg-BG"/>
        </w:rPr>
      </w:pPr>
      <w:r>
        <w:rPr>
          <w:rFonts w:eastAsiaTheme="minorHAnsi"/>
          <w:lang w:val="bg-BG"/>
        </w:rPr>
        <w:tab/>
        <w:t>За периода 13 –</w:t>
      </w:r>
      <w:r w:rsidR="00326CFC" w:rsidRPr="00F258A9">
        <w:rPr>
          <w:rFonts w:eastAsiaTheme="minorHAnsi"/>
          <w:lang w:val="bg-BG"/>
        </w:rPr>
        <w:t xml:space="preserve"> 27.11.2023 г. в Русенския университет „Ангел Кънчев“ в гр. Русе </w:t>
      </w:r>
      <w:r w:rsidRPr="00F258A9">
        <w:rPr>
          <w:rFonts w:eastAsiaTheme="minorHAnsi"/>
          <w:lang w:val="bg-BG"/>
        </w:rPr>
        <w:t xml:space="preserve">председатели на изпитни комисии </w:t>
      </w:r>
      <w:r w:rsidR="00326CFC" w:rsidRPr="00F258A9">
        <w:rPr>
          <w:rFonts w:eastAsiaTheme="minorHAnsi"/>
          <w:lang w:val="bg-BG"/>
        </w:rPr>
        <w:t>са преминали специализирано периодично обучение, съгласно чл. 153</w:t>
      </w:r>
      <w:r>
        <w:rPr>
          <w:rFonts w:eastAsiaTheme="minorHAnsi"/>
          <w:lang w:val="bg-BG"/>
        </w:rPr>
        <w:t xml:space="preserve">а </w:t>
      </w:r>
      <w:r w:rsidR="00326CFC" w:rsidRPr="00F258A9">
        <w:rPr>
          <w:rFonts w:eastAsiaTheme="minorHAnsi"/>
          <w:lang w:val="bg-BG"/>
        </w:rPr>
        <w:t>от Закона за движението по пътищата (ЗДвП), като са обучени 86 инспектори от областни отде</w:t>
      </w:r>
      <w:r w:rsidR="009A2E60" w:rsidRPr="00F258A9">
        <w:rPr>
          <w:rFonts w:eastAsiaTheme="minorHAnsi"/>
          <w:lang w:val="bg-BG"/>
        </w:rPr>
        <w:t>ли „Автомобилна администрация“.</w:t>
      </w:r>
    </w:p>
    <w:p w14:paraId="4DD200DE" w14:textId="77777777" w:rsidR="00F258A9" w:rsidRPr="00F258A9" w:rsidRDefault="00F258A9" w:rsidP="00F258A9">
      <w:pPr>
        <w:pStyle w:val="NormalWeb"/>
        <w:spacing w:before="0" w:beforeAutospacing="0" w:after="0" w:afterAutospacing="0" w:line="240" w:lineRule="auto"/>
        <w:jc w:val="both"/>
        <w:rPr>
          <w:rFonts w:eastAsiaTheme="minorHAnsi"/>
          <w:lang w:val="bg-BG"/>
        </w:rPr>
      </w:pPr>
    </w:p>
    <w:p w14:paraId="0C783319" w14:textId="77777777" w:rsidR="009A2E60" w:rsidRPr="00F258A9" w:rsidRDefault="009A2E60" w:rsidP="00F258A9">
      <w:pPr>
        <w:spacing w:after="0" w:line="240" w:lineRule="auto"/>
        <w:jc w:val="center"/>
        <w:rPr>
          <w:rFonts w:ascii="Times New Roman" w:eastAsia="Calibri" w:hAnsi="Times New Roman" w:cs="Times New Roman"/>
          <w:b/>
          <w:caps/>
          <w:color w:val="C0504D"/>
          <w:sz w:val="24"/>
          <w:szCs w:val="24"/>
        </w:rPr>
      </w:pPr>
      <w:r w:rsidRPr="00F258A9">
        <w:rPr>
          <w:rFonts w:ascii="Times New Roman" w:eastAsia="Calibri" w:hAnsi="Times New Roman" w:cs="Times New Roman"/>
          <w:b/>
          <w:caps/>
          <w:color w:val="C0504D"/>
          <w:sz w:val="24"/>
          <w:szCs w:val="24"/>
        </w:rPr>
        <w:t>Министерство на ТРАНСПОРТА И СЪОБЩЕНИЯТА</w:t>
      </w:r>
    </w:p>
    <w:p w14:paraId="7A4CEF84" w14:textId="77777777" w:rsidR="00326CFC" w:rsidRPr="00F258A9" w:rsidRDefault="009A2E60" w:rsidP="00F258A9">
      <w:pPr>
        <w:spacing w:after="0" w:line="240" w:lineRule="auto"/>
        <w:jc w:val="center"/>
        <w:rPr>
          <w:rFonts w:ascii="Times New Roman" w:eastAsia="Calibri" w:hAnsi="Times New Roman" w:cs="Times New Roman"/>
          <w:b/>
          <w:caps/>
          <w:color w:val="C0504D"/>
          <w:sz w:val="24"/>
          <w:szCs w:val="24"/>
        </w:rPr>
      </w:pPr>
      <w:r w:rsidRPr="00F258A9">
        <w:rPr>
          <w:rFonts w:ascii="Times New Roman" w:eastAsia="Calibri" w:hAnsi="Times New Roman" w:cs="Times New Roman"/>
          <w:b/>
          <w:caps/>
          <w:color w:val="C0504D"/>
          <w:sz w:val="24"/>
          <w:szCs w:val="24"/>
        </w:rPr>
        <w:t>РЕГИОНАЛНА ДИРЕКЦИЯ „АВТОМОБИЛНА АДМИНИСТРАЦИЯ“ – СОФИЯ</w:t>
      </w:r>
    </w:p>
    <w:p w14:paraId="748D85F3" w14:textId="77777777" w:rsidR="00A632A1" w:rsidRPr="00F258A9" w:rsidRDefault="00A632A1" w:rsidP="00F258A9">
      <w:pPr>
        <w:spacing w:after="0" w:line="240" w:lineRule="auto"/>
        <w:ind w:firstLine="720"/>
        <w:jc w:val="both"/>
        <w:rPr>
          <w:rFonts w:ascii="Times New Roman" w:eastAsia="Calibri" w:hAnsi="Times New Roman" w:cs="Times New Roman"/>
          <w:b/>
          <w:i/>
          <w:sz w:val="24"/>
          <w:szCs w:val="24"/>
        </w:rPr>
      </w:pPr>
    </w:p>
    <w:p w14:paraId="7458A3CD" w14:textId="77777777" w:rsidR="00A632A1" w:rsidRPr="00F258A9" w:rsidRDefault="00A632A1" w:rsidP="00F258A9">
      <w:pPr>
        <w:spacing w:after="0" w:line="240" w:lineRule="auto"/>
        <w:jc w:val="both"/>
        <w:rPr>
          <w:rFonts w:ascii="Times New Roman" w:eastAsia="Calibri" w:hAnsi="Times New Roman" w:cs="Times New Roman"/>
          <w:b/>
          <w:sz w:val="24"/>
          <w:szCs w:val="24"/>
        </w:rPr>
      </w:pPr>
      <w:r w:rsidRPr="00F258A9">
        <w:rPr>
          <w:rFonts w:ascii="Times New Roman" w:eastAsia="Calibri" w:hAnsi="Times New Roman" w:cs="Times New Roman"/>
          <w:b/>
          <w:sz w:val="24"/>
          <w:szCs w:val="24"/>
        </w:rPr>
        <w:t>1.2.12. Повишаване на нивото на квалификацията на работещите възрастни хора</w:t>
      </w:r>
    </w:p>
    <w:p w14:paraId="0790D84D" w14:textId="77777777" w:rsidR="00BF78E9" w:rsidRPr="00F258A9" w:rsidRDefault="00BF78E9" w:rsidP="00F258A9">
      <w:pPr>
        <w:spacing w:after="0" w:line="240" w:lineRule="auto"/>
        <w:jc w:val="center"/>
        <w:rPr>
          <w:rFonts w:ascii="Times New Roman" w:eastAsia="Calibri" w:hAnsi="Times New Roman" w:cs="Times New Roman"/>
          <w:b/>
          <w:caps/>
          <w:color w:val="C0504D"/>
          <w:sz w:val="24"/>
          <w:szCs w:val="24"/>
        </w:rPr>
      </w:pPr>
    </w:p>
    <w:p w14:paraId="5AC6B9F1" w14:textId="77777777" w:rsidR="009A2E60" w:rsidRPr="00F258A9" w:rsidRDefault="00F258A9" w:rsidP="00F258A9">
      <w:p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ab/>
      </w:r>
      <w:r w:rsidR="009A2E60" w:rsidRPr="00F258A9">
        <w:rPr>
          <w:rFonts w:ascii="Times New Roman" w:hAnsi="Times New Roman" w:cs="Times New Roman"/>
          <w:sz w:val="24"/>
          <w:szCs w:val="24"/>
          <w:lang w:eastAsia="ar-SA"/>
        </w:rPr>
        <w:t>Наетите на работа възрастни хора, пенсионирани от системата на Изпълнителна агенция „Автомобилна</w:t>
      </w:r>
      <w:r>
        <w:rPr>
          <w:rFonts w:ascii="Times New Roman" w:hAnsi="Times New Roman" w:cs="Times New Roman"/>
          <w:sz w:val="24"/>
          <w:szCs w:val="24"/>
          <w:lang w:eastAsia="ar-SA"/>
        </w:rPr>
        <w:t xml:space="preserve"> администрация“ за периода 2023 – </w:t>
      </w:r>
      <w:r w:rsidR="009A2E60" w:rsidRPr="00F258A9">
        <w:rPr>
          <w:rFonts w:ascii="Times New Roman" w:hAnsi="Times New Roman" w:cs="Times New Roman"/>
          <w:sz w:val="24"/>
          <w:szCs w:val="24"/>
          <w:lang w:eastAsia="ar-SA"/>
        </w:rPr>
        <w:t xml:space="preserve">2024 г. </w:t>
      </w:r>
      <w:r w:rsidR="009A2E60" w:rsidRPr="00F258A9">
        <w:rPr>
          <w:rFonts w:ascii="Times New Roman" w:hAnsi="Times New Roman" w:cs="Times New Roman"/>
          <w:sz w:val="24"/>
          <w:szCs w:val="24"/>
        </w:rPr>
        <w:t xml:space="preserve">са преминали специализирано обучение във </w:t>
      </w:r>
      <w:r w:rsidRPr="00F258A9">
        <w:rPr>
          <w:rFonts w:ascii="Times New Roman" w:hAnsi="Times New Roman" w:cs="Times New Roman"/>
          <w:sz w:val="24"/>
          <w:szCs w:val="24"/>
        </w:rPr>
        <w:t>Висшето транспортно училище</w:t>
      </w:r>
      <w:r>
        <w:rPr>
          <w:rFonts w:ascii="Times New Roman" w:hAnsi="Times New Roman" w:cs="Times New Roman"/>
          <w:sz w:val="24"/>
          <w:szCs w:val="24"/>
        </w:rPr>
        <w:t xml:space="preserve"> </w:t>
      </w:r>
      <w:r w:rsidR="009A2E60" w:rsidRPr="00F258A9">
        <w:rPr>
          <w:rFonts w:ascii="Times New Roman" w:hAnsi="Times New Roman" w:cs="Times New Roman"/>
          <w:sz w:val="24"/>
          <w:szCs w:val="24"/>
        </w:rPr>
        <w:t>„Тодор Каблешков“ и в Русенски</w:t>
      </w:r>
      <w:r>
        <w:rPr>
          <w:rFonts w:ascii="Times New Roman" w:hAnsi="Times New Roman" w:cs="Times New Roman"/>
          <w:sz w:val="24"/>
          <w:szCs w:val="24"/>
        </w:rPr>
        <w:t>я</w:t>
      </w:r>
      <w:r w:rsidR="009A2E60" w:rsidRPr="00F258A9">
        <w:rPr>
          <w:rFonts w:ascii="Times New Roman" w:hAnsi="Times New Roman" w:cs="Times New Roman"/>
          <w:sz w:val="24"/>
          <w:szCs w:val="24"/>
        </w:rPr>
        <w:t xml:space="preserve"> университет „Ангел Кънчев“ в гр. Русе.</w:t>
      </w:r>
    </w:p>
    <w:p w14:paraId="14D846B1" w14:textId="77777777" w:rsidR="009A2E60" w:rsidRPr="006C13DF" w:rsidRDefault="009A2E60" w:rsidP="00BF78E9">
      <w:pPr>
        <w:spacing w:after="0" w:line="240" w:lineRule="auto"/>
        <w:jc w:val="center"/>
        <w:rPr>
          <w:rFonts w:ascii="Times New Roman" w:eastAsia="Calibri" w:hAnsi="Times New Roman" w:cs="Times New Roman"/>
          <w:b/>
          <w:caps/>
          <w:color w:val="C0504D"/>
          <w:sz w:val="24"/>
          <w:szCs w:val="24"/>
        </w:rPr>
      </w:pPr>
    </w:p>
    <w:p w14:paraId="481CBC9B" w14:textId="77777777" w:rsidR="00BF78E9" w:rsidRPr="006C13DF" w:rsidRDefault="00BF78E9" w:rsidP="00BF78E9">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aps/>
          <w:color w:val="C0504D"/>
          <w:sz w:val="24"/>
          <w:szCs w:val="24"/>
        </w:rPr>
        <w:t xml:space="preserve">Министерство на ЗЕМЕДЕЛИЕТО И ХРАНИТЕ </w:t>
      </w:r>
    </w:p>
    <w:p w14:paraId="117C6B04" w14:textId="77777777" w:rsidR="00BF78E9" w:rsidRPr="006C13DF" w:rsidRDefault="00BF78E9" w:rsidP="00A632A1">
      <w:pPr>
        <w:spacing w:after="0" w:line="240" w:lineRule="auto"/>
        <w:ind w:firstLine="720"/>
        <w:jc w:val="both"/>
        <w:rPr>
          <w:rFonts w:ascii="Times New Roman" w:eastAsia="Calibri" w:hAnsi="Times New Roman" w:cs="Times New Roman"/>
          <w:sz w:val="24"/>
          <w:szCs w:val="24"/>
        </w:rPr>
      </w:pPr>
    </w:p>
    <w:p w14:paraId="6D2230B9" w14:textId="77777777" w:rsidR="00A632A1" w:rsidRPr="006C13DF" w:rsidRDefault="00A632A1" w:rsidP="00BF78E9">
      <w:pPr>
        <w:spacing w:after="0" w:line="240" w:lineRule="auto"/>
        <w:jc w:val="both"/>
        <w:rPr>
          <w:rFonts w:ascii="Times New Roman" w:eastAsia="Calibri" w:hAnsi="Times New Roman" w:cs="Times New Roman"/>
          <w:b/>
          <w:sz w:val="24"/>
          <w:szCs w:val="24"/>
        </w:rPr>
      </w:pPr>
      <w:r w:rsidRPr="006C13DF">
        <w:rPr>
          <w:rFonts w:ascii="Times New Roman" w:eastAsia="Calibri" w:hAnsi="Times New Roman" w:cs="Times New Roman"/>
          <w:b/>
          <w:sz w:val="24"/>
          <w:szCs w:val="24"/>
        </w:rPr>
        <w:t>1.2.13. Включване на възрастни лица (над 55 г.) в курсове и семинари за повишаване на квалификацията и придобиване на професии</w:t>
      </w:r>
    </w:p>
    <w:p w14:paraId="53B412DB" w14:textId="77777777" w:rsidR="00BF78E9" w:rsidRPr="006C13DF" w:rsidRDefault="00BF78E9" w:rsidP="00BF78E9">
      <w:pPr>
        <w:spacing w:after="0" w:line="240" w:lineRule="auto"/>
        <w:jc w:val="both"/>
        <w:rPr>
          <w:rFonts w:ascii="Times New Roman" w:eastAsia="Calibri" w:hAnsi="Times New Roman" w:cs="Times New Roman"/>
          <w:sz w:val="24"/>
          <w:szCs w:val="24"/>
        </w:rPr>
      </w:pPr>
    </w:p>
    <w:p w14:paraId="3E4439E5" w14:textId="77777777" w:rsidR="00BF78E9" w:rsidRPr="006C13DF" w:rsidRDefault="00BF78E9" w:rsidP="00BF78E9">
      <w:pPr>
        <w:tabs>
          <w:tab w:val="left" w:pos="-4962"/>
        </w:tabs>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През 2023 г. в курсове за повишаване на квалификацията и придобиване на професии в областта на селското стопанство, провеждани от НССЗ, не са участвали лица над 55-годишна възраст. През 2024 г. НССЗ е обучила 6 лица на възраст над 55 години. </w:t>
      </w:r>
    </w:p>
    <w:p w14:paraId="5A6DD3F7" w14:textId="77777777" w:rsidR="00BF78E9" w:rsidRDefault="00BF78E9" w:rsidP="00BF78E9">
      <w:pPr>
        <w:tabs>
          <w:tab w:val="left" w:pos="-4962"/>
        </w:tabs>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През периода 2023 – 2024 г. </w:t>
      </w:r>
      <w:r w:rsidRPr="00EE5556">
        <w:rPr>
          <w:rFonts w:ascii="Times New Roman" w:hAnsi="Times New Roman" w:cs="Times New Roman"/>
          <w:b/>
          <w:sz w:val="24"/>
          <w:szCs w:val="24"/>
        </w:rPr>
        <w:t>в семинари, свързани с повишаване на квалификацията, са взели участие общо 2 097 лица на възраст над 55 години</w:t>
      </w:r>
      <w:r w:rsidRPr="006C13DF">
        <w:rPr>
          <w:rStyle w:val="FootnoteReference"/>
          <w:rFonts w:ascii="Times New Roman" w:hAnsi="Times New Roman" w:cs="Times New Roman"/>
          <w:sz w:val="24"/>
          <w:szCs w:val="24"/>
        </w:rPr>
        <w:footnoteReference w:id="8"/>
      </w:r>
      <w:r w:rsidRPr="006C13DF">
        <w:rPr>
          <w:rFonts w:ascii="Times New Roman" w:hAnsi="Times New Roman" w:cs="Times New Roman"/>
          <w:sz w:val="24"/>
          <w:szCs w:val="24"/>
        </w:rPr>
        <w:t>, в това число:</w:t>
      </w:r>
    </w:p>
    <w:p w14:paraId="42699966" w14:textId="77777777" w:rsidR="00BF78E9" w:rsidRDefault="00EE5556" w:rsidP="00554703">
      <w:pPr>
        <w:pStyle w:val="ListParagraph"/>
        <w:numPr>
          <w:ilvl w:val="0"/>
          <w:numId w:val="31"/>
        </w:numPr>
        <w:tabs>
          <w:tab w:val="left" w:pos="-496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BF78E9" w:rsidRPr="00EE5556">
        <w:rPr>
          <w:rFonts w:ascii="Times New Roman" w:hAnsi="Times New Roman" w:cs="Times New Roman"/>
          <w:sz w:val="24"/>
          <w:szCs w:val="24"/>
        </w:rPr>
        <w:t>рез 2023 г. – 1 084 лица са участвали в 113 информационно-обучителни събития за трансфер на знания;</w:t>
      </w:r>
    </w:p>
    <w:p w14:paraId="682EC2C2" w14:textId="77777777" w:rsidR="00BF78E9" w:rsidRPr="00EE5556" w:rsidRDefault="00EE5556" w:rsidP="00554703">
      <w:pPr>
        <w:pStyle w:val="ListParagraph"/>
        <w:numPr>
          <w:ilvl w:val="0"/>
          <w:numId w:val="31"/>
        </w:numPr>
        <w:tabs>
          <w:tab w:val="left" w:pos="-496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BF78E9" w:rsidRPr="00EE5556">
        <w:rPr>
          <w:rFonts w:ascii="Times New Roman" w:hAnsi="Times New Roman" w:cs="Times New Roman"/>
          <w:sz w:val="24"/>
          <w:szCs w:val="24"/>
        </w:rPr>
        <w:t>рез 2024 г. – 1 013 лица са участвали в 106 информационно-обучителни събития за трансфер на знания.</w:t>
      </w:r>
    </w:p>
    <w:p w14:paraId="64F26B1C" w14:textId="77777777" w:rsidR="006040DF" w:rsidRPr="006C13DF" w:rsidRDefault="00BF78E9" w:rsidP="00990A9F">
      <w:pPr>
        <w:tabs>
          <w:tab w:val="left" w:pos="0"/>
        </w:tabs>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Предоставянето на консултантски услуги се финансира със средства по Мярка 2 „Консултантски услуги, услуги по управление на стопанството и услуги по заместване в </w:t>
      </w:r>
      <w:r w:rsidR="006040DF" w:rsidRPr="006C13DF">
        <w:rPr>
          <w:rFonts w:ascii="Times New Roman" w:hAnsi="Times New Roman" w:cs="Times New Roman"/>
          <w:sz w:val="24"/>
          <w:szCs w:val="24"/>
        </w:rPr>
        <w:t xml:space="preserve">стопанството” от ПРСР 2014 – </w:t>
      </w:r>
      <w:r w:rsidRPr="006C13DF">
        <w:rPr>
          <w:rFonts w:ascii="Times New Roman" w:hAnsi="Times New Roman" w:cs="Times New Roman"/>
          <w:sz w:val="24"/>
          <w:szCs w:val="24"/>
        </w:rPr>
        <w:t xml:space="preserve">2020 г. и от националния бюджет. За изпълнение на дейностите по </w:t>
      </w:r>
      <w:proofErr w:type="spellStart"/>
      <w:r w:rsidRPr="006C13DF">
        <w:rPr>
          <w:rFonts w:ascii="Times New Roman" w:hAnsi="Times New Roman" w:cs="Times New Roman"/>
          <w:sz w:val="24"/>
          <w:szCs w:val="24"/>
        </w:rPr>
        <w:t>подмярката</w:t>
      </w:r>
      <w:proofErr w:type="spellEnd"/>
      <w:r w:rsidRPr="006C13DF">
        <w:rPr>
          <w:rFonts w:ascii="Times New Roman" w:hAnsi="Times New Roman" w:cs="Times New Roman"/>
          <w:sz w:val="24"/>
          <w:szCs w:val="24"/>
        </w:rPr>
        <w:t xml:space="preserve"> от Плана са разходвани 81 979 лв. за 2023 г. и 93 864 лв. за 2024 г.</w:t>
      </w:r>
      <w:r w:rsidRPr="006C13DF">
        <w:rPr>
          <w:rFonts w:ascii="Times New Roman" w:hAnsi="Times New Roman" w:cs="Times New Roman"/>
          <w:sz w:val="24"/>
          <w:szCs w:val="24"/>
          <w:vertAlign w:val="superscript"/>
        </w:rPr>
        <w:footnoteReference w:id="9"/>
      </w:r>
      <w:r w:rsidR="00990A9F" w:rsidRPr="006C13DF">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A97432" w:rsidRPr="006C13DF" w14:paraId="22AF9029" w14:textId="77777777" w:rsidTr="00E655FD">
        <w:tc>
          <w:tcPr>
            <w:tcW w:w="9060" w:type="dxa"/>
            <w:shd w:val="clear" w:color="auto" w:fill="EBE453"/>
          </w:tcPr>
          <w:p w14:paraId="4303FAD2" w14:textId="77777777" w:rsidR="00A97432" w:rsidRPr="006C13DF" w:rsidRDefault="00A97432" w:rsidP="00A97432">
            <w:pPr>
              <w:jc w:val="both"/>
              <w:rPr>
                <w:rFonts w:ascii="Times New Roman" w:hAnsi="Times New Roman" w:cs="Times New Roman"/>
                <w:b/>
                <w:sz w:val="28"/>
                <w:szCs w:val="28"/>
              </w:rPr>
            </w:pPr>
            <w:r w:rsidRPr="006C13DF">
              <w:rPr>
                <w:rFonts w:ascii="Times New Roman" w:hAnsi="Times New Roman" w:cs="Times New Roman"/>
                <w:b/>
                <w:sz w:val="28"/>
                <w:szCs w:val="28"/>
              </w:rPr>
              <w:lastRenderedPageBreak/>
              <w:t>1.3. Подобряване на условията на труд</w:t>
            </w:r>
          </w:p>
          <w:p w14:paraId="0ABA287A" w14:textId="77777777" w:rsidR="00A97432" w:rsidRPr="006C13DF" w:rsidRDefault="00A97432" w:rsidP="00A97432">
            <w:pPr>
              <w:jc w:val="both"/>
              <w:rPr>
                <w:rFonts w:ascii="Times New Roman" w:hAnsi="Times New Roman" w:cs="Times New Roman"/>
                <w:b/>
                <w:sz w:val="28"/>
                <w:szCs w:val="28"/>
              </w:rPr>
            </w:pPr>
          </w:p>
        </w:tc>
      </w:tr>
    </w:tbl>
    <w:p w14:paraId="443A4571" w14:textId="77777777" w:rsidR="006E5C93" w:rsidRPr="006C13DF" w:rsidRDefault="006E5C93" w:rsidP="00EE5556">
      <w:pPr>
        <w:spacing w:after="0" w:line="240" w:lineRule="auto"/>
        <w:ind w:firstLine="709"/>
        <w:jc w:val="both"/>
        <w:rPr>
          <w:rFonts w:ascii="Times New Roman" w:hAnsi="Times New Roman" w:cs="Times New Roman"/>
          <w:sz w:val="24"/>
          <w:szCs w:val="24"/>
        </w:rPr>
      </w:pPr>
    </w:p>
    <w:p w14:paraId="0A86E402" w14:textId="77777777" w:rsidR="009A5AC5" w:rsidRPr="006C13DF" w:rsidRDefault="009A5AC5" w:rsidP="00EE5556">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МИНИСТЕРСТВО НА</w:t>
      </w:r>
      <w:r w:rsidR="006E5C93" w:rsidRPr="006C13DF">
        <w:rPr>
          <w:rFonts w:ascii="Times New Roman" w:eastAsia="Calibri" w:hAnsi="Times New Roman" w:cs="Times New Roman"/>
          <w:b/>
          <w:color w:val="C0504D"/>
          <w:sz w:val="24"/>
          <w:szCs w:val="24"/>
        </w:rPr>
        <w:t xml:space="preserve"> ТРАНСПОРТА И СЪОБЩЕНИЯТА</w:t>
      </w:r>
    </w:p>
    <w:p w14:paraId="73E5E00A" w14:textId="77777777" w:rsidR="006E5C93" w:rsidRPr="006C13DF" w:rsidRDefault="006E5C93" w:rsidP="00EE5556">
      <w:pPr>
        <w:spacing w:after="0" w:line="240" w:lineRule="auto"/>
        <w:ind w:firstLine="709"/>
        <w:jc w:val="both"/>
        <w:rPr>
          <w:rFonts w:ascii="Times New Roman" w:hAnsi="Times New Roman" w:cs="Times New Roman"/>
          <w:sz w:val="24"/>
          <w:szCs w:val="24"/>
        </w:rPr>
      </w:pPr>
    </w:p>
    <w:p w14:paraId="54D0CC21" w14:textId="77777777" w:rsidR="006E5C93" w:rsidRPr="006C13DF" w:rsidRDefault="00A632A1" w:rsidP="00EE5556">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1.3.1. Провеждане на периодични медицински прегледи и периодични психологически прегледи</w:t>
      </w:r>
    </w:p>
    <w:p w14:paraId="6933E86D" w14:textId="77777777" w:rsidR="006E5C93" w:rsidRPr="006C13DF" w:rsidRDefault="006E5C93" w:rsidP="00EE5556">
      <w:pPr>
        <w:spacing w:after="0" w:line="240" w:lineRule="auto"/>
        <w:jc w:val="both"/>
        <w:rPr>
          <w:rFonts w:ascii="Times New Roman" w:hAnsi="Times New Roman" w:cs="Times New Roman"/>
          <w:i/>
          <w:sz w:val="24"/>
          <w:szCs w:val="24"/>
        </w:rPr>
      </w:pPr>
    </w:p>
    <w:p w14:paraId="076880A8" w14:textId="77777777" w:rsidR="009A5AC5" w:rsidRPr="006C13DF" w:rsidRDefault="009A5AC5" w:rsidP="00EE5556">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НАЦИОНАЛНА КОМПАНИЯ „ЖЕЛЕЗОПЪТНА ИНФРАСТРУКТУРА“ (НКЖИ)</w:t>
      </w:r>
    </w:p>
    <w:p w14:paraId="4F1C6574" w14:textId="77777777" w:rsidR="009A5AC5" w:rsidRPr="006C13DF" w:rsidRDefault="009A5AC5" w:rsidP="00EE5556">
      <w:pPr>
        <w:spacing w:after="0" w:line="240" w:lineRule="auto"/>
        <w:jc w:val="both"/>
        <w:rPr>
          <w:rFonts w:ascii="Times New Roman" w:hAnsi="Times New Roman" w:cs="Times New Roman"/>
          <w:sz w:val="24"/>
          <w:szCs w:val="24"/>
        </w:rPr>
      </w:pPr>
    </w:p>
    <w:p w14:paraId="0F6CE45E" w14:textId="77777777" w:rsidR="009A5AC5" w:rsidRPr="006C13DF" w:rsidRDefault="009A5AC5" w:rsidP="00EE5556">
      <w:pPr>
        <w:tabs>
          <w:tab w:val="left" w:pos="1560"/>
          <w:tab w:val="left" w:pos="7620"/>
        </w:tabs>
        <w:spacing w:after="0" w:line="240" w:lineRule="auto"/>
        <w:ind w:firstLine="709"/>
        <w:jc w:val="both"/>
        <w:rPr>
          <w:rFonts w:ascii="Times New Roman" w:eastAsia="Calibri" w:hAnsi="Times New Roman" w:cs="Times New Roman"/>
          <w:kern w:val="2"/>
          <w:sz w:val="24"/>
          <w:szCs w:val="24"/>
          <w14:ligatures w14:val="standardContextual"/>
        </w:rPr>
      </w:pPr>
      <w:r w:rsidRPr="006C13DF">
        <w:rPr>
          <w:rFonts w:ascii="Times New Roman" w:eastAsia="Calibri" w:hAnsi="Times New Roman" w:cs="Times New Roman"/>
          <w:kern w:val="2"/>
          <w:sz w:val="24"/>
          <w:szCs w:val="24"/>
          <w14:ligatures w14:val="standardContextual"/>
        </w:rPr>
        <w:t>През 2023 г.</w:t>
      </w:r>
      <w:r w:rsidR="00EE5556">
        <w:rPr>
          <w:rFonts w:ascii="Times New Roman" w:eastAsia="Calibri" w:hAnsi="Times New Roman" w:cs="Times New Roman"/>
          <w:kern w:val="2"/>
          <w:sz w:val="24"/>
          <w:szCs w:val="24"/>
          <w14:ligatures w14:val="standardContextual"/>
        </w:rPr>
        <w:t xml:space="preserve"> са </w:t>
      </w:r>
      <w:r w:rsidR="00EE5556" w:rsidRPr="00EE5556">
        <w:rPr>
          <w:rFonts w:ascii="Times New Roman" w:eastAsia="Calibri" w:hAnsi="Times New Roman" w:cs="Times New Roman"/>
          <w:kern w:val="2"/>
          <w:sz w:val="24"/>
          <w:szCs w:val="24"/>
          <w14:ligatures w14:val="standardContextual"/>
        </w:rPr>
        <w:t>извършени прегледи</w:t>
      </w:r>
      <w:r w:rsidR="00EE5556">
        <w:rPr>
          <w:rFonts w:ascii="Times New Roman" w:eastAsia="Calibri" w:hAnsi="Times New Roman" w:cs="Times New Roman"/>
          <w:kern w:val="2"/>
          <w:sz w:val="24"/>
          <w:szCs w:val="24"/>
          <w14:ligatures w14:val="standardContextual"/>
        </w:rPr>
        <w:t xml:space="preserve"> на 6 139</w:t>
      </w:r>
      <w:r w:rsidRPr="006C13DF">
        <w:rPr>
          <w:rFonts w:ascii="Times New Roman" w:eastAsia="Calibri" w:hAnsi="Times New Roman" w:cs="Times New Roman"/>
          <w:kern w:val="2"/>
          <w:sz w:val="24"/>
          <w:szCs w:val="24"/>
          <w14:ligatures w14:val="standardContextual"/>
        </w:rPr>
        <w:t xml:space="preserve"> бр. работници и служители, а през 2024 г. техният брой е 6 656. </w:t>
      </w:r>
    </w:p>
    <w:p w14:paraId="5F8199BA" w14:textId="77777777" w:rsidR="009A5AC5" w:rsidRPr="006C13DF" w:rsidRDefault="009A5AC5" w:rsidP="00EE5556">
      <w:pPr>
        <w:spacing w:after="0" w:line="240" w:lineRule="auto"/>
        <w:jc w:val="center"/>
        <w:rPr>
          <w:rFonts w:ascii="Times New Roman" w:eastAsia="Calibri" w:hAnsi="Times New Roman" w:cs="Times New Roman"/>
          <w:b/>
          <w:caps/>
          <w:color w:val="C0504D"/>
          <w:sz w:val="24"/>
          <w:szCs w:val="24"/>
        </w:rPr>
      </w:pPr>
      <w:bookmarkStart w:id="1" w:name="_Hlk199630728"/>
      <w:bookmarkStart w:id="2" w:name="_Hlk199631815"/>
    </w:p>
    <w:p w14:paraId="09F35B87" w14:textId="77777777" w:rsidR="009A5AC5" w:rsidRPr="006C13DF" w:rsidRDefault="009A5AC5" w:rsidP="00EE5556">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 xml:space="preserve">„ХОЛДИНГ БДЖ“ ЕАД, „БДЖ – Пътнически превози“ ЕООД и „БДЖ – Товарни превози“ ЕООД  </w:t>
      </w:r>
      <w:bookmarkEnd w:id="1"/>
      <w:bookmarkEnd w:id="2"/>
    </w:p>
    <w:p w14:paraId="580AED2F" w14:textId="77777777" w:rsidR="009A5AC5" w:rsidRPr="006C13DF" w:rsidRDefault="009A5AC5" w:rsidP="00EE5556">
      <w:pPr>
        <w:spacing w:after="0" w:line="240" w:lineRule="auto"/>
        <w:ind w:firstLine="708"/>
        <w:jc w:val="both"/>
        <w:rPr>
          <w:rFonts w:ascii="Times New Roman" w:eastAsia="Times New Roman" w:hAnsi="Times New Roman" w:cs="Times New Roman"/>
          <w:sz w:val="24"/>
          <w:szCs w:val="24"/>
          <w:lang w:eastAsia="bg-BG"/>
        </w:rPr>
      </w:pPr>
    </w:p>
    <w:p w14:paraId="363A052F" w14:textId="77777777" w:rsidR="009A5AC5" w:rsidRPr="006C13DF" w:rsidRDefault="00EE5556" w:rsidP="00EE5556">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bg-BG"/>
        </w:rPr>
        <w:tab/>
      </w:r>
      <w:r w:rsidR="009A5AC5" w:rsidRPr="006C13DF">
        <w:rPr>
          <w:rFonts w:ascii="Times New Roman" w:eastAsia="Times New Roman" w:hAnsi="Times New Roman" w:cs="Times New Roman"/>
          <w:sz w:val="24"/>
          <w:szCs w:val="24"/>
          <w:lang w:eastAsia="bg-BG"/>
        </w:rPr>
        <w:t>С</w:t>
      </w:r>
      <w:r w:rsidR="009A5AC5" w:rsidRPr="006C13DF">
        <w:rPr>
          <w:rFonts w:ascii="Times New Roman" w:eastAsia="Calibri" w:hAnsi="Times New Roman" w:cs="Times New Roman"/>
          <w:sz w:val="24"/>
          <w:szCs w:val="24"/>
        </w:rPr>
        <w:t xml:space="preserve">лужителите в „Холдинг БДЖ“ ЕАД преминават периодични медицински прегледи, организирани от Службата по трудова медицина към „БДЖ – Пътнически превози“ ЕОД. Прегледите се провеждат в НМТБ „Цар Борис ІІІ“ – гр. София и през </w:t>
      </w:r>
      <w:r w:rsidR="009A5AC5" w:rsidRPr="006C13DF">
        <w:rPr>
          <w:rFonts w:ascii="Times New Roman" w:eastAsia="Calibri" w:hAnsi="Times New Roman" w:cs="Times New Roman"/>
          <w:sz w:val="24"/>
          <w:szCs w:val="24"/>
        </w:rPr>
        <w:br/>
        <w:t>2024 г. са извършени прегледи общо на 35 бр. служители.</w:t>
      </w:r>
    </w:p>
    <w:p w14:paraId="6AE59F22" w14:textId="77777777" w:rsidR="009A5AC5" w:rsidRPr="006C13DF" w:rsidRDefault="009A5AC5" w:rsidP="009A5AC5">
      <w:pPr>
        <w:spacing w:after="0" w:line="240" w:lineRule="auto"/>
        <w:ind w:firstLine="708"/>
        <w:jc w:val="both"/>
        <w:rPr>
          <w:rFonts w:ascii="Times New Roman" w:eastAsia="Calibri" w:hAnsi="Times New Roman" w:cs="Times New Roman"/>
          <w:caps/>
          <w:sz w:val="24"/>
          <w:szCs w:val="24"/>
        </w:rPr>
      </w:pPr>
      <w:r w:rsidRPr="006C13DF">
        <w:rPr>
          <w:rFonts w:ascii="Times New Roman" w:eastAsia="Times New Roman" w:hAnsi="Times New Roman" w:cs="Times New Roman"/>
          <w:sz w:val="24"/>
          <w:szCs w:val="24"/>
          <w:lang w:eastAsia="bg-BG"/>
        </w:rPr>
        <w:t>За п</w:t>
      </w:r>
      <w:r w:rsidRPr="006C13DF">
        <w:rPr>
          <w:rFonts w:ascii="Times New Roman" w:eastAsia="Calibri" w:hAnsi="Times New Roman" w:cs="Times New Roman"/>
          <w:sz w:val="24"/>
          <w:szCs w:val="24"/>
        </w:rPr>
        <w:t xml:space="preserve">роследяване на здравословното състояние на персонала, работещите в „БДЖ – Пътнически превози“ ЕООД, включително и тези над 55-годишна възраст, преминават профилактични медицински прегледи, съгласно изискванията на приложимото законодателство. Прегледите се организират от Службата по трудова медицина към дружеството и се провеждат в НМТБ „Цар Борис ІІІ“ – София, Експертното отделение в Горна Оряховица и МТБ Пловдив. </w:t>
      </w:r>
    </w:p>
    <w:p w14:paraId="0616CB00" w14:textId="77777777" w:rsidR="009A5AC5" w:rsidRPr="00EE5556" w:rsidRDefault="009A5AC5" w:rsidP="009A5AC5">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 xml:space="preserve">През 2023 г. са </w:t>
      </w:r>
      <w:r w:rsidRPr="00EE5556">
        <w:rPr>
          <w:rFonts w:ascii="Times New Roman" w:eastAsia="Calibri" w:hAnsi="Times New Roman" w:cs="Times New Roman"/>
          <w:b/>
          <w:sz w:val="24"/>
          <w:szCs w:val="24"/>
        </w:rPr>
        <w:t xml:space="preserve">извършени прегледи </w:t>
      </w:r>
      <w:r w:rsidRPr="00EE5556">
        <w:rPr>
          <w:rFonts w:ascii="Times New Roman" w:eastAsia="Calibri" w:hAnsi="Times New Roman" w:cs="Times New Roman"/>
          <w:sz w:val="24"/>
          <w:szCs w:val="24"/>
        </w:rPr>
        <w:t xml:space="preserve">на 2707 бр. работници и служители, през </w:t>
      </w:r>
      <w:r w:rsidRPr="00EE5556">
        <w:rPr>
          <w:rFonts w:ascii="Times New Roman" w:eastAsia="Calibri" w:hAnsi="Times New Roman" w:cs="Times New Roman"/>
          <w:sz w:val="24"/>
          <w:szCs w:val="24"/>
        </w:rPr>
        <w:br/>
        <w:t>2024 г. техният брой е 1613.</w:t>
      </w:r>
    </w:p>
    <w:p w14:paraId="337664FD" w14:textId="77777777" w:rsidR="009A5AC5" w:rsidRPr="006C13DF" w:rsidRDefault="009A5AC5" w:rsidP="009A5AC5">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В „БДЖ – Товарни превози“ ЕООД се извършва проследяване на здравословното състояние на персонала, провеждат се периодични медицински прегледи и периодични психологически прегледи,</w:t>
      </w:r>
      <w:r w:rsidRPr="006C13DF">
        <w:rPr>
          <w:rFonts w:ascii="Times New Roman" w:eastAsia="Calibri" w:hAnsi="Times New Roman" w:cs="Times New Roman"/>
        </w:rPr>
        <w:t xml:space="preserve"> </w:t>
      </w:r>
      <w:r w:rsidRPr="006C13DF">
        <w:rPr>
          <w:rFonts w:ascii="Times New Roman" w:eastAsia="Calibri" w:hAnsi="Times New Roman" w:cs="Times New Roman"/>
          <w:sz w:val="24"/>
          <w:szCs w:val="24"/>
        </w:rPr>
        <w:t>изпълнява се програма за подобряване на условията на труд</w:t>
      </w:r>
      <w:r w:rsidRPr="006C13DF">
        <w:rPr>
          <w:rFonts w:ascii="Times New Roman" w:eastAsia="Calibri" w:hAnsi="Times New Roman" w:cs="Times New Roman"/>
        </w:rPr>
        <w:t xml:space="preserve"> </w:t>
      </w:r>
      <w:r w:rsidRPr="006C13DF">
        <w:rPr>
          <w:rFonts w:ascii="Times New Roman" w:eastAsia="Calibri" w:hAnsi="Times New Roman" w:cs="Times New Roman"/>
          <w:sz w:val="24"/>
          <w:szCs w:val="24"/>
        </w:rPr>
        <w:t>за</w:t>
      </w:r>
      <w:r w:rsidRPr="006C13DF">
        <w:rPr>
          <w:rFonts w:ascii="Times New Roman" w:eastAsia="Calibri" w:hAnsi="Times New Roman" w:cs="Times New Roman"/>
        </w:rPr>
        <w:t xml:space="preserve"> </w:t>
      </w:r>
      <w:r w:rsidRPr="006C13DF">
        <w:rPr>
          <w:rFonts w:ascii="Times New Roman" w:eastAsia="Calibri" w:hAnsi="Times New Roman" w:cs="Times New Roman"/>
          <w:sz w:val="24"/>
          <w:szCs w:val="24"/>
        </w:rPr>
        <w:t>намаляване на риска за здравето и безопасността при работа и подобряване условията на труд,</w:t>
      </w:r>
      <w:r w:rsidRPr="006C13DF">
        <w:rPr>
          <w:rFonts w:ascii="Times New Roman" w:eastAsia="Calibri" w:hAnsi="Times New Roman" w:cs="Times New Roman"/>
        </w:rPr>
        <w:t xml:space="preserve"> </w:t>
      </w:r>
      <w:r w:rsidRPr="006C13DF">
        <w:rPr>
          <w:rFonts w:ascii="Times New Roman" w:eastAsia="Calibri" w:hAnsi="Times New Roman" w:cs="Times New Roman"/>
          <w:sz w:val="24"/>
          <w:szCs w:val="24"/>
        </w:rPr>
        <w:t>извършват се вътрешни проверки за спазване на здравословните и безопасни условия на труд и спазване на трудовото законодателство в областта на здравословните и безопасни условия на труд, провеждат се обучения, свързани с изпълнение изискванията на нормативната уредба по ЗБУТ.</w:t>
      </w:r>
    </w:p>
    <w:p w14:paraId="600D1B45" w14:textId="77777777" w:rsidR="009A5AC5" w:rsidRPr="006C13DF" w:rsidRDefault="009A5AC5" w:rsidP="00E91E47">
      <w:pPr>
        <w:spacing w:after="0" w:line="240" w:lineRule="auto"/>
        <w:jc w:val="both"/>
        <w:rPr>
          <w:rFonts w:ascii="Times New Roman" w:hAnsi="Times New Roman" w:cs="Times New Roman"/>
          <w:i/>
          <w:sz w:val="24"/>
          <w:szCs w:val="24"/>
        </w:rPr>
      </w:pPr>
    </w:p>
    <w:p w14:paraId="71DC0C57" w14:textId="77777777" w:rsidR="00DE466E" w:rsidRPr="006C13DF" w:rsidRDefault="00DE466E" w:rsidP="00DE466E">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„БДЖ – Пътнически превози“ ЕООД и „БДЖ – Товарни превози“ ЕООД</w:t>
      </w:r>
    </w:p>
    <w:p w14:paraId="21D2637D" w14:textId="77777777" w:rsidR="00DE466E" w:rsidRPr="006C13DF" w:rsidRDefault="00DE466E" w:rsidP="00E91E47">
      <w:pPr>
        <w:spacing w:after="0" w:line="240" w:lineRule="auto"/>
        <w:jc w:val="both"/>
        <w:rPr>
          <w:rFonts w:ascii="Times New Roman" w:hAnsi="Times New Roman" w:cs="Times New Roman"/>
          <w:i/>
          <w:sz w:val="24"/>
          <w:szCs w:val="24"/>
        </w:rPr>
      </w:pPr>
    </w:p>
    <w:p w14:paraId="1F3F6BE2" w14:textId="77777777" w:rsidR="00D42C4A" w:rsidRPr="006C13DF" w:rsidRDefault="00A632A1" w:rsidP="00EE5556">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1.3.2. Изпълнение на програма за п</w:t>
      </w:r>
      <w:r w:rsidR="00DE466E" w:rsidRPr="006C13DF">
        <w:rPr>
          <w:rFonts w:ascii="Times New Roman" w:hAnsi="Times New Roman" w:cs="Times New Roman"/>
          <w:b/>
          <w:sz w:val="24"/>
          <w:szCs w:val="24"/>
        </w:rPr>
        <w:t>одобряване на условията на труд</w:t>
      </w:r>
    </w:p>
    <w:p w14:paraId="5F1A7CCA" w14:textId="77777777" w:rsidR="00DE466E" w:rsidRPr="006C13DF" w:rsidRDefault="00DE466E" w:rsidP="00E91E47">
      <w:pPr>
        <w:spacing w:after="0" w:line="240" w:lineRule="auto"/>
        <w:ind w:firstLine="709"/>
        <w:jc w:val="both"/>
        <w:rPr>
          <w:rFonts w:ascii="Times New Roman" w:hAnsi="Times New Roman" w:cs="Times New Roman"/>
          <w:b/>
          <w:sz w:val="24"/>
          <w:szCs w:val="24"/>
        </w:rPr>
      </w:pPr>
    </w:p>
    <w:p w14:paraId="16323A5C" w14:textId="77777777" w:rsidR="00DE466E" w:rsidRDefault="00EE5556" w:rsidP="00DE466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DE466E" w:rsidRPr="006C13DF">
        <w:rPr>
          <w:rFonts w:ascii="Times New Roman" w:eastAsia="Calibri" w:hAnsi="Times New Roman" w:cs="Times New Roman"/>
          <w:sz w:val="24"/>
          <w:szCs w:val="24"/>
        </w:rPr>
        <w:t>В изпълнение на програмата за подобряване на условията на труд в „БДЖ – Пътнически превози“ ЕООД за периода 2023-2024 г. е извършено следното:</w:t>
      </w:r>
    </w:p>
    <w:p w14:paraId="1FF5A142" w14:textId="77777777" w:rsidR="00DE466E" w:rsidRPr="00CE0C36" w:rsidRDefault="00EE5556" w:rsidP="00554703">
      <w:pPr>
        <w:pStyle w:val="ListParagraph"/>
        <w:numPr>
          <w:ilvl w:val="0"/>
          <w:numId w:val="3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DE466E" w:rsidRPr="00EE5556">
        <w:rPr>
          <w:rFonts w:ascii="Times New Roman" w:eastAsia="Times New Roman" w:hAnsi="Times New Roman" w:cs="Times New Roman"/>
          <w:sz w:val="24"/>
          <w:szCs w:val="24"/>
          <w:lang w:eastAsia="bg-BG"/>
        </w:rPr>
        <w:t xml:space="preserve">рез 2023 г. са </w:t>
      </w:r>
      <w:r w:rsidR="00DE466E" w:rsidRPr="00CE0C36">
        <w:rPr>
          <w:rFonts w:ascii="Times New Roman" w:eastAsia="Times New Roman" w:hAnsi="Times New Roman" w:cs="Times New Roman"/>
          <w:sz w:val="24"/>
          <w:szCs w:val="24"/>
          <w:lang w:eastAsia="bg-BG"/>
        </w:rPr>
        <w:t>подобрени 25 бр. работни места и са изразходени средства в размер на 1 236 525 лв.</w:t>
      </w:r>
      <w:r w:rsidRPr="00CE0C36">
        <w:rPr>
          <w:rFonts w:ascii="Times New Roman" w:eastAsia="Times New Roman" w:hAnsi="Times New Roman" w:cs="Times New Roman"/>
          <w:sz w:val="24"/>
          <w:szCs w:val="24"/>
          <w:lang w:eastAsia="bg-BG"/>
        </w:rPr>
        <w:t>;</w:t>
      </w:r>
    </w:p>
    <w:p w14:paraId="2D381F8B" w14:textId="77777777" w:rsidR="00DE466E" w:rsidRPr="00EE5556" w:rsidRDefault="00EE5556" w:rsidP="00554703">
      <w:pPr>
        <w:pStyle w:val="ListParagraph"/>
        <w:numPr>
          <w:ilvl w:val="0"/>
          <w:numId w:val="32"/>
        </w:numPr>
        <w:spacing w:after="0" w:line="240" w:lineRule="auto"/>
        <w:jc w:val="both"/>
        <w:rPr>
          <w:rFonts w:ascii="Times New Roman" w:eastAsia="Calibri" w:hAnsi="Times New Roman" w:cs="Times New Roman"/>
          <w:sz w:val="24"/>
          <w:szCs w:val="24"/>
        </w:rPr>
      </w:pPr>
      <w:r w:rsidRPr="00CE0C36">
        <w:rPr>
          <w:rFonts w:ascii="Times New Roman" w:eastAsia="Calibri" w:hAnsi="Times New Roman" w:cs="Times New Roman"/>
          <w:sz w:val="24"/>
          <w:szCs w:val="24"/>
        </w:rPr>
        <w:t>п</w:t>
      </w:r>
      <w:r w:rsidR="00DE466E" w:rsidRPr="00CE0C36">
        <w:rPr>
          <w:rFonts w:ascii="Times New Roman" w:eastAsia="Times New Roman" w:hAnsi="Times New Roman" w:cs="Times New Roman"/>
          <w:sz w:val="24"/>
          <w:szCs w:val="24"/>
          <w:lang w:eastAsia="bg-BG"/>
        </w:rPr>
        <w:t>рез 2024 г. са подобрени 22</w:t>
      </w:r>
      <w:r w:rsidRPr="00CE0C36">
        <w:rPr>
          <w:rFonts w:ascii="Times New Roman" w:eastAsia="Times New Roman" w:hAnsi="Times New Roman" w:cs="Times New Roman"/>
          <w:sz w:val="24"/>
          <w:szCs w:val="24"/>
          <w:lang w:eastAsia="bg-BG"/>
        </w:rPr>
        <w:t xml:space="preserve"> бр.</w:t>
      </w:r>
      <w:r w:rsidR="00DE466E" w:rsidRPr="00CE0C36">
        <w:rPr>
          <w:rFonts w:ascii="Times New Roman" w:eastAsia="Times New Roman" w:hAnsi="Times New Roman" w:cs="Times New Roman"/>
          <w:sz w:val="24"/>
          <w:szCs w:val="24"/>
          <w:lang w:eastAsia="bg-BG"/>
        </w:rPr>
        <w:t xml:space="preserve"> работни места</w:t>
      </w:r>
      <w:r w:rsidR="00DE466E" w:rsidRPr="00EE5556">
        <w:rPr>
          <w:rFonts w:ascii="Times New Roman" w:eastAsia="Times New Roman" w:hAnsi="Times New Roman" w:cs="Times New Roman"/>
          <w:sz w:val="24"/>
          <w:szCs w:val="24"/>
          <w:lang w:eastAsia="bg-BG"/>
        </w:rPr>
        <w:t xml:space="preserve"> и са изразходени </w:t>
      </w:r>
      <w:r>
        <w:rPr>
          <w:rFonts w:ascii="Times New Roman" w:eastAsia="Times New Roman" w:hAnsi="Times New Roman" w:cs="Times New Roman"/>
          <w:sz w:val="24"/>
          <w:szCs w:val="24"/>
          <w:lang w:eastAsia="bg-BG"/>
        </w:rPr>
        <w:t xml:space="preserve">средства в размер на </w:t>
      </w:r>
      <w:r w:rsidR="00DE466E" w:rsidRPr="00EE5556">
        <w:rPr>
          <w:rFonts w:ascii="Times New Roman" w:eastAsia="Times New Roman" w:hAnsi="Times New Roman" w:cs="Times New Roman"/>
          <w:sz w:val="24"/>
          <w:szCs w:val="24"/>
          <w:lang w:eastAsia="bg-BG"/>
        </w:rPr>
        <w:t xml:space="preserve">776 875 лв. </w:t>
      </w:r>
    </w:p>
    <w:p w14:paraId="5D1EE4AC" w14:textId="77777777" w:rsidR="00DE466E" w:rsidRPr="006C13DF" w:rsidRDefault="00DE466E" w:rsidP="00DE466E">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t>В „БДЖ – Товарни превози“ ЕООД се изпълнява програма за подобряване на условията на труд</w:t>
      </w:r>
      <w:r w:rsidRPr="006C13DF">
        <w:rPr>
          <w:rFonts w:ascii="Times New Roman" w:eastAsia="Calibri" w:hAnsi="Times New Roman" w:cs="Times New Roman"/>
        </w:rPr>
        <w:t xml:space="preserve"> </w:t>
      </w:r>
      <w:r w:rsidRPr="006C13DF">
        <w:rPr>
          <w:rFonts w:ascii="Times New Roman" w:eastAsia="Calibri" w:hAnsi="Times New Roman" w:cs="Times New Roman"/>
          <w:sz w:val="24"/>
          <w:szCs w:val="24"/>
        </w:rPr>
        <w:t>за</w:t>
      </w:r>
      <w:r w:rsidRPr="006C13DF">
        <w:rPr>
          <w:rFonts w:ascii="Times New Roman" w:eastAsia="Calibri" w:hAnsi="Times New Roman" w:cs="Times New Roman"/>
        </w:rPr>
        <w:t xml:space="preserve"> </w:t>
      </w:r>
      <w:r w:rsidRPr="006C13DF">
        <w:rPr>
          <w:rFonts w:ascii="Times New Roman" w:eastAsia="Calibri" w:hAnsi="Times New Roman" w:cs="Times New Roman"/>
          <w:sz w:val="24"/>
          <w:szCs w:val="24"/>
        </w:rPr>
        <w:t xml:space="preserve">намаляване на риска за здравето и безопасността при работа и подобряване условията на труд. През 2024 г. дружеството е предоставило на </w:t>
      </w:r>
      <w:r w:rsidRPr="006C13DF">
        <w:rPr>
          <w:rFonts w:ascii="Times New Roman" w:eastAsia="Calibri" w:hAnsi="Times New Roman" w:cs="Times New Roman"/>
          <w:sz w:val="24"/>
          <w:szCs w:val="24"/>
        </w:rPr>
        <w:lastRenderedPageBreak/>
        <w:t>правоимащия персонал зимно работно облекло на стойност 156 055.44 лв. с ДДС, работни обувки на стойност 286 946.88 лв. с ДДС и лични предпазни средства на стойност 32 108.76 лв. с ДДС.</w:t>
      </w:r>
    </w:p>
    <w:p w14:paraId="053777C6" w14:textId="77777777" w:rsidR="00DE466E" w:rsidRPr="006C13DF" w:rsidRDefault="00DE466E" w:rsidP="00DE466E">
      <w:pPr>
        <w:spacing w:after="0" w:line="240" w:lineRule="auto"/>
        <w:jc w:val="center"/>
        <w:rPr>
          <w:rFonts w:ascii="Times New Roman" w:hAnsi="Times New Roman" w:cs="Times New Roman"/>
          <w:b/>
          <w:caps/>
          <w:color w:val="C00000"/>
          <w:sz w:val="24"/>
          <w:szCs w:val="24"/>
        </w:rPr>
      </w:pPr>
      <w:r w:rsidRPr="006C13DF">
        <w:rPr>
          <w:rFonts w:ascii="Times New Roman" w:hAnsi="Times New Roman" w:cs="Times New Roman"/>
          <w:b/>
          <w:caps/>
          <w:color w:val="C00000"/>
          <w:sz w:val="24"/>
          <w:szCs w:val="24"/>
        </w:rPr>
        <w:t xml:space="preserve"> </w:t>
      </w:r>
    </w:p>
    <w:p w14:paraId="3BFA9FE0" w14:textId="77777777" w:rsidR="00D42C4A" w:rsidRPr="006C13DF" w:rsidRDefault="00D42C4A" w:rsidP="00DE466E">
      <w:pPr>
        <w:spacing w:after="0" w:line="240" w:lineRule="auto"/>
        <w:jc w:val="center"/>
        <w:rPr>
          <w:rFonts w:ascii="Times New Roman" w:hAnsi="Times New Roman" w:cs="Times New Roman"/>
          <w:b/>
          <w:caps/>
          <w:color w:val="C00000"/>
          <w:sz w:val="24"/>
          <w:szCs w:val="24"/>
        </w:rPr>
      </w:pPr>
      <w:r w:rsidRPr="006C13DF">
        <w:rPr>
          <w:rFonts w:ascii="Times New Roman" w:hAnsi="Times New Roman" w:cs="Times New Roman"/>
          <w:b/>
          <w:caps/>
          <w:color w:val="C00000"/>
          <w:sz w:val="24"/>
          <w:szCs w:val="24"/>
        </w:rPr>
        <w:t>„</w:t>
      </w:r>
      <w:r w:rsidRPr="006C13DF">
        <w:rPr>
          <w:rFonts w:ascii="Times New Roman" w:eastAsia="Calibri" w:hAnsi="Times New Roman" w:cs="Times New Roman"/>
          <w:b/>
          <w:color w:val="C0504D"/>
          <w:sz w:val="24"/>
          <w:szCs w:val="24"/>
        </w:rPr>
        <w:t xml:space="preserve">БДЖ – </w:t>
      </w:r>
      <w:r w:rsidR="006808BD" w:rsidRPr="006C13DF">
        <w:rPr>
          <w:rFonts w:ascii="Times New Roman" w:eastAsia="Calibri" w:hAnsi="Times New Roman" w:cs="Times New Roman"/>
          <w:b/>
          <w:color w:val="C0504D"/>
          <w:sz w:val="24"/>
          <w:szCs w:val="24"/>
        </w:rPr>
        <w:t>ПЪТНИЧЕСКИ ПРЕВОЗИ</w:t>
      </w:r>
      <w:r w:rsidRPr="006C13DF">
        <w:rPr>
          <w:rFonts w:ascii="Times New Roman" w:eastAsia="Calibri" w:hAnsi="Times New Roman" w:cs="Times New Roman"/>
          <w:b/>
          <w:color w:val="C0504D"/>
          <w:sz w:val="24"/>
          <w:szCs w:val="24"/>
        </w:rPr>
        <w:t xml:space="preserve">“ ЕООД и „БДЖ – </w:t>
      </w:r>
      <w:r w:rsidR="006808BD" w:rsidRPr="006C13DF">
        <w:rPr>
          <w:rFonts w:ascii="Times New Roman" w:eastAsia="Calibri" w:hAnsi="Times New Roman" w:cs="Times New Roman"/>
          <w:b/>
          <w:color w:val="C0504D"/>
          <w:sz w:val="24"/>
          <w:szCs w:val="24"/>
        </w:rPr>
        <w:t>ТОВАРНИ ПРЕВОЗИ</w:t>
      </w:r>
      <w:r w:rsidRPr="006C13DF">
        <w:rPr>
          <w:rFonts w:ascii="Times New Roman" w:eastAsia="Calibri" w:hAnsi="Times New Roman" w:cs="Times New Roman"/>
          <w:b/>
          <w:color w:val="C0504D"/>
          <w:sz w:val="24"/>
          <w:szCs w:val="24"/>
        </w:rPr>
        <w:t>“ ЕООД</w:t>
      </w:r>
    </w:p>
    <w:p w14:paraId="18D43004" w14:textId="77777777" w:rsidR="00D42C4A" w:rsidRPr="006C13DF" w:rsidRDefault="00D42C4A" w:rsidP="00D7409D">
      <w:pPr>
        <w:spacing w:after="0" w:line="240" w:lineRule="auto"/>
        <w:jc w:val="both"/>
        <w:rPr>
          <w:rFonts w:ascii="Times New Roman" w:eastAsia="Calibri" w:hAnsi="Times New Roman" w:cs="Times New Roman"/>
          <w:b/>
          <w:sz w:val="24"/>
          <w:szCs w:val="24"/>
        </w:rPr>
      </w:pPr>
    </w:p>
    <w:p w14:paraId="1F42C28D" w14:textId="77777777" w:rsidR="00D42C4A" w:rsidRPr="006C13DF" w:rsidRDefault="00D42C4A" w:rsidP="00EE5556">
      <w:pPr>
        <w:spacing w:after="0" w:line="240" w:lineRule="auto"/>
        <w:jc w:val="both"/>
        <w:rPr>
          <w:rFonts w:ascii="Times New Roman" w:eastAsia="Calibri" w:hAnsi="Times New Roman" w:cs="Times New Roman"/>
          <w:b/>
          <w:sz w:val="24"/>
          <w:szCs w:val="24"/>
        </w:rPr>
      </w:pPr>
      <w:r w:rsidRPr="006C13DF">
        <w:rPr>
          <w:rFonts w:ascii="Times New Roman" w:eastAsia="Calibri" w:hAnsi="Times New Roman" w:cs="Times New Roman"/>
          <w:b/>
          <w:sz w:val="24"/>
          <w:szCs w:val="24"/>
        </w:rPr>
        <w:t>1.3.3. Извършване на вътрешни проверки за спазване на здравословните и безопасни условия на труд</w:t>
      </w:r>
    </w:p>
    <w:p w14:paraId="5F2E5E6F" w14:textId="77777777" w:rsidR="00D42C4A" w:rsidRPr="006C13DF" w:rsidRDefault="00D42C4A" w:rsidP="00D42C4A">
      <w:pPr>
        <w:spacing w:after="0" w:line="240" w:lineRule="auto"/>
        <w:ind w:firstLine="708"/>
        <w:jc w:val="both"/>
        <w:rPr>
          <w:rFonts w:ascii="Times New Roman" w:eastAsia="Calibri" w:hAnsi="Times New Roman" w:cs="Times New Roman"/>
          <w:b/>
          <w:sz w:val="24"/>
          <w:szCs w:val="24"/>
        </w:rPr>
      </w:pPr>
    </w:p>
    <w:p w14:paraId="10E99F8B" w14:textId="77777777" w:rsidR="00D42C4A" w:rsidRDefault="00D42C4A" w:rsidP="00D42C4A">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С цел осъществяване на контрол върху спазване изискванията на нормативната уредба в областта на здравословните и безопасни условия на труд</w:t>
      </w:r>
      <w:r w:rsidRPr="006C13DF">
        <w:rPr>
          <w:rFonts w:ascii="Times New Roman" w:hAnsi="Times New Roman" w:cs="Times New Roman"/>
          <w:b/>
          <w:bCs/>
          <w:i/>
          <w:color w:val="000000"/>
          <w:kern w:val="2"/>
          <w:sz w:val="24"/>
          <w:szCs w:val="24"/>
          <w14:ligatures w14:val="standardContextual"/>
        </w:rPr>
        <w:t xml:space="preserve"> </w:t>
      </w:r>
      <w:r w:rsidRPr="006C13DF">
        <w:rPr>
          <w:rFonts w:ascii="Times New Roman" w:hAnsi="Times New Roman" w:cs="Times New Roman"/>
          <w:iCs/>
          <w:color w:val="000000"/>
          <w:kern w:val="2"/>
          <w:sz w:val="24"/>
          <w:szCs w:val="24"/>
          <w14:ligatures w14:val="standardContextual"/>
        </w:rPr>
        <w:t>(ЗБУТ)</w:t>
      </w:r>
      <w:r w:rsidRPr="006C13DF">
        <w:rPr>
          <w:rFonts w:ascii="Times New Roman" w:eastAsia="Calibri" w:hAnsi="Times New Roman" w:cs="Times New Roman"/>
          <w:iCs/>
          <w:sz w:val="24"/>
          <w:szCs w:val="24"/>
        </w:rPr>
        <w:t>,</w:t>
      </w:r>
      <w:r w:rsidRPr="006C13DF">
        <w:rPr>
          <w:rFonts w:ascii="Times New Roman" w:eastAsia="Calibri" w:hAnsi="Times New Roman" w:cs="Times New Roman"/>
          <w:sz w:val="24"/>
          <w:szCs w:val="24"/>
        </w:rPr>
        <w:t xml:space="preserve"> в структурите на „БДЖ – Пътнически превози“ ЕООД се извършват вътрешни проверки, като за периода 2023 – 2024 г. са извършени проверки, както следва:</w:t>
      </w:r>
    </w:p>
    <w:p w14:paraId="6D9A5B74" w14:textId="77777777" w:rsidR="00D42C4A" w:rsidRPr="00EE5556" w:rsidRDefault="00EE5556" w:rsidP="00554703">
      <w:pPr>
        <w:pStyle w:val="ListParagraph"/>
        <w:numPr>
          <w:ilvl w:val="0"/>
          <w:numId w:val="3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D42C4A" w:rsidRPr="00EE5556">
        <w:rPr>
          <w:rFonts w:ascii="Times New Roman" w:eastAsia="Times New Roman" w:hAnsi="Times New Roman" w:cs="Times New Roman"/>
          <w:sz w:val="24"/>
          <w:szCs w:val="24"/>
          <w:lang w:eastAsia="bg-BG"/>
        </w:rPr>
        <w:t>рез 2023 г. – 423 бр. проверки;</w:t>
      </w:r>
    </w:p>
    <w:p w14:paraId="55B367AD" w14:textId="77777777" w:rsidR="00D42C4A" w:rsidRPr="00EE5556" w:rsidRDefault="00EE5556" w:rsidP="00554703">
      <w:pPr>
        <w:pStyle w:val="ListParagraph"/>
        <w:numPr>
          <w:ilvl w:val="0"/>
          <w:numId w:val="3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D42C4A" w:rsidRPr="00EE5556">
        <w:rPr>
          <w:rFonts w:ascii="Times New Roman" w:eastAsia="Times New Roman" w:hAnsi="Times New Roman" w:cs="Times New Roman"/>
          <w:sz w:val="24"/>
          <w:szCs w:val="24"/>
          <w:lang w:eastAsia="bg-BG"/>
        </w:rPr>
        <w:t>рез 2024 г. – 557 бр. проверки.</w:t>
      </w:r>
    </w:p>
    <w:p w14:paraId="5E9D3F79" w14:textId="77777777" w:rsidR="00D42C4A" w:rsidRPr="006C13DF" w:rsidRDefault="00D42C4A" w:rsidP="00D42C4A">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t>В „БДЖ – Товарни превози“ ЕООД се извършват вътрешни проверки за спазване на здравословните и безопасни условия на труд и спазване на трудовото законодателство в областта на здравословните и безопасни условия на труд, провеждат се обучения, свързани с изпълнение изискванията на нормативната уредба по ЗБУТ.</w:t>
      </w:r>
    </w:p>
    <w:p w14:paraId="5198E6D0" w14:textId="77777777" w:rsidR="00B3068D" w:rsidRPr="006C13DF" w:rsidRDefault="00B3068D" w:rsidP="00B3068D">
      <w:pPr>
        <w:spacing w:after="0" w:line="240" w:lineRule="auto"/>
        <w:jc w:val="both"/>
        <w:rPr>
          <w:rFonts w:ascii="Times New Roman" w:hAnsi="Times New Roman" w:cs="Times New Roman"/>
          <w:b/>
          <w:sz w:val="24"/>
          <w:szCs w:val="24"/>
        </w:rPr>
      </w:pPr>
    </w:p>
    <w:p w14:paraId="71DB9BF1" w14:textId="77777777" w:rsidR="00B3068D" w:rsidRPr="006C13DF" w:rsidRDefault="00B3068D" w:rsidP="00B3068D">
      <w:pPr>
        <w:spacing w:after="0" w:line="240" w:lineRule="auto"/>
        <w:jc w:val="center"/>
        <w:rPr>
          <w:rFonts w:ascii="Times New Roman" w:eastAsia="Calibri" w:hAnsi="Times New Roman" w:cs="Times New Roman"/>
          <w:b/>
          <w:caps/>
          <w:color w:val="C0504D"/>
          <w:sz w:val="24"/>
          <w:szCs w:val="24"/>
        </w:rPr>
      </w:pPr>
      <w:bookmarkStart w:id="3" w:name="_Hlk199631761"/>
      <w:r w:rsidRPr="006C13DF">
        <w:rPr>
          <w:rFonts w:ascii="Times New Roman" w:eastAsia="Calibri" w:hAnsi="Times New Roman" w:cs="Times New Roman"/>
          <w:b/>
          <w:color w:val="C0504D"/>
          <w:sz w:val="24"/>
          <w:szCs w:val="24"/>
        </w:rPr>
        <w:t>НАЦИОНАЛНА КОМПАНИЯ „ЖЕЛЕЗОПЪТНА ИНФРАСТРУКТУРА“ (НКЖИ)</w:t>
      </w:r>
      <w:bookmarkEnd w:id="3"/>
    </w:p>
    <w:p w14:paraId="10FA595A" w14:textId="77777777" w:rsidR="00B3068D" w:rsidRPr="006C13DF" w:rsidRDefault="00B3068D" w:rsidP="00B3068D">
      <w:pPr>
        <w:spacing w:after="0" w:line="240" w:lineRule="auto"/>
        <w:jc w:val="center"/>
        <w:rPr>
          <w:rFonts w:ascii="Times New Roman" w:eastAsia="Calibri" w:hAnsi="Times New Roman" w:cs="Times New Roman"/>
          <w:b/>
          <w:caps/>
          <w:color w:val="C0504D"/>
          <w:sz w:val="24"/>
          <w:szCs w:val="24"/>
        </w:rPr>
      </w:pPr>
    </w:p>
    <w:p w14:paraId="6F427B47" w14:textId="77777777" w:rsidR="00B3068D" w:rsidRPr="006C13DF" w:rsidRDefault="00B3068D" w:rsidP="00EE5556">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1.3.4. Разработване на годишен План-график с мероприятия за изпълнение изискванията на нормативната уредба по ЗБУТ</w:t>
      </w:r>
    </w:p>
    <w:p w14:paraId="64804BBA" w14:textId="77777777" w:rsidR="00B3068D" w:rsidRPr="006C13DF" w:rsidRDefault="00B3068D" w:rsidP="00B3068D">
      <w:pPr>
        <w:tabs>
          <w:tab w:val="left" w:pos="7620"/>
        </w:tabs>
        <w:spacing w:after="0" w:line="240" w:lineRule="auto"/>
        <w:ind w:firstLine="709"/>
        <w:jc w:val="both"/>
        <w:rPr>
          <w:rFonts w:ascii="Times New Roman" w:eastAsia="Calibri" w:hAnsi="Times New Roman" w:cs="Times New Roman"/>
          <w:b/>
          <w:bCs/>
          <w:i/>
          <w:iCs/>
          <w:kern w:val="2"/>
          <w:sz w:val="24"/>
          <w:szCs w:val="24"/>
          <w14:ligatures w14:val="standardContextual"/>
        </w:rPr>
      </w:pPr>
    </w:p>
    <w:p w14:paraId="28E5FF01" w14:textId="77777777" w:rsidR="00B3068D" w:rsidRDefault="00B3068D" w:rsidP="00B3068D">
      <w:pPr>
        <w:tabs>
          <w:tab w:val="left" w:pos="7620"/>
        </w:tabs>
        <w:spacing w:after="0" w:line="240" w:lineRule="auto"/>
        <w:ind w:firstLine="709"/>
        <w:jc w:val="both"/>
        <w:rPr>
          <w:rFonts w:ascii="Times New Roman" w:eastAsia="Times New Roman" w:hAnsi="Times New Roman" w:cs="Times New Roman"/>
          <w:bCs/>
          <w:iCs/>
          <w:kern w:val="2"/>
          <w:sz w:val="24"/>
          <w:szCs w:val="24"/>
          <w14:ligatures w14:val="standardContextual"/>
        </w:rPr>
      </w:pPr>
      <w:r w:rsidRPr="006C13DF">
        <w:rPr>
          <w:rFonts w:ascii="Times New Roman" w:eastAsia="Times New Roman" w:hAnsi="Times New Roman" w:cs="Times New Roman"/>
          <w:bCs/>
          <w:iCs/>
          <w:kern w:val="2"/>
          <w:sz w:val="24"/>
          <w:szCs w:val="24"/>
          <w14:ligatures w14:val="standardContextual"/>
        </w:rPr>
        <w:t xml:space="preserve">Контролната дейност допълва превантивните мероприятия на НКЖИ относно осигуряването на здравословни и безопасни условия на труд по работните места, като за 2023 г. са извършени 1940 бр. </w:t>
      </w:r>
      <w:r w:rsidRPr="00EE5556">
        <w:rPr>
          <w:rFonts w:ascii="Times New Roman" w:eastAsia="Times New Roman" w:hAnsi="Times New Roman" w:cs="Times New Roman"/>
          <w:b/>
          <w:bCs/>
          <w:iCs/>
          <w:kern w:val="2"/>
          <w:sz w:val="24"/>
          <w:szCs w:val="24"/>
          <w14:ligatures w14:val="standardContextual"/>
        </w:rPr>
        <w:t xml:space="preserve">проверки за </w:t>
      </w:r>
      <w:r w:rsidRPr="00EE5556">
        <w:rPr>
          <w:rFonts w:ascii="Times New Roman" w:eastAsia="Calibri" w:hAnsi="Times New Roman" w:cs="Times New Roman"/>
          <w:b/>
          <w:kern w:val="2"/>
          <w:sz w:val="24"/>
          <w:szCs w:val="24"/>
          <w14:ligatures w14:val="standardContextual"/>
        </w:rPr>
        <w:t>спазване на здравословните и безопасни условия на труд</w:t>
      </w:r>
      <w:r w:rsidRPr="006C13DF">
        <w:rPr>
          <w:rFonts w:ascii="Times New Roman" w:eastAsia="Calibri" w:hAnsi="Times New Roman" w:cs="Times New Roman"/>
          <w:i/>
          <w:iCs/>
          <w:kern w:val="2"/>
          <w:sz w:val="24"/>
          <w:szCs w:val="24"/>
          <w14:ligatures w14:val="standardContextual"/>
        </w:rPr>
        <w:t>,</w:t>
      </w:r>
      <w:r w:rsidRPr="006C13DF">
        <w:rPr>
          <w:rFonts w:ascii="Times New Roman" w:eastAsia="Times New Roman" w:hAnsi="Times New Roman" w:cs="Times New Roman"/>
          <w:bCs/>
          <w:iCs/>
          <w:kern w:val="2"/>
          <w:sz w:val="24"/>
          <w:szCs w:val="24"/>
          <w14:ligatures w14:val="standardContextual"/>
        </w:rPr>
        <w:t xml:space="preserve"> а за 2024 г. броят на извършените проверки е 1756.</w:t>
      </w:r>
    </w:p>
    <w:p w14:paraId="1A749A70" w14:textId="77777777" w:rsidR="00B3068D" w:rsidRPr="00EE5556" w:rsidRDefault="00B3068D" w:rsidP="00554703">
      <w:pPr>
        <w:pStyle w:val="ListParagraph"/>
        <w:numPr>
          <w:ilvl w:val="0"/>
          <w:numId w:val="34"/>
        </w:numPr>
        <w:spacing w:after="0" w:line="240" w:lineRule="auto"/>
        <w:ind w:left="0" w:firstLine="360"/>
        <w:jc w:val="both"/>
        <w:rPr>
          <w:rFonts w:ascii="Times New Roman" w:eastAsia="Times New Roman" w:hAnsi="Times New Roman" w:cs="Times New Roman"/>
          <w:bCs/>
          <w:iCs/>
          <w:kern w:val="2"/>
          <w:sz w:val="24"/>
          <w:szCs w:val="24"/>
          <w14:ligatures w14:val="standardContextual"/>
        </w:rPr>
      </w:pPr>
      <w:r w:rsidRPr="00EE5556">
        <w:rPr>
          <w:rFonts w:ascii="Times New Roman" w:eastAsia="Calibri" w:hAnsi="Times New Roman" w:cs="Times New Roman"/>
          <w:kern w:val="2"/>
          <w:sz w:val="24"/>
          <w:szCs w:val="24"/>
          <w14:ligatures w14:val="standardContextual"/>
        </w:rPr>
        <w:t xml:space="preserve">На всички новоназначени, стажанти, практиканти, включително и на новопостъпилите възрастни хора се провежда начален инструктаж по ЗБУТ. За 2023 г. са инструктирани 2 736 лица, а за 2024 г. 2 422 души са преминали инструктаж. </w:t>
      </w:r>
    </w:p>
    <w:p w14:paraId="065582B3" w14:textId="77777777" w:rsidR="00B3068D" w:rsidRPr="00EE5556" w:rsidRDefault="00B3068D" w:rsidP="00554703">
      <w:pPr>
        <w:pStyle w:val="ListParagraph"/>
        <w:numPr>
          <w:ilvl w:val="0"/>
          <w:numId w:val="34"/>
        </w:numPr>
        <w:spacing w:after="0" w:line="240" w:lineRule="auto"/>
        <w:ind w:left="0" w:firstLine="360"/>
        <w:jc w:val="both"/>
        <w:rPr>
          <w:rFonts w:ascii="Times New Roman" w:eastAsia="Times New Roman" w:hAnsi="Times New Roman" w:cs="Times New Roman"/>
          <w:bCs/>
          <w:iCs/>
          <w:kern w:val="2"/>
          <w:sz w:val="24"/>
          <w:szCs w:val="24"/>
          <w14:ligatures w14:val="standardContextual"/>
        </w:rPr>
      </w:pPr>
      <w:r w:rsidRPr="00EE5556">
        <w:rPr>
          <w:rFonts w:ascii="Times New Roman" w:eastAsia="Calibri" w:hAnsi="Times New Roman" w:cs="Times New Roman"/>
          <w:kern w:val="2"/>
          <w:sz w:val="24"/>
          <w:szCs w:val="24"/>
          <w14:ligatures w14:val="standardContextual"/>
        </w:rPr>
        <w:t xml:space="preserve">Проведени са обучения за поддържане и допълване на нивото на знания по програми, включващи актуални тематики за ефективно прилагане на законодателството в областта на безопасните и здравословни условия на труд, в които </w:t>
      </w:r>
      <w:r w:rsidR="00EE5556">
        <w:rPr>
          <w:rFonts w:ascii="Times New Roman" w:eastAsia="Calibri" w:hAnsi="Times New Roman" w:cs="Times New Roman"/>
          <w:kern w:val="2"/>
          <w:sz w:val="24"/>
          <w:szCs w:val="24"/>
          <w14:ligatures w14:val="standardContextual"/>
        </w:rPr>
        <w:t xml:space="preserve">участват и възрастни служители. </w:t>
      </w:r>
      <w:r w:rsidRPr="00EE5556">
        <w:rPr>
          <w:rFonts w:ascii="Times New Roman" w:eastAsia="Calibri" w:hAnsi="Times New Roman" w:cs="Times New Roman"/>
          <w:kern w:val="2"/>
          <w:sz w:val="24"/>
          <w:szCs w:val="24"/>
          <w14:ligatures w14:val="standardContextual"/>
        </w:rPr>
        <w:t xml:space="preserve">За 2023 </w:t>
      </w:r>
      <w:r w:rsidR="00EE5556">
        <w:rPr>
          <w:rFonts w:ascii="Times New Roman" w:eastAsia="Calibri" w:hAnsi="Times New Roman" w:cs="Times New Roman"/>
          <w:kern w:val="2"/>
          <w:sz w:val="24"/>
          <w:szCs w:val="24"/>
          <w14:ligatures w14:val="standardContextual"/>
        </w:rPr>
        <w:t xml:space="preserve">г. са обучени 3 841 лица, а за </w:t>
      </w:r>
      <w:r w:rsidRPr="00EE5556">
        <w:rPr>
          <w:rFonts w:ascii="Times New Roman" w:eastAsia="Calibri" w:hAnsi="Times New Roman" w:cs="Times New Roman"/>
          <w:kern w:val="2"/>
          <w:sz w:val="24"/>
          <w:szCs w:val="24"/>
          <w14:ligatures w14:val="standardContextual"/>
        </w:rPr>
        <w:t xml:space="preserve">2024 г. са обучени 4 018. </w:t>
      </w:r>
    </w:p>
    <w:p w14:paraId="1983AF7F" w14:textId="77777777" w:rsidR="00FB6215" w:rsidRPr="006C13DF" w:rsidRDefault="00FB6215" w:rsidP="00CE0C36">
      <w:pPr>
        <w:spacing w:after="0" w:line="240" w:lineRule="auto"/>
        <w:jc w:val="both"/>
        <w:rPr>
          <w:rFonts w:ascii="Times New Roman" w:hAnsi="Times New Roman" w:cs="Times New Roman"/>
          <w:b/>
          <w:i/>
          <w:sz w:val="24"/>
          <w:szCs w:val="24"/>
        </w:rPr>
      </w:pPr>
    </w:p>
    <w:p w14:paraId="6BF063E4" w14:textId="77777777" w:rsidR="00FB6215" w:rsidRPr="006C13DF" w:rsidRDefault="00FB6215" w:rsidP="005916A0">
      <w:pPr>
        <w:spacing w:after="0" w:line="240" w:lineRule="auto"/>
        <w:jc w:val="center"/>
        <w:rPr>
          <w:rFonts w:ascii="Times New Roman" w:eastAsia="Calibri" w:hAnsi="Times New Roman" w:cs="Times New Roman"/>
          <w:b/>
          <w:color w:val="C0504D"/>
          <w:sz w:val="24"/>
          <w:szCs w:val="24"/>
        </w:rPr>
      </w:pPr>
      <w:bookmarkStart w:id="4" w:name="_Hlk199631962"/>
      <w:r w:rsidRPr="006C13DF">
        <w:rPr>
          <w:rFonts w:ascii="Times New Roman" w:eastAsia="Calibri" w:hAnsi="Times New Roman" w:cs="Times New Roman"/>
          <w:b/>
          <w:color w:val="C0504D"/>
          <w:sz w:val="24"/>
          <w:szCs w:val="24"/>
        </w:rPr>
        <w:t>НАЦИОНАЛНА КОМПАНИЯ „ЖЕЛЕЗОПЪТНА ИНФРАСТРУКТУРА“ (НКЖИ)</w:t>
      </w:r>
      <w:bookmarkEnd w:id="4"/>
    </w:p>
    <w:p w14:paraId="003509FC" w14:textId="77777777" w:rsidR="005916A0" w:rsidRPr="006C13DF" w:rsidRDefault="005916A0" w:rsidP="005916A0">
      <w:pPr>
        <w:spacing w:after="0" w:line="240" w:lineRule="auto"/>
        <w:jc w:val="center"/>
        <w:rPr>
          <w:rFonts w:ascii="Times New Roman" w:eastAsia="Calibri" w:hAnsi="Times New Roman" w:cs="Times New Roman"/>
          <w:b/>
          <w:caps/>
          <w:color w:val="C0504D"/>
          <w:sz w:val="24"/>
          <w:szCs w:val="24"/>
        </w:rPr>
      </w:pPr>
    </w:p>
    <w:p w14:paraId="0DCCA83F" w14:textId="77777777" w:rsidR="00FB6215" w:rsidRPr="006C13DF" w:rsidRDefault="00FB6215" w:rsidP="005916A0">
      <w:pPr>
        <w:spacing w:after="0" w:line="240" w:lineRule="auto"/>
        <w:jc w:val="both"/>
        <w:rPr>
          <w:rFonts w:ascii="Times New Roman" w:eastAsia="Calibri" w:hAnsi="Times New Roman" w:cs="Times New Roman"/>
          <w:b/>
          <w:bCs/>
          <w:iCs/>
          <w:kern w:val="2"/>
          <w:sz w:val="24"/>
          <w:szCs w:val="24"/>
          <w14:ligatures w14:val="standardContextual"/>
        </w:rPr>
      </w:pPr>
      <w:r w:rsidRPr="006C13DF">
        <w:rPr>
          <w:rFonts w:ascii="Times New Roman" w:eastAsia="Calibri" w:hAnsi="Times New Roman" w:cs="Times New Roman"/>
          <w:b/>
          <w:bCs/>
          <w:iCs/>
          <w:kern w:val="2"/>
          <w:sz w:val="24"/>
          <w:szCs w:val="24"/>
          <w14:ligatures w14:val="standardContextual"/>
        </w:rPr>
        <w:t>1.3.5. Разработване на Програма с мерки и мероприятия, свързани с подобряване условията на труд</w:t>
      </w:r>
    </w:p>
    <w:p w14:paraId="7F5F25FE" w14:textId="77777777" w:rsidR="005916A0" w:rsidRPr="006C13DF" w:rsidRDefault="005916A0" w:rsidP="005916A0">
      <w:pPr>
        <w:spacing w:after="0" w:line="240" w:lineRule="auto"/>
        <w:jc w:val="both"/>
        <w:rPr>
          <w:rFonts w:ascii="Times New Roman" w:eastAsia="Calibri" w:hAnsi="Times New Roman" w:cs="Times New Roman"/>
          <w:b/>
          <w:bCs/>
          <w:iCs/>
          <w:kern w:val="2"/>
          <w:sz w:val="24"/>
          <w:szCs w:val="24"/>
          <w14:ligatures w14:val="standardContextual"/>
        </w:rPr>
      </w:pPr>
    </w:p>
    <w:p w14:paraId="004176D2" w14:textId="77777777" w:rsidR="00FB6215" w:rsidRPr="00EE5556" w:rsidRDefault="00FB6215" w:rsidP="00554703">
      <w:pPr>
        <w:pStyle w:val="ListParagraph"/>
        <w:numPr>
          <w:ilvl w:val="0"/>
          <w:numId w:val="34"/>
        </w:numPr>
        <w:spacing w:after="0" w:line="240" w:lineRule="auto"/>
        <w:ind w:left="0" w:firstLine="360"/>
        <w:jc w:val="both"/>
        <w:rPr>
          <w:rFonts w:ascii="Times New Roman" w:eastAsia="Calibri" w:hAnsi="Times New Roman" w:cs="Times New Roman"/>
          <w:kern w:val="2"/>
          <w:sz w:val="24"/>
          <w:szCs w:val="24"/>
          <w14:ligatures w14:val="standardContextual"/>
        </w:rPr>
      </w:pPr>
      <w:r w:rsidRPr="006C13DF">
        <w:rPr>
          <w:rFonts w:ascii="Times New Roman" w:eastAsia="Calibri" w:hAnsi="Times New Roman" w:cs="Times New Roman"/>
          <w:kern w:val="2"/>
          <w:sz w:val="24"/>
          <w:szCs w:val="24"/>
          <w14:ligatures w14:val="standardContextual"/>
        </w:rPr>
        <w:t xml:space="preserve">Реконструкция и модернизация на сгради и помещения, с цел нормализиране параметрите на работната среда и санитарно-битово обслужване. За 2023 г. – 78 бр., за 2024 г. – 90 </w:t>
      </w:r>
      <w:r w:rsidR="005916A0" w:rsidRPr="006C13DF">
        <w:rPr>
          <w:rFonts w:ascii="Times New Roman" w:eastAsia="Calibri" w:hAnsi="Times New Roman" w:cs="Times New Roman"/>
          <w:kern w:val="2"/>
          <w:sz w:val="24"/>
          <w:szCs w:val="24"/>
          <w14:ligatures w14:val="standardContextual"/>
        </w:rPr>
        <w:t>бр</w:t>
      </w:r>
      <w:r w:rsidRPr="006C13DF">
        <w:rPr>
          <w:rFonts w:ascii="Times New Roman" w:eastAsia="Calibri" w:hAnsi="Times New Roman" w:cs="Times New Roman"/>
          <w:kern w:val="2"/>
          <w:sz w:val="24"/>
          <w:szCs w:val="24"/>
          <w14:ligatures w14:val="standardContextual"/>
        </w:rPr>
        <w:t>.</w:t>
      </w:r>
      <w:r w:rsidR="005916A0" w:rsidRPr="006C13DF">
        <w:rPr>
          <w:rFonts w:ascii="Times New Roman" w:eastAsia="Calibri" w:hAnsi="Times New Roman" w:cs="Times New Roman"/>
          <w:kern w:val="2"/>
          <w:sz w:val="24"/>
          <w:szCs w:val="24"/>
          <w14:ligatures w14:val="standardContextual"/>
        </w:rPr>
        <w:t>;</w:t>
      </w:r>
    </w:p>
    <w:p w14:paraId="6A781168" w14:textId="77777777" w:rsidR="00FB6215" w:rsidRPr="00EE5556" w:rsidRDefault="00FB6215" w:rsidP="00554703">
      <w:pPr>
        <w:pStyle w:val="ListParagraph"/>
        <w:numPr>
          <w:ilvl w:val="0"/>
          <w:numId w:val="34"/>
        </w:numPr>
        <w:spacing w:after="0" w:line="240" w:lineRule="auto"/>
        <w:ind w:left="0" w:firstLine="360"/>
        <w:jc w:val="both"/>
        <w:rPr>
          <w:rFonts w:ascii="Times New Roman" w:eastAsia="Calibri" w:hAnsi="Times New Roman" w:cs="Times New Roman"/>
          <w:kern w:val="2"/>
          <w:sz w:val="24"/>
          <w:szCs w:val="24"/>
          <w14:ligatures w14:val="standardContextual"/>
        </w:rPr>
      </w:pPr>
      <w:r w:rsidRPr="006C13DF">
        <w:rPr>
          <w:rFonts w:ascii="Times New Roman" w:eastAsia="Calibri" w:hAnsi="Times New Roman" w:cs="Times New Roman"/>
          <w:kern w:val="2"/>
          <w:sz w:val="24"/>
          <w:szCs w:val="24"/>
          <w14:ligatures w14:val="standardContextual"/>
        </w:rPr>
        <w:t>Осъществяване на процеси по обезопасяване на машини и съоръжения, осигуряване на ергономия на работните места, с цел създаване на условия за безопасно изпълнение на производственият процес</w:t>
      </w:r>
      <w:r w:rsidR="005916A0" w:rsidRPr="006C13DF">
        <w:rPr>
          <w:rFonts w:ascii="Times New Roman" w:eastAsia="Calibri" w:hAnsi="Times New Roman" w:cs="Times New Roman"/>
          <w:kern w:val="2"/>
          <w:sz w:val="24"/>
          <w:szCs w:val="24"/>
          <w14:ligatures w14:val="standardContextual"/>
        </w:rPr>
        <w:t>;</w:t>
      </w:r>
    </w:p>
    <w:p w14:paraId="1B40A8B0" w14:textId="77777777" w:rsidR="00DE466E" w:rsidRPr="00EE5556" w:rsidRDefault="00FB6215" w:rsidP="00554703">
      <w:pPr>
        <w:pStyle w:val="ListParagraph"/>
        <w:numPr>
          <w:ilvl w:val="0"/>
          <w:numId w:val="34"/>
        </w:numPr>
        <w:spacing w:after="0" w:line="240" w:lineRule="auto"/>
        <w:ind w:left="0" w:firstLine="360"/>
        <w:jc w:val="both"/>
        <w:rPr>
          <w:rFonts w:ascii="Times New Roman" w:eastAsia="Calibri" w:hAnsi="Times New Roman" w:cs="Times New Roman"/>
          <w:kern w:val="2"/>
          <w:sz w:val="24"/>
          <w:szCs w:val="24"/>
          <w14:ligatures w14:val="standardContextual"/>
        </w:rPr>
      </w:pPr>
      <w:r w:rsidRPr="006C13DF">
        <w:rPr>
          <w:rFonts w:ascii="Times New Roman" w:eastAsia="Calibri" w:hAnsi="Times New Roman" w:cs="Times New Roman"/>
          <w:kern w:val="2"/>
          <w:sz w:val="24"/>
          <w:szCs w:val="24"/>
          <w14:ligatures w14:val="standardContextual"/>
        </w:rPr>
        <w:t xml:space="preserve">Осигуряване на лични предпазни средства, специално работно облекло и работно облекло – същите се осигуряват регулярно, спрямо сезона и сроковете на износване. За </w:t>
      </w:r>
      <w:r w:rsidRPr="006C13DF">
        <w:rPr>
          <w:rFonts w:ascii="Times New Roman" w:eastAsia="Calibri" w:hAnsi="Times New Roman" w:cs="Times New Roman"/>
          <w:kern w:val="2"/>
          <w:sz w:val="24"/>
          <w:szCs w:val="24"/>
          <w14:ligatures w14:val="standardContextual"/>
        </w:rPr>
        <w:lastRenderedPageBreak/>
        <w:t xml:space="preserve">2023 г. и 2024 г. са подсигурени: работни </w:t>
      </w:r>
      <w:proofErr w:type="spellStart"/>
      <w:r w:rsidRPr="006C13DF">
        <w:rPr>
          <w:rFonts w:ascii="Times New Roman" w:eastAsia="Calibri" w:hAnsi="Times New Roman" w:cs="Times New Roman"/>
          <w:kern w:val="2"/>
          <w:sz w:val="24"/>
          <w:szCs w:val="24"/>
          <w14:ligatures w14:val="standardContextual"/>
        </w:rPr>
        <w:t>прахозащитни</w:t>
      </w:r>
      <w:proofErr w:type="spellEnd"/>
      <w:r w:rsidRPr="006C13DF">
        <w:rPr>
          <w:rFonts w:ascii="Times New Roman" w:eastAsia="Calibri" w:hAnsi="Times New Roman" w:cs="Times New Roman"/>
          <w:kern w:val="2"/>
          <w:sz w:val="24"/>
          <w:szCs w:val="24"/>
          <w14:ligatures w14:val="standardContextual"/>
        </w:rPr>
        <w:t xml:space="preserve"> куртки – 7 220 бр., работни </w:t>
      </w:r>
      <w:proofErr w:type="spellStart"/>
      <w:r w:rsidRPr="006C13DF">
        <w:rPr>
          <w:rFonts w:ascii="Times New Roman" w:eastAsia="Calibri" w:hAnsi="Times New Roman" w:cs="Times New Roman"/>
          <w:kern w:val="2"/>
          <w:sz w:val="24"/>
          <w:szCs w:val="24"/>
          <w14:ligatures w14:val="standardContextual"/>
        </w:rPr>
        <w:t>прахозащитни</w:t>
      </w:r>
      <w:proofErr w:type="spellEnd"/>
      <w:r w:rsidRPr="006C13DF">
        <w:rPr>
          <w:rFonts w:ascii="Times New Roman" w:eastAsia="Calibri" w:hAnsi="Times New Roman" w:cs="Times New Roman"/>
          <w:kern w:val="2"/>
          <w:sz w:val="24"/>
          <w:szCs w:val="24"/>
          <w14:ligatures w14:val="standardContextual"/>
        </w:rPr>
        <w:t xml:space="preserve"> панталони – 14 372 бр., тениски – 14 362 бр., слънцезащитни шапки – 6 887 бр., работни ръкавици – 59 914 бр., работни </w:t>
      </w:r>
      <w:proofErr w:type="spellStart"/>
      <w:r w:rsidRPr="006C13DF">
        <w:rPr>
          <w:rFonts w:ascii="Times New Roman" w:eastAsia="Calibri" w:hAnsi="Times New Roman" w:cs="Times New Roman"/>
          <w:kern w:val="2"/>
          <w:sz w:val="24"/>
          <w:szCs w:val="24"/>
          <w14:ligatures w14:val="standardContextual"/>
        </w:rPr>
        <w:t>прахозащитни</w:t>
      </w:r>
      <w:proofErr w:type="spellEnd"/>
      <w:r w:rsidRPr="006C13DF">
        <w:rPr>
          <w:rFonts w:ascii="Times New Roman" w:eastAsia="Calibri" w:hAnsi="Times New Roman" w:cs="Times New Roman"/>
          <w:kern w:val="2"/>
          <w:sz w:val="24"/>
          <w:szCs w:val="24"/>
          <w14:ligatures w14:val="standardContextual"/>
        </w:rPr>
        <w:t xml:space="preserve"> обувки – 7 578 бр., ботуши PVC – 30 бр., сигнални елеци – 30 бр. </w:t>
      </w:r>
    </w:p>
    <w:p w14:paraId="1A942B00" w14:textId="77777777" w:rsidR="002D596B" w:rsidRPr="006C13DF" w:rsidRDefault="002D596B" w:rsidP="00EE5556">
      <w:pPr>
        <w:spacing w:after="0" w:line="240" w:lineRule="auto"/>
        <w:jc w:val="both"/>
        <w:rPr>
          <w:rFonts w:ascii="Times New Roman" w:eastAsia="Calibri" w:hAnsi="Times New Roman" w:cs="Times New Roman"/>
          <w:b/>
          <w:color w:val="C0504D"/>
          <w:sz w:val="24"/>
          <w:szCs w:val="24"/>
        </w:rPr>
      </w:pPr>
    </w:p>
    <w:p w14:paraId="41426848" w14:textId="77777777" w:rsidR="00DE466E" w:rsidRPr="006C13DF" w:rsidRDefault="00DE466E" w:rsidP="002D596B">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olor w:val="C0504D"/>
          <w:sz w:val="24"/>
          <w:szCs w:val="24"/>
        </w:rPr>
        <w:t>НАЦИОНАЛНА КОМПАНИЯ „ЖЕЛЕЗОПЪТНА ИНФРАСТРУКТУРА“ (НКЖИ)</w:t>
      </w:r>
    </w:p>
    <w:p w14:paraId="2BA75E5C" w14:textId="77777777" w:rsidR="00FB6215" w:rsidRPr="006C13DF" w:rsidRDefault="00FB6215" w:rsidP="002D596B">
      <w:pPr>
        <w:spacing w:after="0" w:line="240" w:lineRule="auto"/>
        <w:jc w:val="both"/>
        <w:rPr>
          <w:rFonts w:ascii="Times New Roman" w:hAnsi="Times New Roman" w:cs="Times New Roman"/>
          <w:b/>
          <w:i/>
          <w:sz w:val="24"/>
          <w:szCs w:val="24"/>
        </w:rPr>
      </w:pPr>
    </w:p>
    <w:p w14:paraId="4EDBBED8" w14:textId="77777777" w:rsidR="00DC23C3" w:rsidRPr="006C13DF" w:rsidRDefault="00A632A1" w:rsidP="002D596B">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1.3.6. Провеждане на периодични медицински прегледи и периодични психологически прегледи</w:t>
      </w:r>
    </w:p>
    <w:p w14:paraId="5F3552FD" w14:textId="77777777" w:rsidR="00DE466E" w:rsidRPr="006C13DF" w:rsidRDefault="00DE466E" w:rsidP="002D596B">
      <w:pPr>
        <w:spacing w:after="0" w:line="240" w:lineRule="auto"/>
        <w:ind w:firstLine="709"/>
        <w:jc w:val="both"/>
        <w:rPr>
          <w:rFonts w:ascii="Times New Roman" w:hAnsi="Times New Roman" w:cs="Times New Roman"/>
          <w:b/>
          <w:sz w:val="24"/>
          <w:szCs w:val="24"/>
        </w:rPr>
      </w:pPr>
    </w:p>
    <w:p w14:paraId="1BBD8AAE" w14:textId="77777777" w:rsidR="00DE466E" w:rsidRDefault="00DE466E" w:rsidP="00EE5556">
      <w:pPr>
        <w:spacing w:after="0" w:line="240" w:lineRule="auto"/>
        <w:jc w:val="center"/>
        <w:rPr>
          <w:rFonts w:ascii="Times New Roman" w:hAnsi="Times New Roman" w:cs="Times New Roman"/>
          <w:i/>
          <w:sz w:val="24"/>
          <w:szCs w:val="24"/>
        </w:rPr>
      </w:pPr>
      <w:r w:rsidRPr="00EE5556">
        <w:rPr>
          <w:rFonts w:ascii="Times New Roman" w:hAnsi="Times New Roman" w:cs="Times New Roman"/>
          <w:i/>
          <w:sz w:val="24"/>
          <w:szCs w:val="24"/>
        </w:rPr>
        <w:t>Информацията е предоставена в т. 1.3.1.</w:t>
      </w:r>
    </w:p>
    <w:p w14:paraId="517DF5B9" w14:textId="77777777" w:rsidR="003B0AB2" w:rsidRDefault="003B0AB2" w:rsidP="00EE5556">
      <w:pPr>
        <w:spacing w:after="0" w:line="240" w:lineRule="auto"/>
        <w:jc w:val="center"/>
        <w:rPr>
          <w:rFonts w:ascii="Times New Roman" w:hAnsi="Times New Roman" w:cs="Times New Roman"/>
          <w:i/>
          <w:sz w:val="24"/>
          <w:szCs w:val="24"/>
        </w:rPr>
      </w:pPr>
    </w:p>
    <w:p w14:paraId="6848A31B" w14:textId="77777777" w:rsidR="003B0AB2" w:rsidRPr="00F258A9" w:rsidRDefault="003B0AB2" w:rsidP="003B0AB2">
      <w:pPr>
        <w:spacing w:after="0" w:line="240" w:lineRule="auto"/>
        <w:jc w:val="center"/>
        <w:rPr>
          <w:rFonts w:ascii="Times New Roman" w:eastAsia="Calibri" w:hAnsi="Times New Roman" w:cs="Times New Roman"/>
          <w:b/>
          <w:caps/>
          <w:color w:val="C0504D"/>
          <w:sz w:val="24"/>
          <w:szCs w:val="24"/>
        </w:rPr>
      </w:pPr>
      <w:r w:rsidRPr="00F258A9">
        <w:rPr>
          <w:rFonts w:ascii="Times New Roman" w:eastAsia="Calibri" w:hAnsi="Times New Roman" w:cs="Times New Roman"/>
          <w:b/>
          <w:caps/>
          <w:color w:val="C0504D"/>
          <w:sz w:val="24"/>
          <w:szCs w:val="24"/>
        </w:rPr>
        <w:t>Министерство на ТРАНСПОРТА И СЪОБЩЕНИЯТА</w:t>
      </w:r>
    </w:p>
    <w:p w14:paraId="45A62809" w14:textId="77777777" w:rsidR="003B0AB2" w:rsidRPr="00F258A9" w:rsidRDefault="003B0AB2" w:rsidP="003B0AB2">
      <w:pPr>
        <w:spacing w:after="0" w:line="240" w:lineRule="auto"/>
        <w:jc w:val="center"/>
        <w:rPr>
          <w:rFonts w:ascii="Times New Roman" w:eastAsia="Calibri" w:hAnsi="Times New Roman" w:cs="Times New Roman"/>
          <w:b/>
          <w:caps/>
          <w:color w:val="C0504D"/>
          <w:sz w:val="24"/>
          <w:szCs w:val="24"/>
        </w:rPr>
      </w:pPr>
      <w:r w:rsidRPr="00F258A9">
        <w:rPr>
          <w:rFonts w:ascii="Times New Roman" w:eastAsia="Calibri" w:hAnsi="Times New Roman" w:cs="Times New Roman"/>
          <w:b/>
          <w:caps/>
          <w:color w:val="C0504D"/>
          <w:sz w:val="24"/>
          <w:szCs w:val="24"/>
        </w:rPr>
        <w:t xml:space="preserve">РЕГИОНАЛНА ДИРЕКЦИЯ „АВТОМОБИЛНА АДМИНИСТРАЦИЯ“ – </w:t>
      </w:r>
      <w:r>
        <w:rPr>
          <w:rFonts w:ascii="Times New Roman" w:eastAsia="Calibri" w:hAnsi="Times New Roman" w:cs="Times New Roman"/>
          <w:b/>
          <w:caps/>
          <w:color w:val="C0504D"/>
          <w:sz w:val="24"/>
          <w:szCs w:val="24"/>
        </w:rPr>
        <w:t>РУСЕ</w:t>
      </w:r>
    </w:p>
    <w:p w14:paraId="125ACA52" w14:textId="77777777" w:rsidR="00DC23C3" w:rsidRPr="006C13DF" w:rsidRDefault="00DC23C3" w:rsidP="00DC23C3">
      <w:pPr>
        <w:spacing w:after="0" w:line="240" w:lineRule="auto"/>
        <w:jc w:val="center"/>
        <w:rPr>
          <w:rFonts w:ascii="Times New Roman" w:eastAsia="Calibri" w:hAnsi="Times New Roman" w:cs="Times New Roman"/>
          <w:b/>
          <w:caps/>
          <w:color w:val="C0504D"/>
          <w:sz w:val="24"/>
          <w:szCs w:val="24"/>
        </w:rPr>
      </w:pPr>
    </w:p>
    <w:p w14:paraId="40107897" w14:textId="77777777" w:rsidR="00DC23C3" w:rsidRPr="003B0AB2" w:rsidRDefault="00DC23C3" w:rsidP="003B0AB2">
      <w:pPr>
        <w:spacing w:after="0" w:line="240" w:lineRule="auto"/>
        <w:jc w:val="both"/>
        <w:rPr>
          <w:rFonts w:ascii="Times New Roman" w:hAnsi="Times New Roman" w:cs="Times New Roman"/>
          <w:b/>
          <w:sz w:val="24"/>
          <w:szCs w:val="24"/>
        </w:rPr>
      </w:pPr>
      <w:r w:rsidRPr="003B0AB2">
        <w:rPr>
          <w:rFonts w:ascii="Times New Roman" w:hAnsi="Times New Roman" w:cs="Times New Roman"/>
          <w:b/>
          <w:sz w:val="24"/>
          <w:szCs w:val="24"/>
        </w:rPr>
        <w:t>1.3.7. Разработване на Програма с мерки и мероприятия, свързани с подобряване условията на труд</w:t>
      </w:r>
    </w:p>
    <w:p w14:paraId="52EF19A9" w14:textId="77777777" w:rsidR="00DC23C3" w:rsidRPr="003B0AB2" w:rsidRDefault="00DC23C3" w:rsidP="003B0AB2">
      <w:pPr>
        <w:spacing w:after="0" w:line="240" w:lineRule="auto"/>
        <w:jc w:val="both"/>
        <w:rPr>
          <w:rFonts w:ascii="Times New Roman" w:eastAsia="Calibri" w:hAnsi="Times New Roman" w:cs="Times New Roman"/>
          <w:sz w:val="24"/>
          <w:szCs w:val="24"/>
          <w:highlight w:val="yellow"/>
        </w:rPr>
      </w:pPr>
    </w:p>
    <w:p w14:paraId="39B85C4F" w14:textId="77777777" w:rsidR="003B0AB2" w:rsidRDefault="003B0AB2" w:rsidP="003B0AB2">
      <w:pPr>
        <w:spacing w:after="0" w:line="240" w:lineRule="auto"/>
        <w:jc w:val="both"/>
        <w:rPr>
          <w:rFonts w:ascii="Times New Roman" w:hAnsi="Times New Roman" w:cs="Times New Roman"/>
          <w:sz w:val="24"/>
          <w:szCs w:val="24"/>
          <w:lang w:eastAsia="ar-SA"/>
        </w:rPr>
      </w:pPr>
      <w:r w:rsidRPr="003B0AB2">
        <w:rPr>
          <w:rFonts w:ascii="Times New Roman" w:hAnsi="Times New Roman" w:cs="Times New Roman"/>
          <w:sz w:val="24"/>
          <w:szCs w:val="24"/>
          <w:lang w:eastAsia="ar-SA"/>
        </w:rPr>
        <w:tab/>
        <w:t>Съгласно сключен договор между Изпълнителна агенция „Автомобилна администрация“ и Служба по трудова медицина ежегодно се организират и провеждат медицински прегледи за всички служители в агенцията. Извършват се и измервания на параметрите на работната среда и електролабораторни измервания на ел. уредби и съоръжения.</w:t>
      </w:r>
    </w:p>
    <w:p w14:paraId="70BA1C76" w14:textId="77777777" w:rsidR="003B0AB2" w:rsidRPr="003B0AB2" w:rsidRDefault="003B0AB2" w:rsidP="003B0AB2">
      <w:pPr>
        <w:spacing w:after="0" w:line="240" w:lineRule="auto"/>
        <w:jc w:val="both"/>
        <w:rPr>
          <w:rFonts w:ascii="Times New Roman" w:hAnsi="Times New Roman" w:cs="Times New Roman"/>
          <w:sz w:val="24"/>
          <w:szCs w:val="24"/>
          <w:lang w:eastAsia="ar-SA"/>
        </w:rPr>
      </w:pPr>
    </w:p>
    <w:p w14:paraId="2EE2CBEF" w14:textId="77777777" w:rsidR="003B0AB2" w:rsidRPr="00F258A9" w:rsidRDefault="003B0AB2" w:rsidP="003B0AB2">
      <w:pPr>
        <w:spacing w:after="0" w:line="240" w:lineRule="auto"/>
        <w:jc w:val="center"/>
        <w:rPr>
          <w:rFonts w:ascii="Times New Roman" w:eastAsia="Calibri" w:hAnsi="Times New Roman" w:cs="Times New Roman"/>
          <w:b/>
          <w:caps/>
          <w:color w:val="C0504D"/>
          <w:sz w:val="24"/>
          <w:szCs w:val="24"/>
        </w:rPr>
      </w:pPr>
      <w:r w:rsidRPr="00F258A9">
        <w:rPr>
          <w:rFonts w:ascii="Times New Roman" w:eastAsia="Calibri" w:hAnsi="Times New Roman" w:cs="Times New Roman"/>
          <w:b/>
          <w:caps/>
          <w:color w:val="C0504D"/>
          <w:sz w:val="24"/>
          <w:szCs w:val="24"/>
        </w:rPr>
        <w:t>Министерство на ТРАНСПОРТА И СЪОБЩЕНИЯТА</w:t>
      </w:r>
    </w:p>
    <w:p w14:paraId="4DB66D69" w14:textId="77777777" w:rsidR="003B0AB2" w:rsidRPr="00F258A9" w:rsidRDefault="003B0AB2" w:rsidP="003B0AB2">
      <w:pPr>
        <w:spacing w:after="0" w:line="240" w:lineRule="auto"/>
        <w:jc w:val="center"/>
        <w:rPr>
          <w:rFonts w:ascii="Times New Roman" w:eastAsia="Calibri" w:hAnsi="Times New Roman" w:cs="Times New Roman"/>
          <w:b/>
          <w:caps/>
          <w:color w:val="C0504D"/>
          <w:sz w:val="24"/>
          <w:szCs w:val="24"/>
        </w:rPr>
      </w:pPr>
      <w:r w:rsidRPr="00F258A9">
        <w:rPr>
          <w:rFonts w:ascii="Times New Roman" w:eastAsia="Calibri" w:hAnsi="Times New Roman" w:cs="Times New Roman"/>
          <w:b/>
          <w:caps/>
          <w:color w:val="C0504D"/>
          <w:sz w:val="24"/>
          <w:szCs w:val="24"/>
        </w:rPr>
        <w:t xml:space="preserve">РЕГИОНАЛНА ДИРЕКЦИЯ „АВТОМОБИЛНА АДМИНИСТРАЦИЯ“ – </w:t>
      </w:r>
      <w:r>
        <w:rPr>
          <w:rFonts w:ascii="Times New Roman" w:eastAsia="Calibri" w:hAnsi="Times New Roman" w:cs="Times New Roman"/>
          <w:b/>
          <w:caps/>
          <w:color w:val="C0504D"/>
          <w:sz w:val="24"/>
          <w:szCs w:val="24"/>
        </w:rPr>
        <w:t>СОФИЯ</w:t>
      </w:r>
    </w:p>
    <w:p w14:paraId="6A9029F6" w14:textId="77777777" w:rsidR="003B0AB2" w:rsidRPr="006C13DF" w:rsidRDefault="003B0AB2" w:rsidP="00DE466E">
      <w:pPr>
        <w:spacing w:after="0" w:line="240" w:lineRule="auto"/>
        <w:jc w:val="both"/>
        <w:rPr>
          <w:rFonts w:ascii="Times New Roman" w:eastAsia="Calibri" w:hAnsi="Times New Roman" w:cs="Times New Roman"/>
          <w:sz w:val="24"/>
          <w:szCs w:val="24"/>
          <w:highlight w:val="yellow"/>
        </w:rPr>
      </w:pPr>
    </w:p>
    <w:p w14:paraId="37A6B3E2" w14:textId="77777777" w:rsidR="002B5765" w:rsidRPr="006C13DF" w:rsidRDefault="002B5765" w:rsidP="00DE466E">
      <w:pPr>
        <w:spacing w:after="0" w:line="240" w:lineRule="auto"/>
        <w:jc w:val="both"/>
        <w:rPr>
          <w:rFonts w:ascii="Times New Roman" w:hAnsi="Times New Roman" w:cs="Times New Roman"/>
          <w:b/>
          <w:sz w:val="24"/>
          <w:szCs w:val="24"/>
        </w:rPr>
      </w:pPr>
      <w:r w:rsidRPr="003B0AB2">
        <w:rPr>
          <w:rFonts w:ascii="Times New Roman" w:hAnsi="Times New Roman" w:cs="Times New Roman"/>
          <w:b/>
          <w:sz w:val="24"/>
          <w:szCs w:val="24"/>
        </w:rPr>
        <w:t>1.3.8. Провеждане на периодични цялостни медицински прегледи</w:t>
      </w:r>
    </w:p>
    <w:p w14:paraId="114FC610" w14:textId="77777777" w:rsidR="002D596B" w:rsidRDefault="002D596B" w:rsidP="002D596B">
      <w:pPr>
        <w:spacing w:after="0" w:line="240" w:lineRule="auto"/>
        <w:jc w:val="both"/>
        <w:rPr>
          <w:rFonts w:ascii="Times New Roman" w:hAnsi="Times New Roman" w:cs="Times New Roman"/>
          <w:sz w:val="24"/>
          <w:szCs w:val="24"/>
        </w:rPr>
      </w:pPr>
    </w:p>
    <w:p w14:paraId="3C6E08F0" w14:textId="77777777" w:rsidR="003B0AB2" w:rsidRDefault="003B0AB2" w:rsidP="003B0AB2">
      <w:pPr>
        <w:spacing w:after="0" w:line="240" w:lineRule="auto"/>
        <w:jc w:val="center"/>
        <w:rPr>
          <w:rFonts w:ascii="Times New Roman" w:hAnsi="Times New Roman" w:cs="Times New Roman"/>
          <w:i/>
          <w:sz w:val="24"/>
          <w:szCs w:val="24"/>
        </w:rPr>
      </w:pPr>
      <w:r w:rsidRPr="00EE5556">
        <w:rPr>
          <w:rFonts w:ascii="Times New Roman" w:hAnsi="Times New Roman" w:cs="Times New Roman"/>
          <w:i/>
          <w:sz w:val="24"/>
          <w:szCs w:val="24"/>
        </w:rPr>
        <w:t>Информ</w:t>
      </w:r>
      <w:r>
        <w:rPr>
          <w:rFonts w:ascii="Times New Roman" w:hAnsi="Times New Roman" w:cs="Times New Roman"/>
          <w:i/>
          <w:sz w:val="24"/>
          <w:szCs w:val="24"/>
        </w:rPr>
        <w:t>ацията е предоставена в т. 1.3.7</w:t>
      </w:r>
      <w:r w:rsidRPr="00EE5556">
        <w:rPr>
          <w:rFonts w:ascii="Times New Roman" w:hAnsi="Times New Roman" w:cs="Times New Roman"/>
          <w:i/>
          <w:sz w:val="24"/>
          <w:szCs w:val="24"/>
        </w:rPr>
        <w:t>.</w:t>
      </w:r>
    </w:p>
    <w:p w14:paraId="6459B0B5" w14:textId="77777777" w:rsidR="003B0AB2" w:rsidRPr="006C13DF" w:rsidRDefault="003B0AB2" w:rsidP="002D596B">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A97432" w:rsidRPr="006C13DF" w14:paraId="4B298A3B" w14:textId="77777777" w:rsidTr="00E655FD">
        <w:tc>
          <w:tcPr>
            <w:tcW w:w="9060" w:type="dxa"/>
            <w:shd w:val="clear" w:color="auto" w:fill="EBE453"/>
          </w:tcPr>
          <w:p w14:paraId="5FDD0192" w14:textId="77777777" w:rsidR="00A97432" w:rsidRPr="006C13DF" w:rsidRDefault="00A97432" w:rsidP="00A97432">
            <w:pPr>
              <w:jc w:val="both"/>
              <w:rPr>
                <w:rFonts w:ascii="Times New Roman" w:hAnsi="Times New Roman" w:cs="Times New Roman"/>
                <w:b/>
                <w:sz w:val="28"/>
                <w:szCs w:val="28"/>
              </w:rPr>
            </w:pPr>
            <w:r w:rsidRPr="006C13DF">
              <w:rPr>
                <w:rFonts w:ascii="Times New Roman" w:hAnsi="Times New Roman" w:cs="Times New Roman"/>
                <w:b/>
                <w:sz w:val="28"/>
                <w:szCs w:val="28"/>
              </w:rPr>
              <w:t>1.4. Предоставяне на специализирани услуги за възрастни работници</w:t>
            </w:r>
          </w:p>
          <w:p w14:paraId="3C921482" w14:textId="77777777" w:rsidR="00A97432" w:rsidRPr="006C13DF" w:rsidRDefault="00A97432" w:rsidP="00A97432">
            <w:pPr>
              <w:jc w:val="both"/>
              <w:rPr>
                <w:rFonts w:ascii="Times New Roman" w:hAnsi="Times New Roman" w:cs="Times New Roman"/>
              </w:rPr>
            </w:pPr>
          </w:p>
        </w:tc>
      </w:tr>
    </w:tbl>
    <w:p w14:paraId="13A8CC75" w14:textId="77777777" w:rsidR="00A97432" w:rsidRDefault="00A97432" w:rsidP="00A97432">
      <w:pPr>
        <w:spacing w:after="0" w:line="240" w:lineRule="auto"/>
        <w:ind w:firstLine="709"/>
        <w:jc w:val="both"/>
        <w:rPr>
          <w:rFonts w:ascii="Times New Roman" w:hAnsi="Times New Roman" w:cs="Times New Roman"/>
          <w:sz w:val="24"/>
          <w:szCs w:val="24"/>
        </w:rPr>
      </w:pPr>
    </w:p>
    <w:p w14:paraId="4DB861DF" w14:textId="77777777" w:rsidR="00C95838" w:rsidRDefault="00C95838" w:rsidP="00C95838">
      <w:pPr>
        <w:spacing w:after="0" w:line="240" w:lineRule="auto"/>
        <w:jc w:val="center"/>
        <w:rPr>
          <w:rFonts w:ascii="Times New Roman" w:eastAsia="Calibri" w:hAnsi="Times New Roman" w:cs="Times New Roman"/>
          <w:b/>
          <w:color w:val="C0504D"/>
          <w:sz w:val="24"/>
          <w:szCs w:val="24"/>
        </w:rPr>
      </w:pPr>
      <w:r>
        <w:rPr>
          <w:rFonts w:ascii="Times New Roman" w:eastAsia="Calibri" w:hAnsi="Times New Roman" w:cs="Times New Roman"/>
          <w:b/>
          <w:color w:val="C0504D"/>
          <w:sz w:val="24"/>
          <w:szCs w:val="24"/>
        </w:rPr>
        <w:t>МИНИСТЕРСТВО НА ОТБРАНАТА</w:t>
      </w:r>
    </w:p>
    <w:p w14:paraId="358F78C9" w14:textId="77777777" w:rsidR="00C95838" w:rsidRDefault="00C95838" w:rsidP="00C95838">
      <w:pPr>
        <w:spacing w:after="0" w:line="240" w:lineRule="auto"/>
        <w:jc w:val="center"/>
        <w:rPr>
          <w:rFonts w:ascii="Times New Roman" w:eastAsia="Calibri" w:hAnsi="Times New Roman" w:cs="Times New Roman"/>
          <w:b/>
          <w:color w:val="C0504D"/>
          <w:sz w:val="24"/>
          <w:szCs w:val="24"/>
        </w:rPr>
      </w:pPr>
    </w:p>
    <w:p w14:paraId="5C198984" w14:textId="77777777" w:rsidR="00C95838" w:rsidRPr="00C95838" w:rsidRDefault="00C95838" w:rsidP="00C95838">
      <w:pPr>
        <w:spacing w:after="0" w:line="240" w:lineRule="auto"/>
        <w:jc w:val="both"/>
        <w:rPr>
          <w:rFonts w:ascii="Times New Roman" w:hAnsi="Times New Roman" w:cs="Times New Roman"/>
          <w:b/>
          <w:sz w:val="24"/>
          <w:szCs w:val="24"/>
        </w:rPr>
      </w:pPr>
      <w:r w:rsidRPr="00C95838">
        <w:rPr>
          <w:rFonts w:ascii="Times New Roman" w:hAnsi="Times New Roman" w:cs="Times New Roman"/>
          <w:b/>
          <w:sz w:val="24"/>
          <w:szCs w:val="24"/>
        </w:rPr>
        <w:t xml:space="preserve">1.4.1. Министерство на отбраната поддържа система за социална адаптация на военнослужещите, освобождавани от военна служба, чрез информиране и провеждане на професионално ориентиране, мотивационна подготовка, възможности за обучение в квалификационни курсове, подготовка за започване на самостоятелна стопанска дейност, информиране за свободни работни места и участие в трудови борси, организирани от дирекции „Бюро по труда“ </w:t>
      </w:r>
      <w:r>
        <w:rPr>
          <w:rFonts w:ascii="Times New Roman" w:hAnsi="Times New Roman" w:cs="Times New Roman"/>
          <w:b/>
          <w:sz w:val="24"/>
          <w:szCs w:val="24"/>
        </w:rPr>
        <w:t xml:space="preserve">(ДБТ) </w:t>
      </w:r>
      <w:r w:rsidRPr="00C95838">
        <w:rPr>
          <w:rFonts w:ascii="Times New Roman" w:hAnsi="Times New Roman" w:cs="Times New Roman"/>
          <w:b/>
          <w:sz w:val="24"/>
          <w:szCs w:val="24"/>
        </w:rPr>
        <w:t>на Агенция по заетостта, съгласно изискванията на Наредба №Н-29/12.11.2010 г., изм. и доп. в ДВ., бр.</w:t>
      </w:r>
      <w:r>
        <w:rPr>
          <w:rFonts w:ascii="Times New Roman" w:hAnsi="Times New Roman" w:cs="Times New Roman"/>
          <w:b/>
          <w:sz w:val="24"/>
          <w:szCs w:val="24"/>
        </w:rPr>
        <w:t xml:space="preserve"> </w:t>
      </w:r>
      <w:r w:rsidRPr="00C95838">
        <w:rPr>
          <w:rFonts w:ascii="Times New Roman" w:hAnsi="Times New Roman" w:cs="Times New Roman"/>
          <w:b/>
          <w:sz w:val="24"/>
          <w:szCs w:val="24"/>
        </w:rPr>
        <w:t>60 от 30.07.2019 г. и сключеното Споразумение за сътрудничество между МО и Агенция по заетостта от 31.05.2011 г., Анекс №1 от 2015 г. и Анекс №2 от 2017 г.</w:t>
      </w:r>
    </w:p>
    <w:p w14:paraId="5ABD6644" w14:textId="77777777" w:rsidR="00C95838" w:rsidRPr="00D7133B" w:rsidRDefault="00C95838" w:rsidP="00C95838">
      <w:pPr>
        <w:spacing w:after="0" w:line="240" w:lineRule="auto"/>
        <w:jc w:val="both"/>
        <w:rPr>
          <w:rFonts w:ascii="Times New Roman" w:hAnsi="Times New Roman" w:cs="Times New Roman"/>
          <w:b/>
          <w:sz w:val="24"/>
          <w:szCs w:val="24"/>
        </w:rPr>
      </w:pPr>
    </w:p>
    <w:p w14:paraId="2F092C53" w14:textId="77777777" w:rsidR="00C95838" w:rsidRPr="00C95838" w:rsidRDefault="00C95838" w:rsidP="00C95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95838">
        <w:rPr>
          <w:rFonts w:ascii="Times New Roman" w:hAnsi="Times New Roman" w:cs="Times New Roman"/>
          <w:sz w:val="24"/>
          <w:szCs w:val="24"/>
        </w:rPr>
        <w:t>През 202</w:t>
      </w:r>
      <w:r w:rsidRPr="00C95838">
        <w:rPr>
          <w:rFonts w:ascii="Times New Roman" w:hAnsi="Times New Roman" w:cs="Times New Roman"/>
          <w:sz w:val="24"/>
          <w:szCs w:val="24"/>
          <w:lang w:val="ru-RU"/>
        </w:rPr>
        <w:t>3</w:t>
      </w:r>
      <w:r>
        <w:rPr>
          <w:rFonts w:ascii="Times New Roman" w:hAnsi="Times New Roman" w:cs="Times New Roman"/>
          <w:sz w:val="24"/>
          <w:szCs w:val="24"/>
          <w:lang w:val="ru-RU"/>
        </w:rPr>
        <w:t xml:space="preserve"> г.</w:t>
      </w:r>
      <w:r w:rsidRPr="00C95838">
        <w:rPr>
          <w:rFonts w:ascii="Times New Roman" w:hAnsi="Times New Roman" w:cs="Times New Roman"/>
          <w:sz w:val="24"/>
          <w:szCs w:val="24"/>
          <w:lang w:val="ru-RU"/>
        </w:rPr>
        <w:t xml:space="preserve"> </w:t>
      </w:r>
      <w:r w:rsidRPr="00C95838">
        <w:rPr>
          <w:rFonts w:ascii="Times New Roman" w:hAnsi="Times New Roman" w:cs="Times New Roman"/>
          <w:sz w:val="24"/>
          <w:szCs w:val="24"/>
        </w:rPr>
        <w:t xml:space="preserve">и 2024 г. са проведени съответно 446/383 индивидуални информационни беседи; 203/227 проведени групови информационни беседи; </w:t>
      </w:r>
      <w:r w:rsidRPr="00C95838">
        <w:rPr>
          <w:rFonts w:ascii="Times New Roman" w:hAnsi="Times New Roman" w:cs="Times New Roman"/>
          <w:sz w:val="24"/>
          <w:szCs w:val="24"/>
          <w:lang w:val="ru-RU"/>
        </w:rPr>
        <w:t>40</w:t>
      </w:r>
      <w:r w:rsidRPr="00C95838">
        <w:rPr>
          <w:rFonts w:ascii="Times New Roman" w:hAnsi="Times New Roman" w:cs="Times New Roman"/>
          <w:sz w:val="24"/>
          <w:szCs w:val="24"/>
        </w:rPr>
        <w:t>/55 военнослужещи заявили желание и получили Препоръка за 2023/2024 г., съгласно чл.</w:t>
      </w:r>
      <w:r>
        <w:rPr>
          <w:rFonts w:ascii="Times New Roman" w:hAnsi="Times New Roman" w:cs="Times New Roman"/>
          <w:sz w:val="24"/>
          <w:szCs w:val="24"/>
        </w:rPr>
        <w:t xml:space="preserve"> </w:t>
      </w:r>
      <w:r w:rsidRPr="00C95838">
        <w:rPr>
          <w:rFonts w:ascii="Times New Roman" w:hAnsi="Times New Roman" w:cs="Times New Roman"/>
          <w:sz w:val="24"/>
          <w:szCs w:val="24"/>
        </w:rPr>
        <w:t xml:space="preserve">12, ал. 4-5 от Наредба №Н-29/12.11.2010 г.; 62/26 проведени трудови борси и срещи с </w:t>
      </w:r>
      <w:r w:rsidRPr="00C95838">
        <w:rPr>
          <w:rFonts w:ascii="Times New Roman" w:hAnsi="Times New Roman" w:cs="Times New Roman"/>
          <w:sz w:val="24"/>
          <w:szCs w:val="24"/>
        </w:rPr>
        <w:lastRenderedPageBreak/>
        <w:t xml:space="preserve">работодатели; </w:t>
      </w:r>
      <w:r w:rsidRPr="00C95838">
        <w:rPr>
          <w:rFonts w:ascii="Times New Roman" w:hAnsi="Times New Roman" w:cs="Times New Roman"/>
          <w:sz w:val="24"/>
          <w:szCs w:val="24"/>
          <w:lang w:val="ru-RU"/>
        </w:rPr>
        <w:t>1</w:t>
      </w:r>
      <w:r w:rsidRPr="00C95838">
        <w:rPr>
          <w:rFonts w:ascii="Times New Roman" w:hAnsi="Times New Roman" w:cs="Times New Roman"/>
          <w:sz w:val="24"/>
          <w:szCs w:val="24"/>
        </w:rPr>
        <w:t>09/122 регистрирани в ДБТ освободени военнослужещи, насочени от военните окръжия; 133 (2023 г.: жени – 18 и мъже – 115) и 247 (2024 г.: жени – 3</w:t>
      </w:r>
      <w:r w:rsidRPr="00C95838">
        <w:rPr>
          <w:rFonts w:ascii="Times New Roman" w:hAnsi="Times New Roman" w:cs="Times New Roman"/>
          <w:sz w:val="24"/>
          <w:szCs w:val="24"/>
          <w:lang w:val="ru-RU"/>
        </w:rPr>
        <w:t>2</w:t>
      </w:r>
      <w:r>
        <w:rPr>
          <w:rFonts w:ascii="Times New Roman" w:hAnsi="Times New Roman" w:cs="Times New Roman"/>
          <w:sz w:val="24"/>
          <w:szCs w:val="24"/>
        </w:rPr>
        <w:t xml:space="preserve"> и мъже – </w:t>
      </w:r>
      <w:r w:rsidRPr="00C95838">
        <w:rPr>
          <w:rFonts w:ascii="Times New Roman" w:hAnsi="Times New Roman" w:cs="Times New Roman"/>
          <w:sz w:val="24"/>
          <w:szCs w:val="24"/>
        </w:rPr>
        <w:t xml:space="preserve">215) военнослужещи, успешно са завършили обучението си в квалификационни курсове, а 41/40 са наетите на работа освободени военнослужещи, насочени към ДБТ от военните окръжия. </w:t>
      </w:r>
    </w:p>
    <w:p w14:paraId="0DF63C07" w14:textId="77777777" w:rsidR="00C95838" w:rsidRPr="006C13DF" w:rsidRDefault="00C95838" w:rsidP="00C95838">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A97432" w:rsidRPr="006C13DF" w14:paraId="01CB03D9" w14:textId="77777777" w:rsidTr="00E655FD">
        <w:tc>
          <w:tcPr>
            <w:tcW w:w="9060" w:type="dxa"/>
            <w:shd w:val="clear" w:color="auto" w:fill="EBE453"/>
          </w:tcPr>
          <w:p w14:paraId="3A69A425" w14:textId="77777777" w:rsidR="00A97432" w:rsidRPr="006C13DF" w:rsidRDefault="00A97432" w:rsidP="00A97432">
            <w:pPr>
              <w:jc w:val="both"/>
              <w:rPr>
                <w:rFonts w:ascii="Times New Roman" w:hAnsi="Times New Roman" w:cs="Times New Roman"/>
                <w:b/>
                <w:sz w:val="28"/>
                <w:szCs w:val="28"/>
              </w:rPr>
            </w:pPr>
            <w:r w:rsidRPr="006C13DF">
              <w:rPr>
                <w:rFonts w:ascii="Times New Roman" w:hAnsi="Times New Roman" w:cs="Times New Roman"/>
                <w:b/>
                <w:sz w:val="28"/>
                <w:szCs w:val="28"/>
              </w:rPr>
              <w:t>1.5. Адаптиране на социално-осигурителната и пенсионна система към застаряване на населението</w:t>
            </w:r>
          </w:p>
        </w:tc>
      </w:tr>
    </w:tbl>
    <w:p w14:paraId="645F5E97" w14:textId="77777777" w:rsidR="006E5C93" w:rsidRPr="006C13DF" w:rsidRDefault="006E5C93" w:rsidP="00E91E47">
      <w:pPr>
        <w:spacing w:after="0" w:line="240" w:lineRule="auto"/>
        <w:ind w:firstLine="709"/>
        <w:jc w:val="both"/>
        <w:rPr>
          <w:rFonts w:ascii="Times New Roman" w:hAnsi="Times New Roman" w:cs="Times New Roman"/>
          <w:sz w:val="24"/>
          <w:szCs w:val="24"/>
        </w:rPr>
      </w:pPr>
    </w:p>
    <w:p w14:paraId="39BCC0FE" w14:textId="77777777" w:rsidR="00E655FD" w:rsidRPr="006C13DF" w:rsidRDefault="00E655FD" w:rsidP="00E655FD">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НАЦИОНАЛЕН ОСИГУРИТЕЛЕН ИНСТИТУТ </w:t>
      </w:r>
    </w:p>
    <w:p w14:paraId="19449D9A" w14:textId="77777777" w:rsidR="00E655FD" w:rsidRPr="006C13DF" w:rsidRDefault="00E655FD" w:rsidP="008E34F2">
      <w:pPr>
        <w:spacing w:after="0" w:line="240" w:lineRule="auto"/>
        <w:jc w:val="both"/>
        <w:rPr>
          <w:rFonts w:ascii="Times New Roman" w:hAnsi="Times New Roman" w:cs="Times New Roman"/>
          <w:sz w:val="24"/>
          <w:szCs w:val="24"/>
        </w:rPr>
      </w:pPr>
    </w:p>
    <w:p w14:paraId="785EE1CD" w14:textId="77777777" w:rsidR="00E655FD" w:rsidRPr="006C13DF" w:rsidRDefault="00E655FD" w:rsidP="00E655FD">
      <w:pPr>
        <w:spacing w:after="0" w:line="240" w:lineRule="auto"/>
        <w:jc w:val="both"/>
        <w:rPr>
          <w:rFonts w:ascii="Times New Roman" w:hAnsi="Times New Roman" w:cs="Times New Roman"/>
          <w:b/>
          <w:bCs/>
          <w:iCs/>
          <w:sz w:val="24"/>
          <w:szCs w:val="24"/>
        </w:rPr>
      </w:pPr>
      <w:r w:rsidRPr="006C13DF">
        <w:rPr>
          <w:rFonts w:ascii="Times New Roman" w:hAnsi="Times New Roman" w:cs="Times New Roman"/>
          <w:b/>
          <w:bCs/>
          <w:iCs/>
          <w:sz w:val="24"/>
          <w:szCs w:val="24"/>
        </w:rPr>
        <w:t>1.5.1. Промени в условията за придобиване право на пенсия през 2023 г.</w:t>
      </w:r>
    </w:p>
    <w:p w14:paraId="6B0972E6" w14:textId="77777777" w:rsidR="00E655FD" w:rsidRPr="006C13DF" w:rsidRDefault="00E655FD" w:rsidP="00E655FD">
      <w:pPr>
        <w:spacing w:after="0" w:line="240" w:lineRule="auto"/>
        <w:jc w:val="both"/>
        <w:rPr>
          <w:rFonts w:ascii="Times New Roman" w:hAnsi="Times New Roman" w:cs="Times New Roman"/>
          <w:sz w:val="24"/>
          <w:szCs w:val="24"/>
        </w:rPr>
      </w:pPr>
      <w:r w:rsidRPr="006C13DF">
        <w:rPr>
          <w:rFonts w:ascii="Times New Roman" w:hAnsi="Times New Roman" w:cs="Times New Roman"/>
          <w:b/>
          <w:bCs/>
          <w:iCs/>
          <w:sz w:val="24"/>
          <w:szCs w:val="24"/>
        </w:rPr>
        <w:tab/>
      </w:r>
      <w:r w:rsidRPr="006C13DF">
        <w:rPr>
          <w:rFonts w:ascii="Times New Roman" w:hAnsi="Times New Roman" w:cs="Times New Roman"/>
          <w:sz w:val="24"/>
          <w:szCs w:val="24"/>
        </w:rPr>
        <w:t xml:space="preserve">Условията за придобиване право на пенсия за осигурителен стаж и възраст през 2023 г. по </w:t>
      </w:r>
      <w:r w:rsidRPr="006C13DF">
        <w:rPr>
          <w:rFonts w:ascii="Times New Roman" w:hAnsi="Times New Roman" w:cs="Times New Roman"/>
          <w:b/>
          <w:bCs/>
          <w:sz w:val="24"/>
          <w:szCs w:val="24"/>
        </w:rPr>
        <w:t xml:space="preserve">чл. 68, ал. 1 и 2 </w:t>
      </w:r>
      <w:r w:rsidRPr="006C13DF">
        <w:rPr>
          <w:rFonts w:ascii="Times New Roman" w:hAnsi="Times New Roman" w:cs="Times New Roman"/>
          <w:sz w:val="24"/>
          <w:szCs w:val="24"/>
        </w:rPr>
        <w:t>от КСО се промениха, на база заложеното постепенно нарастване на възрастта и ос</w:t>
      </w:r>
      <w:r w:rsidR="008E34F2" w:rsidRPr="006C13DF">
        <w:rPr>
          <w:rFonts w:ascii="Times New Roman" w:hAnsi="Times New Roman" w:cs="Times New Roman"/>
          <w:sz w:val="24"/>
          <w:szCs w:val="24"/>
        </w:rPr>
        <w:t>игурителния стаж и са следните:</w:t>
      </w:r>
    </w:p>
    <w:p w14:paraId="6489E474" w14:textId="77777777" w:rsidR="00E655FD" w:rsidRPr="006C13DF" w:rsidRDefault="00E655FD" w:rsidP="00554703">
      <w:pPr>
        <w:pStyle w:val="ListParagraph"/>
        <w:numPr>
          <w:ilvl w:val="0"/>
          <w:numId w:val="7"/>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 xml:space="preserve">Мъже – навършена възраст 64 години и 6 месеца и 39 години и 4 месеца осигурителен стаж; </w:t>
      </w:r>
    </w:p>
    <w:p w14:paraId="190E1C92" w14:textId="77777777" w:rsidR="00E655FD" w:rsidRPr="006C13DF" w:rsidRDefault="00E655FD" w:rsidP="00554703">
      <w:pPr>
        <w:pStyle w:val="ListParagraph"/>
        <w:numPr>
          <w:ilvl w:val="0"/>
          <w:numId w:val="7"/>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 xml:space="preserve">Жени – навършена възраст 62 години и 36 години и 4 месеца осигурителен стаж. </w:t>
      </w:r>
    </w:p>
    <w:p w14:paraId="4D6ACC21" w14:textId="77777777" w:rsidR="00E655FD" w:rsidRPr="006C13DF" w:rsidRDefault="008E34F2" w:rsidP="00E655FD">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E655FD" w:rsidRPr="006C13DF">
        <w:rPr>
          <w:rFonts w:ascii="Times New Roman" w:hAnsi="Times New Roman" w:cs="Times New Roman"/>
          <w:sz w:val="24"/>
          <w:szCs w:val="24"/>
        </w:rPr>
        <w:t xml:space="preserve">През 2023 г. необходимата възраст за придобиване право на пенсия при наличие на 15 години действителен осигурителен стаж на основание </w:t>
      </w:r>
      <w:r w:rsidR="00E655FD" w:rsidRPr="006C13DF">
        <w:rPr>
          <w:rFonts w:ascii="Times New Roman" w:hAnsi="Times New Roman" w:cs="Times New Roman"/>
          <w:b/>
          <w:bCs/>
          <w:sz w:val="24"/>
          <w:szCs w:val="24"/>
        </w:rPr>
        <w:t xml:space="preserve">чл. 68, ал. 3 </w:t>
      </w:r>
      <w:r w:rsidR="00E655FD" w:rsidRPr="006C13DF">
        <w:rPr>
          <w:rFonts w:ascii="Times New Roman" w:hAnsi="Times New Roman" w:cs="Times New Roman"/>
          <w:sz w:val="24"/>
          <w:szCs w:val="24"/>
        </w:rPr>
        <w:t xml:space="preserve">от КСО е 67 години за жените и мъжете. </w:t>
      </w:r>
    </w:p>
    <w:p w14:paraId="1525E595" w14:textId="77777777" w:rsidR="00E655FD" w:rsidRPr="006C13DF" w:rsidRDefault="008E34F2" w:rsidP="00E655FD">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E655FD" w:rsidRPr="006C13DF">
        <w:rPr>
          <w:rFonts w:ascii="Times New Roman" w:hAnsi="Times New Roman" w:cs="Times New Roman"/>
          <w:sz w:val="24"/>
          <w:szCs w:val="24"/>
        </w:rPr>
        <w:t xml:space="preserve">Необходимата възраст за придобиване право на пенсия по чл. 69 от КСО се повиши с два месеца – 54 години за пенсия </w:t>
      </w:r>
      <w:r w:rsidR="00E655FD" w:rsidRPr="006C13DF">
        <w:rPr>
          <w:rFonts w:ascii="Times New Roman" w:hAnsi="Times New Roman" w:cs="Times New Roman"/>
          <w:b/>
          <w:bCs/>
          <w:sz w:val="24"/>
          <w:szCs w:val="24"/>
        </w:rPr>
        <w:t xml:space="preserve">по чл. 69, ал. 1, 2, 3, 5, 5а и 6 </w:t>
      </w:r>
      <w:r w:rsidR="00E655FD" w:rsidRPr="006C13DF">
        <w:rPr>
          <w:rFonts w:ascii="Times New Roman" w:hAnsi="Times New Roman" w:cs="Times New Roman"/>
          <w:sz w:val="24"/>
          <w:szCs w:val="24"/>
        </w:rPr>
        <w:t xml:space="preserve">и 44 години за пенсия по </w:t>
      </w:r>
      <w:r w:rsidR="00E655FD" w:rsidRPr="006C13DF">
        <w:rPr>
          <w:rFonts w:ascii="Times New Roman" w:hAnsi="Times New Roman" w:cs="Times New Roman"/>
          <w:b/>
          <w:bCs/>
          <w:sz w:val="24"/>
          <w:szCs w:val="24"/>
        </w:rPr>
        <w:t xml:space="preserve">чл. 69, ал. 4 и 7 </w:t>
      </w:r>
      <w:r w:rsidR="00E655FD" w:rsidRPr="006C13DF">
        <w:rPr>
          <w:rFonts w:ascii="Times New Roman" w:hAnsi="Times New Roman" w:cs="Times New Roman"/>
          <w:sz w:val="24"/>
          <w:szCs w:val="24"/>
        </w:rPr>
        <w:t xml:space="preserve">от КСО. </w:t>
      </w:r>
    </w:p>
    <w:p w14:paraId="69E54591" w14:textId="77777777" w:rsidR="00E655FD" w:rsidRPr="006C13DF" w:rsidRDefault="008E34F2" w:rsidP="00E655FD">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E655FD" w:rsidRPr="006C13DF">
        <w:rPr>
          <w:rFonts w:ascii="Times New Roman" w:hAnsi="Times New Roman" w:cs="Times New Roman"/>
          <w:sz w:val="24"/>
          <w:szCs w:val="24"/>
        </w:rPr>
        <w:t xml:space="preserve">Необходимата възраст за придобиване право на пенсия по </w:t>
      </w:r>
      <w:r w:rsidR="00E655FD" w:rsidRPr="006C13DF">
        <w:rPr>
          <w:rFonts w:ascii="Times New Roman" w:hAnsi="Times New Roman" w:cs="Times New Roman"/>
          <w:b/>
          <w:bCs/>
          <w:sz w:val="24"/>
          <w:szCs w:val="24"/>
        </w:rPr>
        <w:t xml:space="preserve">чл. 69а </w:t>
      </w:r>
      <w:r w:rsidR="00E655FD" w:rsidRPr="006C13DF">
        <w:rPr>
          <w:rFonts w:ascii="Times New Roman" w:hAnsi="Times New Roman" w:cs="Times New Roman"/>
          <w:sz w:val="24"/>
          <w:szCs w:val="24"/>
        </w:rPr>
        <w:t>от КСО се повиши с два месеца и е 44 години.</w:t>
      </w:r>
    </w:p>
    <w:p w14:paraId="1BAAAD9C" w14:textId="77777777" w:rsidR="008E34F2" w:rsidRPr="006C13DF" w:rsidRDefault="008E34F2" w:rsidP="008E34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Необходимата възраст за придобиване право на пенсия по </w:t>
      </w:r>
      <w:r w:rsidRPr="006C13DF">
        <w:rPr>
          <w:rFonts w:ascii="Times New Roman" w:hAnsi="Times New Roman" w:cs="Times New Roman"/>
          <w:b/>
          <w:bCs/>
          <w:sz w:val="24"/>
          <w:szCs w:val="24"/>
        </w:rPr>
        <w:t xml:space="preserve">чл. 69б, ал. 1, 2 и 3 </w:t>
      </w:r>
      <w:r w:rsidRPr="006C13DF">
        <w:rPr>
          <w:rFonts w:ascii="Times New Roman" w:hAnsi="Times New Roman" w:cs="Times New Roman"/>
          <w:sz w:val="24"/>
          <w:szCs w:val="24"/>
        </w:rPr>
        <w:t xml:space="preserve">от КСО за мъжете се повиши с два месеца, изискуемата възраст по чл. 69б, ал. 1 и 2 от КСО за жените се повиши с четири месеца, а по чл. 69б, ал. 3 с 2 месеца и е: </w:t>
      </w:r>
    </w:p>
    <w:p w14:paraId="7DD2FCA8" w14:textId="77777777" w:rsidR="008E34F2" w:rsidRPr="006C13DF" w:rsidRDefault="008E34F2" w:rsidP="00554703">
      <w:pPr>
        <w:pStyle w:val="ListParagraph"/>
        <w:numPr>
          <w:ilvl w:val="0"/>
          <w:numId w:val="8"/>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 xml:space="preserve">Мъже – 54 години, жени – 50 години и 4 месеца, за лицата с придобит осигурителен стаж в условията на първа категория труд; </w:t>
      </w:r>
    </w:p>
    <w:p w14:paraId="2233A1B5" w14:textId="77777777" w:rsidR="008E34F2" w:rsidRPr="006C13DF" w:rsidRDefault="008E34F2" w:rsidP="00554703">
      <w:pPr>
        <w:pStyle w:val="ListParagraph"/>
        <w:numPr>
          <w:ilvl w:val="0"/>
          <w:numId w:val="8"/>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 xml:space="preserve">Мъже – 59 години, жени – 55 години и 4 месеца, за лицата с придобит осигурителен стаж в условията на втора категория труд; </w:t>
      </w:r>
    </w:p>
    <w:p w14:paraId="31CF6D27" w14:textId="77777777" w:rsidR="008E34F2" w:rsidRPr="006C13DF" w:rsidRDefault="008E34F2" w:rsidP="00554703">
      <w:pPr>
        <w:pStyle w:val="ListParagraph"/>
        <w:numPr>
          <w:ilvl w:val="0"/>
          <w:numId w:val="8"/>
        </w:num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 xml:space="preserve">Мъже – 53 години и 4 месеца, а за жените – 48 години и 4 месеца, за лицата с придобит осигурителен стаж в условията на подземен труд. </w:t>
      </w:r>
    </w:p>
    <w:p w14:paraId="7D9B472F" w14:textId="77777777" w:rsidR="008E34F2" w:rsidRPr="006C13DF" w:rsidRDefault="008E34F2" w:rsidP="008E34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Необходимата възраст за учителите за придобиване право на срочна пенсия за ранно пенсиониране в намален размер по </w:t>
      </w:r>
      <w:r w:rsidRPr="006C13DF">
        <w:rPr>
          <w:rFonts w:ascii="Times New Roman" w:hAnsi="Times New Roman" w:cs="Times New Roman"/>
          <w:b/>
          <w:bCs/>
          <w:sz w:val="24"/>
          <w:szCs w:val="24"/>
        </w:rPr>
        <w:t xml:space="preserve">чл. 69в, ал. 1 </w:t>
      </w:r>
      <w:r w:rsidRPr="006C13DF">
        <w:rPr>
          <w:rFonts w:ascii="Times New Roman" w:hAnsi="Times New Roman" w:cs="Times New Roman"/>
          <w:sz w:val="24"/>
          <w:szCs w:val="24"/>
        </w:rPr>
        <w:t>от КСО за мъжете се повиши с един месец и е 61 години и 6 месеца, а за жените се повиши с два месеца и 59 години.</w:t>
      </w:r>
    </w:p>
    <w:p w14:paraId="4906C3FE" w14:textId="77777777" w:rsidR="008E34F2" w:rsidRPr="006C13DF" w:rsidRDefault="008E34F2" w:rsidP="008E34F2">
      <w:pPr>
        <w:spacing w:after="0" w:line="240" w:lineRule="auto"/>
        <w:jc w:val="both"/>
        <w:rPr>
          <w:rFonts w:ascii="Times New Roman" w:hAnsi="Times New Roman" w:cs="Times New Roman"/>
          <w:sz w:val="24"/>
          <w:szCs w:val="24"/>
        </w:rPr>
      </w:pPr>
    </w:p>
    <w:p w14:paraId="2399D319" w14:textId="77777777" w:rsidR="008E34F2" w:rsidRPr="006C13DF" w:rsidRDefault="008E34F2" w:rsidP="008E34F2">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НАЦИОНАЛЕН ОСИГУРИТЕЛЕН ИНСТИТУТ </w:t>
      </w:r>
    </w:p>
    <w:p w14:paraId="5F44282B" w14:textId="77777777" w:rsidR="008E34F2" w:rsidRPr="006C13DF" w:rsidRDefault="008E34F2" w:rsidP="008E34F2">
      <w:pPr>
        <w:spacing w:after="0" w:line="240" w:lineRule="auto"/>
        <w:jc w:val="both"/>
        <w:rPr>
          <w:rFonts w:ascii="Times New Roman" w:hAnsi="Times New Roman" w:cs="Times New Roman"/>
          <w:sz w:val="24"/>
          <w:szCs w:val="24"/>
        </w:rPr>
      </w:pPr>
    </w:p>
    <w:p w14:paraId="54C5DB67" w14:textId="77777777" w:rsidR="008E34F2" w:rsidRPr="006C13DF" w:rsidRDefault="008E34F2" w:rsidP="008E34F2">
      <w:pPr>
        <w:spacing w:after="0" w:line="240" w:lineRule="auto"/>
        <w:jc w:val="both"/>
        <w:rPr>
          <w:rFonts w:ascii="Times New Roman" w:hAnsi="Times New Roman" w:cs="Times New Roman"/>
          <w:b/>
          <w:bCs/>
          <w:iCs/>
          <w:sz w:val="24"/>
          <w:szCs w:val="24"/>
        </w:rPr>
      </w:pPr>
      <w:r w:rsidRPr="006C13DF">
        <w:rPr>
          <w:rFonts w:ascii="Times New Roman" w:hAnsi="Times New Roman" w:cs="Times New Roman"/>
          <w:b/>
          <w:bCs/>
          <w:iCs/>
          <w:sz w:val="24"/>
          <w:szCs w:val="24"/>
        </w:rPr>
        <w:t>1.5.2. Мерки през 2023 г. насочени към увеличаване размерите на пенсиите и нарастването на доходите от пенсии</w:t>
      </w:r>
    </w:p>
    <w:p w14:paraId="457ED9D5" w14:textId="77777777" w:rsidR="008E34F2" w:rsidRPr="006C13DF" w:rsidRDefault="008E34F2" w:rsidP="008E34F2">
      <w:pPr>
        <w:spacing w:after="0" w:line="240" w:lineRule="auto"/>
        <w:jc w:val="both"/>
        <w:rPr>
          <w:rFonts w:ascii="Times New Roman" w:hAnsi="Times New Roman" w:cs="Times New Roman"/>
          <w:sz w:val="24"/>
          <w:szCs w:val="24"/>
        </w:rPr>
      </w:pPr>
    </w:p>
    <w:p w14:paraId="2E778AEF" w14:textId="77777777" w:rsidR="008E34F2" w:rsidRPr="006C13DF" w:rsidRDefault="008E34F2" w:rsidP="008E34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През 2023 г. бяха реализирани следните политики по отношение на размерите на пенсиите: </w:t>
      </w:r>
    </w:p>
    <w:p w14:paraId="3B19C266" w14:textId="77777777" w:rsidR="008E34F2" w:rsidRPr="006C13DF" w:rsidRDefault="008E34F2" w:rsidP="00554703">
      <w:pPr>
        <w:pStyle w:val="ListParagraph"/>
        <w:numPr>
          <w:ilvl w:val="0"/>
          <w:numId w:val="9"/>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От 1 юли 2023 г. размерът на пенсиите, отпуснати с начална дата до 31.12.2022 г. се увеличи с 12 на сто (процент, определен по чл. 100 от КСО). Това увеличение се извършва върху действителния или запазен размер на пенсията към 30 юни 2023 г., без изплащаните към нея добавки. </w:t>
      </w:r>
    </w:p>
    <w:p w14:paraId="66439925" w14:textId="77777777" w:rsidR="008E34F2" w:rsidRPr="006C13DF" w:rsidRDefault="008E34F2" w:rsidP="00554703">
      <w:pPr>
        <w:pStyle w:val="ListParagraph"/>
        <w:numPr>
          <w:ilvl w:val="0"/>
          <w:numId w:val="9"/>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lastRenderedPageBreak/>
        <w:t xml:space="preserve">Минималният размер на пенсията за осигурителен стаж и възраст по чл. 68, ал. 1 от КСО от 1 юли 2023 г. бе увеличен от 467,00 лв. на 523,04 лв. (с 12 на сто), както и размерите на всички пенсии за трудова дейност обвързани с него. </w:t>
      </w:r>
    </w:p>
    <w:p w14:paraId="4A571554" w14:textId="77777777" w:rsidR="008E34F2" w:rsidRPr="006C13DF" w:rsidRDefault="008E34F2" w:rsidP="00554703">
      <w:pPr>
        <w:pStyle w:val="ListParagraph"/>
        <w:numPr>
          <w:ilvl w:val="0"/>
          <w:numId w:val="9"/>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Размерът на социалната пенсия за старост от 1 юли 2023 г. бе увеличен от 247,00 лв. на 276,64 лв. (с 12 на сто), както и размерите на всички обвързани с него пенсии, несвързани с трудова дейност и добавки. </w:t>
      </w:r>
    </w:p>
    <w:p w14:paraId="09DA1F25" w14:textId="77777777" w:rsidR="008E34F2" w:rsidRPr="006C13DF" w:rsidRDefault="008E34F2" w:rsidP="00554703">
      <w:pPr>
        <w:pStyle w:val="ListParagraph"/>
        <w:numPr>
          <w:ilvl w:val="0"/>
          <w:numId w:val="9"/>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Месечната добавка по чл. 9 от Закона за политическа и гражданска реабилитация на репресираните лица (ЗПГРРЛ) се определя в процент от средния размер на пенсията за осигурителен стаж и възраст за предходната календарна година и се преизчислява ежегодно от 1 януари. От 1 януари 2023 г. всички добавки по чл. 9 от ЗПГРРЛ се </w:t>
      </w:r>
      <w:proofErr w:type="spellStart"/>
      <w:r w:rsidRPr="006C13DF">
        <w:rPr>
          <w:rFonts w:ascii="Times New Roman" w:hAnsi="Times New Roman" w:cs="Times New Roman"/>
          <w:sz w:val="24"/>
          <w:szCs w:val="24"/>
        </w:rPr>
        <w:t>преизчислиха</w:t>
      </w:r>
      <w:proofErr w:type="spellEnd"/>
      <w:r w:rsidRPr="006C13DF">
        <w:rPr>
          <w:rFonts w:ascii="Times New Roman" w:hAnsi="Times New Roman" w:cs="Times New Roman"/>
          <w:sz w:val="24"/>
          <w:szCs w:val="24"/>
        </w:rPr>
        <w:t xml:space="preserve"> на базата на средния размер на пенсията за осигурителен стаж и възраст за 2022 г. от 686,48 лв. През 2023 г. са изплатени 6 419 такива добавки, със среден размер 148,26 лв. </w:t>
      </w:r>
    </w:p>
    <w:p w14:paraId="0FE989F0" w14:textId="77777777" w:rsidR="008E34F2" w:rsidRPr="006C13DF" w:rsidRDefault="00D7133B" w:rsidP="00554703">
      <w:pPr>
        <w:pStyle w:val="ListParagraph"/>
        <w:numPr>
          <w:ilvl w:val="0"/>
          <w:numId w:val="9"/>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С РМС №</w:t>
      </w:r>
      <w:r w:rsidR="008E34F2" w:rsidRPr="006C13DF">
        <w:rPr>
          <w:rFonts w:ascii="Times New Roman" w:hAnsi="Times New Roman" w:cs="Times New Roman"/>
          <w:sz w:val="24"/>
          <w:szCs w:val="24"/>
        </w:rPr>
        <w:t xml:space="preserve">269 от 6 април 2023 г. е одобрено финансиране на ДОО за 2023 г. в размер до 72 000,0 хил. лв. за еднократно изплащане на допълнителна сума (т. нар. „великденски“ добавки) в размер на 70 лв. на пенсионери, които получават пенсия без добавките и компенсациите към нея за м. април 2023 г. в размер до 504,00 лв. включително. Изразходваните средства за т. нар. „великденски“ добавки на пенсионерите са в размер на 71 577,7 хил. лв. </w:t>
      </w:r>
    </w:p>
    <w:p w14:paraId="0D5D7835" w14:textId="77777777" w:rsidR="008E34F2" w:rsidRPr="006C13DF" w:rsidRDefault="008E34F2" w:rsidP="008E34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В резултат на тези политики, средният месечен размер на пенсията на един пенсионер за 2023 г. достигна 784,48 лв. При неговото изчисляване са взети предвид всички добавки към пенсиите по КСО, както и изплатената през 2023 г. т. нар. „великденска“ добавка. </w:t>
      </w:r>
    </w:p>
    <w:p w14:paraId="55D94FAF" w14:textId="77777777" w:rsidR="008E34F2" w:rsidRPr="006C13DF" w:rsidRDefault="00062A1B" w:rsidP="008E34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8E34F2" w:rsidRPr="006C13DF">
        <w:rPr>
          <w:rFonts w:ascii="Times New Roman" w:hAnsi="Times New Roman" w:cs="Times New Roman"/>
          <w:sz w:val="24"/>
          <w:szCs w:val="24"/>
        </w:rPr>
        <w:t>През 2023 г. номиналното нарастване на средния месечен размер на пенсиите е 16,3 на сто, а реалното нарастване e 7,1 на сто, при средногодишен хармонизиран индекс на потребителските цени за 2023 г. от 8,6 на сто</w:t>
      </w:r>
      <w:r w:rsidR="008E34F2" w:rsidRPr="006C13DF">
        <w:rPr>
          <w:rStyle w:val="FootnoteReference"/>
          <w:rFonts w:ascii="Times New Roman" w:hAnsi="Times New Roman" w:cs="Times New Roman"/>
          <w:sz w:val="24"/>
          <w:szCs w:val="24"/>
        </w:rPr>
        <w:footnoteReference w:id="10"/>
      </w:r>
      <w:r w:rsidR="008E34F2" w:rsidRPr="006C13DF">
        <w:rPr>
          <w:rFonts w:ascii="Times New Roman" w:hAnsi="Times New Roman" w:cs="Times New Roman"/>
          <w:sz w:val="24"/>
          <w:szCs w:val="24"/>
        </w:rPr>
        <w:t>.</w:t>
      </w:r>
    </w:p>
    <w:p w14:paraId="0CD2E2E4" w14:textId="77777777" w:rsidR="006E5C93" w:rsidRPr="006C13DF" w:rsidRDefault="006E5C93" w:rsidP="00062A1B">
      <w:pPr>
        <w:spacing w:after="0" w:line="240" w:lineRule="auto"/>
        <w:jc w:val="both"/>
        <w:rPr>
          <w:rFonts w:ascii="Times New Roman" w:hAnsi="Times New Roman" w:cs="Times New Roman"/>
          <w:sz w:val="24"/>
          <w:szCs w:val="24"/>
        </w:rPr>
      </w:pPr>
    </w:p>
    <w:p w14:paraId="1156F10A" w14:textId="77777777" w:rsidR="008E34F2" w:rsidRPr="006C13DF" w:rsidRDefault="008E34F2" w:rsidP="008E34F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b/>
          <w:bCs/>
          <w:sz w:val="24"/>
          <w:szCs w:val="24"/>
        </w:rPr>
        <w:t>Разходите за пенсии</w:t>
      </w:r>
      <w:r w:rsidRPr="006C13DF">
        <w:rPr>
          <w:rFonts w:ascii="Times New Roman" w:hAnsi="Times New Roman" w:cs="Times New Roman"/>
          <w:bCs/>
          <w:sz w:val="24"/>
          <w:szCs w:val="24"/>
        </w:rPr>
        <w:t xml:space="preserve"> </w:t>
      </w:r>
      <w:r w:rsidRPr="006C13DF">
        <w:rPr>
          <w:rFonts w:ascii="Times New Roman" w:hAnsi="Times New Roman" w:cs="Times New Roman"/>
          <w:sz w:val="24"/>
          <w:szCs w:val="24"/>
        </w:rPr>
        <w:t>през 2023 г. са 19 123 241,0 хил. лв., като в тази сума са включени разходи за пенсии за сметка на ДОО – 18 787 945,9 хил. лв., разходи за пенсии за сметка на</w:t>
      </w:r>
      <w:r w:rsidRPr="006C13DF">
        <w:rPr>
          <w:rFonts w:ascii="Times New Roman" w:hAnsi="Times New Roman" w:cs="Times New Roman"/>
          <w:color w:val="000000"/>
          <w:sz w:val="23"/>
          <w:szCs w:val="23"/>
        </w:rPr>
        <w:t xml:space="preserve"> </w:t>
      </w:r>
      <w:r w:rsidRPr="006C13DF">
        <w:rPr>
          <w:rFonts w:ascii="Times New Roman" w:hAnsi="Times New Roman" w:cs="Times New Roman"/>
          <w:sz w:val="24"/>
          <w:szCs w:val="24"/>
        </w:rPr>
        <w:t xml:space="preserve">държавния бюджет – 333 169,3 хил. лв. и трансфера за прехвърляне на пенсионни права към пенсионните схеми на ЕС, ЕЦБ и ЕИБ. </w:t>
      </w:r>
    </w:p>
    <w:p w14:paraId="4F69C68D" w14:textId="77777777" w:rsidR="00062A1B" w:rsidRPr="006C13DF" w:rsidRDefault="008E34F2" w:rsidP="008E34F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През 2023 г. средномесечният брой на пенсионерите е 2 031 191, а средномесечният брой на изплащаните пенсии е 2 043 117 броя. </w:t>
      </w:r>
    </w:p>
    <w:p w14:paraId="27F2F8B9" w14:textId="77777777" w:rsidR="00062A1B" w:rsidRPr="006C13DF" w:rsidRDefault="008E34F2" w:rsidP="008E34F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Средната възраст на пенсионерите с лични пенсии към 31.12.2023 г. е 70,54 години. Средната възраст на мъжете е 69,04 години, а на жените 71,61 години. </w:t>
      </w:r>
    </w:p>
    <w:p w14:paraId="2F3CA175" w14:textId="77777777" w:rsidR="008E34F2" w:rsidRPr="006C13DF" w:rsidRDefault="008E34F2" w:rsidP="008E34F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Средната възраст на пенсионерите с лични пенсии за осигурителен стаж и възраст към 31.12.2023 г. е 73,88 години – на мъжете 72,94 години, а на жените 74,51 години. </w:t>
      </w:r>
    </w:p>
    <w:p w14:paraId="440ACD96" w14:textId="77777777" w:rsidR="008E34F2" w:rsidRPr="006C13DF" w:rsidRDefault="008E34F2" w:rsidP="008E34F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Ефективната възраст на пенсиониране или средната възраст на пенсионерите с лични новоотпуснати пенсии за осигурителен стаж и възраст през 2023 г. е 63,87 години. Мъжете са се пенсионирали средно на 64,35 години, а жените на 63,40 години. </w:t>
      </w:r>
    </w:p>
    <w:p w14:paraId="6D7DC34A" w14:textId="77777777" w:rsidR="008E34F2" w:rsidRPr="006C13DF" w:rsidRDefault="008E34F2" w:rsidP="008E34F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През 2023 г. делът на разходите за пенсии от БВП е 10,3 на сто при 9,3 на сто за </w:t>
      </w:r>
      <w:r w:rsidR="00D7409D">
        <w:rPr>
          <w:rFonts w:ascii="Times New Roman" w:hAnsi="Times New Roman" w:cs="Times New Roman"/>
          <w:sz w:val="24"/>
          <w:szCs w:val="24"/>
        </w:rPr>
        <w:br/>
      </w:r>
      <w:r w:rsidRPr="006C13DF">
        <w:rPr>
          <w:rFonts w:ascii="Times New Roman" w:hAnsi="Times New Roman" w:cs="Times New Roman"/>
          <w:sz w:val="24"/>
          <w:szCs w:val="24"/>
        </w:rPr>
        <w:t xml:space="preserve">2022 г. </w:t>
      </w:r>
    </w:p>
    <w:p w14:paraId="0CB9D8E2" w14:textId="77777777" w:rsidR="008E34F2" w:rsidRPr="006C13DF" w:rsidRDefault="008E34F2" w:rsidP="008E34F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За 2023 г. брутният</w:t>
      </w:r>
      <w:r w:rsidRPr="006C13DF">
        <w:rPr>
          <w:rStyle w:val="FootnoteReference"/>
          <w:rFonts w:ascii="Times New Roman" w:hAnsi="Times New Roman" w:cs="Times New Roman"/>
          <w:sz w:val="24"/>
          <w:szCs w:val="24"/>
        </w:rPr>
        <w:footnoteReference w:id="11"/>
      </w:r>
      <w:r w:rsidRPr="006C13DF">
        <w:rPr>
          <w:rFonts w:ascii="Times New Roman" w:hAnsi="Times New Roman" w:cs="Times New Roman"/>
          <w:sz w:val="24"/>
          <w:szCs w:val="24"/>
        </w:rPr>
        <w:t xml:space="preserve"> и нетният</w:t>
      </w:r>
      <w:r w:rsidRPr="006C13DF">
        <w:rPr>
          <w:rStyle w:val="FootnoteReference"/>
          <w:rFonts w:ascii="Times New Roman" w:hAnsi="Times New Roman" w:cs="Times New Roman"/>
          <w:sz w:val="24"/>
          <w:szCs w:val="24"/>
        </w:rPr>
        <w:footnoteReference w:id="12"/>
      </w:r>
      <w:r w:rsidR="00062A1B" w:rsidRPr="006C13DF">
        <w:rPr>
          <w:rFonts w:ascii="Times New Roman" w:hAnsi="Times New Roman" w:cs="Times New Roman"/>
          <w:sz w:val="24"/>
          <w:szCs w:val="24"/>
        </w:rPr>
        <w:t xml:space="preserve"> </w:t>
      </w:r>
      <w:r w:rsidRPr="006C13DF">
        <w:rPr>
          <w:rFonts w:ascii="Times New Roman" w:hAnsi="Times New Roman" w:cs="Times New Roman"/>
          <w:sz w:val="24"/>
          <w:szCs w:val="24"/>
        </w:rPr>
        <w:t>коефициенти на заместване на дохода са съответно 54,3% (при 51,9% за 2022 г.) и 69,9% (при 66,9% за 2022 г.). Допълнителното съпоставяне се прави предвид обстоятелството, че пенсиите са необлагаеми и би следвало да се съотнасят също към нетен трудов доход.</w:t>
      </w:r>
    </w:p>
    <w:p w14:paraId="50C21843" w14:textId="77777777" w:rsidR="00062A1B" w:rsidRPr="006C13DF" w:rsidRDefault="00062A1B" w:rsidP="00062A1B">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lastRenderedPageBreak/>
        <w:t xml:space="preserve">НАЦИОНАЛЕН ОСИГУРИТЕЛЕН ИНСТИТУТ </w:t>
      </w:r>
    </w:p>
    <w:p w14:paraId="4129AB17" w14:textId="77777777" w:rsidR="00062A1B" w:rsidRPr="006C13DF" w:rsidRDefault="00062A1B" w:rsidP="00E91E47">
      <w:pPr>
        <w:spacing w:after="0" w:line="240" w:lineRule="auto"/>
        <w:ind w:firstLine="709"/>
        <w:jc w:val="both"/>
        <w:rPr>
          <w:rFonts w:ascii="Times New Roman" w:eastAsia="Times New Roman" w:hAnsi="Times New Roman" w:cs="Times New Roman"/>
          <w:b/>
          <w:bCs/>
          <w:i/>
          <w:sz w:val="24"/>
          <w:szCs w:val="24"/>
        </w:rPr>
      </w:pPr>
    </w:p>
    <w:p w14:paraId="769568A5" w14:textId="77777777" w:rsidR="00062A1B" w:rsidRPr="006C13DF" w:rsidRDefault="002B5765" w:rsidP="00062A1B">
      <w:pPr>
        <w:spacing w:after="0" w:line="240" w:lineRule="auto"/>
        <w:jc w:val="both"/>
        <w:rPr>
          <w:rFonts w:ascii="Times New Roman" w:eastAsia="Times New Roman" w:hAnsi="Times New Roman" w:cs="Times New Roman"/>
          <w:b/>
          <w:bCs/>
          <w:sz w:val="24"/>
          <w:szCs w:val="24"/>
        </w:rPr>
      </w:pPr>
      <w:r w:rsidRPr="006C13DF">
        <w:rPr>
          <w:rFonts w:ascii="Times New Roman" w:eastAsia="Times New Roman" w:hAnsi="Times New Roman" w:cs="Times New Roman"/>
          <w:b/>
          <w:bCs/>
          <w:sz w:val="24"/>
          <w:szCs w:val="24"/>
        </w:rPr>
        <w:t>1.5.3. Изплащане на еднократна допълнителна сума (т.нар. „великденска добавка“) в размер на 70 лв. към пенсиите за м. април 2023 г. на възрастните хора с пенсии до линията на бедност за 2023 г. (504 лв.).</w:t>
      </w:r>
    </w:p>
    <w:p w14:paraId="5CDC733B" w14:textId="77777777" w:rsidR="00062A1B" w:rsidRPr="006C13DF" w:rsidRDefault="00062A1B" w:rsidP="00E91E47">
      <w:pPr>
        <w:spacing w:after="0" w:line="240" w:lineRule="auto"/>
        <w:ind w:firstLine="709"/>
        <w:jc w:val="both"/>
        <w:rPr>
          <w:rFonts w:ascii="Times New Roman" w:eastAsia="Times New Roman" w:hAnsi="Times New Roman" w:cs="Times New Roman"/>
          <w:b/>
          <w:bCs/>
          <w:sz w:val="24"/>
          <w:szCs w:val="24"/>
        </w:rPr>
      </w:pPr>
    </w:p>
    <w:p w14:paraId="103D90DA" w14:textId="77777777" w:rsidR="00062A1B" w:rsidRPr="006C13DF" w:rsidRDefault="00062A1B" w:rsidP="00DD70B2">
      <w:pPr>
        <w:spacing w:after="0" w:line="240" w:lineRule="auto"/>
        <w:jc w:val="center"/>
        <w:rPr>
          <w:rFonts w:ascii="Times New Roman" w:eastAsia="Times New Roman" w:hAnsi="Times New Roman" w:cs="Times New Roman"/>
          <w:b/>
          <w:bCs/>
          <w:i/>
          <w:sz w:val="24"/>
          <w:szCs w:val="24"/>
        </w:rPr>
      </w:pPr>
      <w:r w:rsidRPr="006C13DF">
        <w:rPr>
          <w:rFonts w:ascii="Times New Roman" w:eastAsia="Times New Roman" w:hAnsi="Times New Roman" w:cs="Times New Roman"/>
          <w:bCs/>
          <w:i/>
          <w:sz w:val="24"/>
          <w:szCs w:val="24"/>
        </w:rPr>
        <w:t>Информацията е предоставена в т. 1.5.2.</w:t>
      </w:r>
    </w:p>
    <w:p w14:paraId="24EABCAF" w14:textId="77777777" w:rsidR="00062A1B" w:rsidRPr="006C13DF" w:rsidRDefault="00062A1B" w:rsidP="00E91E47">
      <w:pPr>
        <w:spacing w:after="0" w:line="240" w:lineRule="auto"/>
        <w:ind w:firstLine="709"/>
        <w:jc w:val="both"/>
        <w:rPr>
          <w:rFonts w:ascii="Times New Roman" w:eastAsia="Times New Roman" w:hAnsi="Times New Roman" w:cs="Times New Roman"/>
          <w:b/>
          <w:bCs/>
          <w:i/>
          <w:sz w:val="24"/>
          <w:szCs w:val="24"/>
        </w:rPr>
      </w:pPr>
    </w:p>
    <w:p w14:paraId="5C5555F9" w14:textId="77777777" w:rsidR="00062A1B" w:rsidRPr="006C13DF" w:rsidRDefault="00062A1B" w:rsidP="00062A1B">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НАЦИОНАЛЕН ОСИГУРИТЕЛЕН ИНСТИТУТ </w:t>
      </w:r>
    </w:p>
    <w:p w14:paraId="50D00779" w14:textId="77777777" w:rsidR="006E5C93" w:rsidRPr="006C13DF" w:rsidRDefault="006E5C93" w:rsidP="00062A1B">
      <w:pPr>
        <w:spacing w:after="0" w:line="240" w:lineRule="auto"/>
        <w:jc w:val="both"/>
        <w:rPr>
          <w:rFonts w:ascii="Times New Roman" w:hAnsi="Times New Roman" w:cs="Times New Roman"/>
          <w:sz w:val="24"/>
          <w:szCs w:val="24"/>
        </w:rPr>
      </w:pPr>
    </w:p>
    <w:p w14:paraId="57BB9AE0" w14:textId="77777777" w:rsidR="00062A1B" w:rsidRPr="006C13DF" w:rsidRDefault="002B5765" w:rsidP="00062A1B">
      <w:pPr>
        <w:spacing w:after="0" w:line="240" w:lineRule="auto"/>
        <w:jc w:val="both"/>
        <w:rPr>
          <w:rFonts w:ascii="Times New Roman" w:eastAsia="Times New Roman" w:hAnsi="Times New Roman" w:cs="Times New Roman"/>
          <w:b/>
          <w:bCs/>
          <w:sz w:val="24"/>
          <w:szCs w:val="24"/>
        </w:rPr>
      </w:pPr>
      <w:r w:rsidRPr="006C13DF">
        <w:rPr>
          <w:rFonts w:ascii="Times New Roman" w:eastAsia="Times New Roman" w:hAnsi="Times New Roman" w:cs="Times New Roman"/>
          <w:b/>
          <w:bCs/>
          <w:sz w:val="24"/>
          <w:szCs w:val="24"/>
        </w:rPr>
        <w:t xml:space="preserve">1.5.4. </w:t>
      </w:r>
      <w:r w:rsidR="00062A1B" w:rsidRPr="006C13DF">
        <w:rPr>
          <w:rFonts w:ascii="Times New Roman" w:eastAsia="Times New Roman" w:hAnsi="Times New Roman" w:cs="Times New Roman"/>
          <w:b/>
          <w:bCs/>
          <w:sz w:val="24"/>
          <w:szCs w:val="24"/>
        </w:rPr>
        <w:t xml:space="preserve">Промени в условията за придобиване право на пенсия през 2024 г. </w:t>
      </w:r>
    </w:p>
    <w:p w14:paraId="53316F1F" w14:textId="77777777" w:rsidR="00062A1B" w:rsidRPr="006C13DF" w:rsidRDefault="00062A1B" w:rsidP="00062A1B">
      <w:pPr>
        <w:spacing w:after="0" w:line="240" w:lineRule="auto"/>
        <w:jc w:val="both"/>
        <w:rPr>
          <w:rFonts w:ascii="Times New Roman" w:eastAsia="Times New Roman" w:hAnsi="Times New Roman" w:cs="Times New Roman"/>
          <w:b/>
          <w:bCs/>
          <w:sz w:val="24"/>
          <w:szCs w:val="24"/>
        </w:rPr>
      </w:pPr>
    </w:p>
    <w:p w14:paraId="2A80D9BF" w14:textId="77777777" w:rsidR="00062A1B" w:rsidRPr="006C13DF" w:rsidRDefault="00062A1B" w:rsidP="00062A1B">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 xml:space="preserve">Условията за придобиване право на пенсия за осигурителен стаж и възраст през 2024 г. по </w:t>
      </w:r>
      <w:r w:rsidRPr="006C13DF">
        <w:rPr>
          <w:rFonts w:ascii="Times New Roman" w:eastAsia="Times New Roman" w:hAnsi="Times New Roman" w:cs="Times New Roman"/>
          <w:b/>
          <w:bCs/>
          <w:sz w:val="24"/>
          <w:szCs w:val="24"/>
        </w:rPr>
        <w:t>чл. 68, ал. 1 и 2</w:t>
      </w:r>
      <w:r w:rsidRPr="006C13DF">
        <w:rPr>
          <w:rFonts w:ascii="Times New Roman" w:eastAsia="Times New Roman" w:hAnsi="Times New Roman" w:cs="Times New Roman"/>
          <w:bCs/>
          <w:sz w:val="24"/>
          <w:szCs w:val="24"/>
        </w:rPr>
        <w:t xml:space="preserve"> от КСО се промениха, на база заложеното постепенно нарастване на възрастта и осигурителния стаж и са както следва:</w:t>
      </w:r>
    </w:p>
    <w:p w14:paraId="2C2E33ED" w14:textId="77777777" w:rsidR="00062A1B" w:rsidRPr="006C13DF" w:rsidRDefault="00062A1B" w:rsidP="00554703">
      <w:pPr>
        <w:pStyle w:val="ListParagraph"/>
        <w:numPr>
          <w:ilvl w:val="0"/>
          <w:numId w:val="9"/>
        </w:num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Мъже – навършена възраст 64 години и 7 месеца и 39 години и 6 месеца осигурителен стаж;</w:t>
      </w:r>
    </w:p>
    <w:p w14:paraId="038AE624" w14:textId="77777777" w:rsidR="00062A1B" w:rsidRPr="006C13DF" w:rsidRDefault="00062A1B" w:rsidP="00554703">
      <w:pPr>
        <w:pStyle w:val="ListParagraph"/>
        <w:numPr>
          <w:ilvl w:val="0"/>
          <w:numId w:val="9"/>
        </w:num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Жени – навършена възраст 62 години и 2 месеца и 36 години и 6 месеца осигурителен стаж.</w:t>
      </w:r>
    </w:p>
    <w:p w14:paraId="02AB9ACB" w14:textId="77777777" w:rsidR="00062A1B" w:rsidRPr="006C13DF" w:rsidRDefault="00062A1B" w:rsidP="00062A1B">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 xml:space="preserve">През 2024 г. необходимата възраст за придобиване право на пенсия при наличие на 15 години действителен осигурителен стаж на основание </w:t>
      </w:r>
      <w:r w:rsidRPr="006C13DF">
        <w:rPr>
          <w:rFonts w:ascii="Times New Roman" w:eastAsia="Times New Roman" w:hAnsi="Times New Roman" w:cs="Times New Roman"/>
          <w:b/>
          <w:bCs/>
          <w:sz w:val="24"/>
          <w:szCs w:val="24"/>
        </w:rPr>
        <w:t>чл. 68, ал. 3</w:t>
      </w:r>
      <w:r w:rsidRPr="006C13DF">
        <w:rPr>
          <w:rFonts w:ascii="Times New Roman" w:eastAsia="Times New Roman" w:hAnsi="Times New Roman" w:cs="Times New Roman"/>
          <w:bCs/>
          <w:sz w:val="24"/>
          <w:szCs w:val="24"/>
        </w:rPr>
        <w:t xml:space="preserve"> от КСО се запази на 67 години за двата пола.</w:t>
      </w:r>
    </w:p>
    <w:p w14:paraId="0C5E1B91" w14:textId="77777777" w:rsidR="00062A1B" w:rsidRPr="006C13DF" w:rsidRDefault="00062A1B" w:rsidP="00062A1B">
      <w:pPr>
        <w:spacing w:after="0" w:line="240" w:lineRule="auto"/>
        <w:ind w:firstLine="709"/>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На основание </w:t>
      </w:r>
      <w:r w:rsidRPr="006C13DF">
        <w:rPr>
          <w:rFonts w:ascii="Times New Roman" w:eastAsia="Times New Roman" w:hAnsi="Times New Roman" w:cs="Times New Roman"/>
          <w:b/>
          <w:bCs/>
          <w:sz w:val="24"/>
          <w:szCs w:val="24"/>
        </w:rPr>
        <w:t>чл. 68а</w:t>
      </w:r>
      <w:r w:rsidRPr="006C13DF">
        <w:rPr>
          <w:rFonts w:ascii="Times New Roman" w:eastAsia="Times New Roman" w:hAnsi="Times New Roman" w:cs="Times New Roman"/>
          <w:bCs/>
          <w:sz w:val="24"/>
          <w:szCs w:val="24"/>
        </w:rPr>
        <w:t xml:space="preserve"> от КСО, лицата, които имат изискуемия осигурителен стаж по чл. 68, ал. 2 от КСО, могат по тяхно желание да се пенсионират до една година по-рано от възрастта им по чл. 68, ал. 1.</w:t>
      </w:r>
    </w:p>
    <w:p w14:paraId="1154378A" w14:textId="77777777" w:rsidR="00062A1B" w:rsidRPr="006C13DF" w:rsidRDefault="00062A1B" w:rsidP="00062A1B">
      <w:pPr>
        <w:spacing w:after="0" w:line="240" w:lineRule="auto"/>
        <w:ind w:firstLine="709"/>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Необходимата възраст за придобиване право на пенсия по чл. 69 от КСО се повиши с два месеца – 54 години и 2 месеца за пенсия по </w:t>
      </w:r>
      <w:r w:rsidRPr="006C13DF">
        <w:rPr>
          <w:rFonts w:ascii="Times New Roman" w:eastAsia="Times New Roman" w:hAnsi="Times New Roman" w:cs="Times New Roman"/>
          <w:b/>
          <w:bCs/>
          <w:sz w:val="24"/>
          <w:szCs w:val="24"/>
        </w:rPr>
        <w:t>чл. 69, ал. 1, 2, 3, 5, 5а и 6</w:t>
      </w:r>
      <w:r w:rsidRPr="006C13DF">
        <w:rPr>
          <w:rFonts w:ascii="Times New Roman" w:eastAsia="Times New Roman" w:hAnsi="Times New Roman" w:cs="Times New Roman"/>
          <w:bCs/>
          <w:sz w:val="24"/>
          <w:szCs w:val="24"/>
        </w:rPr>
        <w:t xml:space="preserve"> и 44 години и 2 месеца за пенсия по </w:t>
      </w:r>
      <w:r w:rsidRPr="006C13DF">
        <w:rPr>
          <w:rFonts w:ascii="Times New Roman" w:eastAsia="Times New Roman" w:hAnsi="Times New Roman" w:cs="Times New Roman"/>
          <w:b/>
          <w:bCs/>
          <w:sz w:val="24"/>
          <w:szCs w:val="24"/>
        </w:rPr>
        <w:t>чл. 69, ал. 4 и 7</w:t>
      </w:r>
      <w:r w:rsidRPr="006C13DF">
        <w:rPr>
          <w:rFonts w:ascii="Times New Roman" w:eastAsia="Times New Roman" w:hAnsi="Times New Roman" w:cs="Times New Roman"/>
          <w:bCs/>
          <w:sz w:val="24"/>
          <w:szCs w:val="24"/>
        </w:rPr>
        <w:t xml:space="preserve"> от КСО.</w:t>
      </w:r>
    </w:p>
    <w:p w14:paraId="66E35388" w14:textId="77777777" w:rsidR="00062A1B" w:rsidRPr="006C13DF" w:rsidRDefault="00062A1B" w:rsidP="00062A1B">
      <w:pPr>
        <w:spacing w:after="0" w:line="240" w:lineRule="auto"/>
        <w:ind w:firstLine="709"/>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Необходимата възраст за придобиване право на пенсия по чл. 69а от КСО се повиши с два месеца и е 44 години и 2 месеца.</w:t>
      </w:r>
    </w:p>
    <w:p w14:paraId="3A087205" w14:textId="77777777" w:rsidR="00062A1B" w:rsidRPr="006C13DF" w:rsidRDefault="00062A1B" w:rsidP="00062A1B">
      <w:pPr>
        <w:spacing w:after="0" w:line="240" w:lineRule="auto"/>
        <w:ind w:firstLine="709"/>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Необходимата възраст за придобиване право на пенсия по чл. 69б, ал. 1, 2 и 3 от КСО за мъжете се повиши с два месеца, изискуемата възраст по </w:t>
      </w:r>
      <w:r w:rsidRPr="006C13DF">
        <w:rPr>
          <w:rFonts w:ascii="Times New Roman" w:eastAsia="Times New Roman" w:hAnsi="Times New Roman" w:cs="Times New Roman"/>
          <w:b/>
          <w:bCs/>
          <w:sz w:val="24"/>
          <w:szCs w:val="24"/>
        </w:rPr>
        <w:t>чл. 69б, ал. 1 и 2</w:t>
      </w:r>
      <w:r w:rsidRPr="006C13DF">
        <w:rPr>
          <w:rFonts w:ascii="Times New Roman" w:eastAsia="Times New Roman" w:hAnsi="Times New Roman" w:cs="Times New Roman"/>
          <w:bCs/>
          <w:sz w:val="24"/>
          <w:szCs w:val="24"/>
        </w:rPr>
        <w:t xml:space="preserve"> от КСО за жените се повиши с четири месеца, а по </w:t>
      </w:r>
      <w:r w:rsidRPr="006C13DF">
        <w:rPr>
          <w:rFonts w:ascii="Times New Roman" w:eastAsia="Times New Roman" w:hAnsi="Times New Roman" w:cs="Times New Roman"/>
          <w:b/>
          <w:bCs/>
          <w:sz w:val="24"/>
          <w:szCs w:val="24"/>
        </w:rPr>
        <w:t>чл. 69б, ал. 3</w:t>
      </w:r>
      <w:r w:rsidRPr="006C13DF">
        <w:rPr>
          <w:rFonts w:ascii="Times New Roman" w:eastAsia="Times New Roman" w:hAnsi="Times New Roman" w:cs="Times New Roman"/>
          <w:bCs/>
          <w:sz w:val="24"/>
          <w:szCs w:val="24"/>
        </w:rPr>
        <w:t xml:space="preserve"> с 2 месеца и е:</w:t>
      </w:r>
    </w:p>
    <w:p w14:paraId="710AF14C" w14:textId="77777777" w:rsidR="00062A1B" w:rsidRPr="006C13DF" w:rsidRDefault="00062A1B" w:rsidP="00554703">
      <w:pPr>
        <w:pStyle w:val="ListParagraph"/>
        <w:numPr>
          <w:ilvl w:val="0"/>
          <w:numId w:val="10"/>
        </w:num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Мъже – 54 години и 2 месеца, жени – 50 години и 8 месеца, за лицата с придобит осигурителен стаж в условията на първа категория труд;</w:t>
      </w:r>
    </w:p>
    <w:p w14:paraId="4BD7D563" w14:textId="77777777" w:rsidR="00062A1B" w:rsidRPr="006C13DF" w:rsidRDefault="00062A1B" w:rsidP="00554703">
      <w:pPr>
        <w:pStyle w:val="ListParagraph"/>
        <w:numPr>
          <w:ilvl w:val="0"/>
          <w:numId w:val="10"/>
        </w:num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Мъже – 59 години и 2 месеца, жени – 55 години и 8 месеца, за лицата с придобит осигурителен стаж в условията на втора категория труд;</w:t>
      </w:r>
    </w:p>
    <w:p w14:paraId="32221CA5" w14:textId="77777777" w:rsidR="00062A1B" w:rsidRPr="006C13DF" w:rsidRDefault="00062A1B" w:rsidP="00554703">
      <w:pPr>
        <w:pStyle w:val="ListParagraph"/>
        <w:numPr>
          <w:ilvl w:val="0"/>
          <w:numId w:val="10"/>
        </w:num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Мъже – 53 години и 6 месеца, а за жените – 48 години и 6 месеца, за лицата с придобит осигурителен стаж в условията на подземен труд.</w:t>
      </w:r>
    </w:p>
    <w:p w14:paraId="61B1AC13" w14:textId="77777777" w:rsidR="00062A1B" w:rsidRPr="006C13DF" w:rsidRDefault="00062A1B" w:rsidP="00062A1B">
      <w:pPr>
        <w:spacing w:after="0" w:line="240" w:lineRule="auto"/>
        <w:ind w:firstLine="709"/>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Необходимата възраст за учителите за придобиване право на срочна пенсия за ранно пенсиониране в намален размер по </w:t>
      </w:r>
      <w:r w:rsidRPr="006C13DF">
        <w:rPr>
          <w:rFonts w:ascii="Times New Roman" w:eastAsia="Times New Roman" w:hAnsi="Times New Roman" w:cs="Times New Roman"/>
          <w:b/>
          <w:bCs/>
          <w:sz w:val="24"/>
          <w:szCs w:val="24"/>
        </w:rPr>
        <w:t>чл. 69в, ал. 1</w:t>
      </w:r>
      <w:r w:rsidRPr="006C13DF">
        <w:rPr>
          <w:rFonts w:ascii="Times New Roman" w:eastAsia="Times New Roman" w:hAnsi="Times New Roman" w:cs="Times New Roman"/>
          <w:bCs/>
          <w:sz w:val="24"/>
          <w:szCs w:val="24"/>
        </w:rPr>
        <w:t xml:space="preserve"> от КСО за мъжете се повиши с един месец и е 61 години и 7 месеца, а за жените се повиши с два месеца и 59 години и 2 месеца.</w:t>
      </w:r>
    </w:p>
    <w:p w14:paraId="78232F56" w14:textId="77777777" w:rsidR="00062A1B" w:rsidRDefault="00062A1B" w:rsidP="00062A1B">
      <w:pPr>
        <w:spacing w:after="0" w:line="240" w:lineRule="auto"/>
        <w:ind w:firstLine="709"/>
        <w:jc w:val="both"/>
        <w:rPr>
          <w:rFonts w:ascii="Times New Roman" w:eastAsia="Times New Roman" w:hAnsi="Times New Roman" w:cs="Times New Roman"/>
          <w:bCs/>
          <w:sz w:val="24"/>
          <w:szCs w:val="24"/>
        </w:rPr>
      </w:pPr>
    </w:p>
    <w:p w14:paraId="78DBFFA8" w14:textId="77777777" w:rsidR="008231FD" w:rsidRDefault="008231FD" w:rsidP="00062A1B">
      <w:pPr>
        <w:spacing w:after="0" w:line="240" w:lineRule="auto"/>
        <w:ind w:firstLine="709"/>
        <w:jc w:val="both"/>
        <w:rPr>
          <w:rFonts w:ascii="Times New Roman" w:eastAsia="Times New Roman" w:hAnsi="Times New Roman" w:cs="Times New Roman"/>
          <w:bCs/>
          <w:sz w:val="24"/>
          <w:szCs w:val="24"/>
        </w:rPr>
      </w:pPr>
    </w:p>
    <w:p w14:paraId="2AEBD555" w14:textId="77777777" w:rsidR="008231FD" w:rsidRDefault="008231FD" w:rsidP="00062A1B">
      <w:pPr>
        <w:spacing w:after="0" w:line="240" w:lineRule="auto"/>
        <w:ind w:firstLine="709"/>
        <w:jc w:val="both"/>
        <w:rPr>
          <w:rFonts w:ascii="Times New Roman" w:eastAsia="Times New Roman" w:hAnsi="Times New Roman" w:cs="Times New Roman"/>
          <w:bCs/>
          <w:sz w:val="24"/>
          <w:szCs w:val="24"/>
        </w:rPr>
      </w:pPr>
    </w:p>
    <w:p w14:paraId="3463D6C0" w14:textId="77777777" w:rsidR="008231FD" w:rsidRDefault="008231FD" w:rsidP="00062A1B">
      <w:pPr>
        <w:spacing w:after="0" w:line="240" w:lineRule="auto"/>
        <w:ind w:firstLine="709"/>
        <w:jc w:val="both"/>
        <w:rPr>
          <w:rFonts w:ascii="Times New Roman" w:eastAsia="Times New Roman" w:hAnsi="Times New Roman" w:cs="Times New Roman"/>
          <w:bCs/>
          <w:sz w:val="24"/>
          <w:szCs w:val="24"/>
        </w:rPr>
      </w:pPr>
    </w:p>
    <w:p w14:paraId="7532586B" w14:textId="77777777" w:rsidR="008231FD" w:rsidRDefault="008231FD" w:rsidP="00062A1B">
      <w:pPr>
        <w:spacing w:after="0" w:line="240" w:lineRule="auto"/>
        <w:ind w:firstLine="709"/>
        <w:jc w:val="both"/>
        <w:rPr>
          <w:rFonts w:ascii="Times New Roman" w:eastAsia="Times New Roman" w:hAnsi="Times New Roman" w:cs="Times New Roman"/>
          <w:bCs/>
          <w:sz w:val="24"/>
          <w:szCs w:val="24"/>
        </w:rPr>
      </w:pPr>
    </w:p>
    <w:p w14:paraId="2776E474" w14:textId="77777777" w:rsidR="008231FD" w:rsidRDefault="008231FD" w:rsidP="00062A1B">
      <w:pPr>
        <w:spacing w:after="0" w:line="240" w:lineRule="auto"/>
        <w:ind w:firstLine="709"/>
        <w:jc w:val="both"/>
        <w:rPr>
          <w:rFonts w:ascii="Times New Roman" w:eastAsia="Times New Roman" w:hAnsi="Times New Roman" w:cs="Times New Roman"/>
          <w:bCs/>
          <w:sz w:val="24"/>
          <w:szCs w:val="24"/>
        </w:rPr>
      </w:pPr>
    </w:p>
    <w:p w14:paraId="1726F90E" w14:textId="77777777" w:rsidR="008231FD" w:rsidRDefault="008231FD" w:rsidP="00062A1B">
      <w:pPr>
        <w:spacing w:after="0" w:line="240" w:lineRule="auto"/>
        <w:ind w:firstLine="709"/>
        <w:jc w:val="both"/>
        <w:rPr>
          <w:rFonts w:ascii="Times New Roman" w:eastAsia="Times New Roman" w:hAnsi="Times New Roman" w:cs="Times New Roman"/>
          <w:bCs/>
          <w:sz w:val="24"/>
          <w:szCs w:val="24"/>
        </w:rPr>
      </w:pPr>
    </w:p>
    <w:p w14:paraId="4D2D496E" w14:textId="77777777" w:rsidR="008231FD" w:rsidRPr="006C13DF" w:rsidRDefault="008231FD" w:rsidP="00062A1B">
      <w:pPr>
        <w:spacing w:after="0" w:line="240" w:lineRule="auto"/>
        <w:ind w:firstLine="709"/>
        <w:jc w:val="both"/>
        <w:rPr>
          <w:rFonts w:ascii="Times New Roman" w:eastAsia="Times New Roman" w:hAnsi="Times New Roman" w:cs="Times New Roman"/>
          <w:bCs/>
          <w:sz w:val="24"/>
          <w:szCs w:val="24"/>
        </w:rPr>
      </w:pPr>
    </w:p>
    <w:p w14:paraId="5D66D567" w14:textId="77777777" w:rsidR="00062A1B" w:rsidRPr="006C13DF" w:rsidRDefault="00062A1B" w:rsidP="00062A1B">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lastRenderedPageBreak/>
        <w:t xml:space="preserve">НАЦИОНАЛЕН ОСИГУРИТЕЛЕН ИНСТИТУТ </w:t>
      </w:r>
    </w:p>
    <w:p w14:paraId="4D15C575" w14:textId="77777777" w:rsidR="002B5765" w:rsidRPr="006C13DF" w:rsidRDefault="002B5765" w:rsidP="00062A1B">
      <w:pPr>
        <w:spacing w:after="0" w:line="240" w:lineRule="auto"/>
        <w:jc w:val="both"/>
        <w:rPr>
          <w:rFonts w:ascii="Times New Roman" w:eastAsia="Times New Roman" w:hAnsi="Times New Roman" w:cs="Times New Roman"/>
          <w:bCs/>
          <w:sz w:val="24"/>
          <w:szCs w:val="24"/>
        </w:rPr>
      </w:pPr>
    </w:p>
    <w:p w14:paraId="5744E8B4" w14:textId="77777777" w:rsidR="00062A1B" w:rsidRPr="006C13DF" w:rsidRDefault="00062A1B" w:rsidP="00DD70B2">
      <w:pPr>
        <w:spacing w:after="0" w:line="240" w:lineRule="auto"/>
        <w:jc w:val="both"/>
        <w:rPr>
          <w:rFonts w:ascii="Times New Roman" w:eastAsia="Times New Roman" w:hAnsi="Times New Roman" w:cs="Times New Roman"/>
          <w:b/>
          <w:bCs/>
          <w:iCs/>
          <w:sz w:val="24"/>
          <w:szCs w:val="24"/>
        </w:rPr>
      </w:pPr>
      <w:r w:rsidRPr="006C13DF">
        <w:rPr>
          <w:rFonts w:ascii="Times New Roman" w:eastAsia="Times New Roman" w:hAnsi="Times New Roman" w:cs="Times New Roman"/>
          <w:b/>
          <w:bCs/>
          <w:iCs/>
          <w:sz w:val="24"/>
          <w:szCs w:val="24"/>
        </w:rPr>
        <w:t>1.5.5. Мерки през 2024 г., насочени към увеличаване размерите на пенсиите и нарастването на доходите от пенсии</w:t>
      </w:r>
    </w:p>
    <w:p w14:paraId="09A01B02" w14:textId="77777777" w:rsidR="00DD70B2" w:rsidRPr="006C13DF" w:rsidRDefault="00DD70B2" w:rsidP="00DD70B2">
      <w:pPr>
        <w:spacing w:after="0" w:line="240" w:lineRule="auto"/>
        <w:jc w:val="both"/>
        <w:rPr>
          <w:rFonts w:ascii="Times New Roman" w:eastAsia="Times New Roman" w:hAnsi="Times New Roman" w:cs="Times New Roman"/>
          <w:b/>
          <w:bCs/>
          <w:sz w:val="24"/>
          <w:szCs w:val="24"/>
        </w:rPr>
      </w:pPr>
    </w:p>
    <w:p w14:paraId="5E38D87E" w14:textId="77777777" w:rsidR="00062A1B" w:rsidRPr="006C13DF" w:rsidRDefault="00062A1B" w:rsidP="00554703">
      <w:pPr>
        <w:pStyle w:val="ListParagraph"/>
        <w:numPr>
          <w:ilvl w:val="0"/>
          <w:numId w:val="11"/>
        </w:numPr>
        <w:spacing w:after="0" w:line="240" w:lineRule="auto"/>
        <w:ind w:left="0" w:firstLine="360"/>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С решение на Надзорния съвет на Националния осигурителен институт, размерите на пенсиите за трудова дейност, отпуснати с начална дата до 31 декември 2023 г. включително, се увеличиха от 1 юли 2024 г. с 11 на сто. </w:t>
      </w:r>
    </w:p>
    <w:p w14:paraId="45D63F87" w14:textId="77777777" w:rsidR="00062A1B" w:rsidRPr="006C13DF" w:rsidRDefault="00062A1B" w:rsidP="00554703">
      <w:pPr>
        <w:pStyle w:val="ListParagraph"/>
        <w:numPr>
          <w:ilvl w:val="0"/>
          <w:numId w:val="11"/>
        </w:numPr>
        <w:spacing w:after="0" w:line="240" w:lineRule="auto"/>
        <w:ind w:left="0" w:firstLine="360"/>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Минималният размер на пенсията за осигурителен стаж и възраст по чл. 68, ал. 1-2 от КСО бе увеличен от 523,04 лв. на 580,57 лв. (с 11 на сто) от 1 юли 2024 г. Увеличиха се и всички минимални размери на пенсиите за трудова дейност, свързани с минималния размер на пенсията за осигурителен стаж и възраст по чл. 68, ал. 1-2 от КСО. </w:t>
      </w:r>
    </w:p>
    <w:p w14:paraId="474FEB25" w14:textId="77777777" w:rsidR="00062A1B" w:rsidRPr="006C13DF" w:rsidRDefault="00062A1B" w:rsidP="00554703">
      <w:pPr>
        <w:pStyle w:val="ListParagraph"/>
        <w:numPr>
          <w:ilvl w:val="0"/>
          <w:numId w:val="11"/>
        </w:numPr>
        <w:spacing w:after="0" w:line="240" w:lineRule="auto"/>
        <w:ind w:left="0" w:firstLine="360"/>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Размерът на социалната пенсия за старост от 1 юли 2024 г. бе увеличен от 276,24 лв. на 307,07 лв. (с 11 на сто), както и размерите на всички обвързани с него пенсии, несвързани с трудова дейност и добавки. </w:t>
      </w:r>
    </w:p>
    <w:p w14:paraId="5FFCC0C2" w14:textId="77777777" w:rsidR="00062A1B" w:rsidRPr="006C13DF" w:rsidRDefault="00062A1B" w:rsidP="00554703">
      <w:pPr>
        <w:pStyle w:val="ListParagraph"/>
        <w:numPr>
          <w:ilvl w:val="0"/>
          <w:numId w:val="11"/>
        </w:numPr>
        <w:spacing w:after="0" w:line="240" w:lineRule="auto"/>
        <w:ind w:left="0" w:firstLine="360"/>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Месечната добавка по чл. 9 от Закона за политическа и гражданска реабилитация на репресираните лица (ЗПГРРЛ) се определя в процент от средния размер на пенсията за осигурителен стаж и възраст за предходната календарна година и се преизчислява ежегодно от 1 януари. От 1 януари 2024 г. всички добавки по чл. 9 от ЗПГРРЛ се </w:t>
      </w:r>
      <w:proofErr w:type="spellStart"/>
      <w:r w:rsidRPr="006C13DF">
        <w:rPr>
          <w:rFonts w:ascii="Times New Roman" w:eastAsia="Times New Roman" w:hAnsi="Times New Roman" w:cs="Times New Roman"/>
          <w:bCs/>
          <w:sz w:val="24"/>
          <w:szCs w:val="24"/>
        </w:rPr>
        <w:t>преизчислиха</w:t>
      </w:r>
      <w:proofErr w:type="spellEnd"/>
      <w:r w:rsidRPr="006C13DF">
        <w:rPr>
          <w:rFonts w:ascii="Times New Roman" w:eastAsia="Times New Roman" w:hAnsi="Times New Roman" w:cs="Times New Roman"/>
          <w:bCs/>
          <w:sz w:val="24"/>
          <w:szCs w:val="24"/>
        </w:rPr>
        <w:t xml:space="preserve"> на базата на средния размер на пенсията за осигурителен стаж и възраст за 2023 г. от 858,83 лв. През 2024 г. са изплатени 6 072 такива добавки, със среден размер 184,33 лв. </w:t>
      </w:r>
    </w:p>
    <w:p w14:paraId="7E7BB5E7" w14:textId="77777777" w:rsidR="00062A1B" w:rsidRPr="006C13DF" w:rsidRDefault="00062A1B" w:rsidP="00554703">
      <w:pPr>
        <w:pStyle w:val="ListParagraph"/>
        <w:numPr>
          <w:ilvl w:val="0"/>
          <w:numId w:val="11"/>
        </w:numPr>
        <w:spacing w:after="0" w:line="240" w:lineRule="auto"/>
        <w:ind w:left="0" w:firstLine="360"/>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На основание § 5, т. от ПЗР на ЗБДОО за 2024 г., се създаде т. 3 към чл. 84, ал. 1 от КСО, с която размерът на „вдовишките“ добавки по чл. 84 от КСО се увеличи от 26,5 на 30 на сто от размера на пенсията на починалия съпруг/съпруга, считано от 1 юли 2024 г</w:t>
      </w:r>
      <w:r w:rsidR="00DD70B2" w:rsidRPr="006C13DF">
        <w:rPr>
          <w:rFonts w:ascii="Times New Roman" w:eastAsia="Times New Roman" w:hAnsi="Times New Roman" w:cs="Times New Roman"/>
          <w:bCs/>
          <w:sz w:val="24"/>
          <w:szCs w:val="24"/>
        </w:rPr>
        <w:t>одина</w:t>
      </w:r>
      <w:r w:rsidRPr="006C13DF">
        <w:rPr>
          <w:rFonts w:ascii="Times New Roman" w:eastAsia="Times New Roman" w:hAnsi="Times New Roman" w:cs="Times New Roman"/>
          <w:bCs/>
          <w:sz w:val="24"/>
          <w:szCs w:val="24"/>
        </w:rPr>
        <w:t xml:space="preserve">. </w:t>
      </w:r>
    </w:p>
    <w:p w14:paraId="6AFE608B" w14:textId="77777777" w:rsidR="00062A1B" w:rsidRPr="006C13DF" w:rsidRDefault="00062A1B" w:rsidP="00554703">
      <w:pPr>
        <w:pStyle w:val="ListParagraph"/>
        <w:numPr>
          <w:ilvl w:val="0"/>
          <w:numId w:val="11"/>
        </w:numPr>
        <w:spacing w:after="0" w:line="240" w:lineRule="auto"/>
        <w:ind w:left="0" w:firstLine="360"/>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 xml:space="preserve">Със Закона за допълнение на ЗБДОО за 2024 г. (обн. ДВ, бр. 34/16.04.2024 г., в сила от 1 април 2024 г.) в преходните и заключителните разпоредби на ЗБДОО за 2024 г. се създаде §7а, съгласно който за месец април 2024 г. се изплаща еднократна сума (т.нар. „великденска“ добавка) в размер на 100 лв. на пенсионерите, на които пенсията или сборът от пенсиите, заедно с добавките и компенсациите към тях за април 2024 г., е в размер до 526 лв. включително. Необходимите средства от 54,0 млн. лв. са за сметка на бюджета на държавното обществено осигуряване за 2024 г. Изразходваните средства за т. нар. „великденски“ добавки на пенсионерите са в размер на 54 305,3 хил. лв. </w:t>
      </w:r>
    </w:p>
    <w:p w14:paraId="3BCA97A0" w14:textId="77777777" w:rsidR="00DD70B2" w:rsidRPr="006C13DF" w:rsidRDefault="00DD70B2" w:rsidP="00554703">
      <w:pPr>
        <w:pStyle w:val="ListParagraph"/>
        <w:numPr>
          <w:ilvl w:val="0"/>
          <w:numId w:val="11"/>
        </w:numPr>
        <w:spacing w:after="0" w:line="240" w:lineRule="auto"/>
        <w:ind w:left="0" w:firstLine="360"/>
        <w:jc w:val="both"/>
        <w:rPr>
          <w:rFonts w:ascii="Times New Roman" w:eastAsia="Times New Roman" w:hAnsi="Times New Roman" w:cs="Times New Roman"/>
          <w:bCs/>
          <w:sz w:val="24"/>
          <w:szCs w:val="24"/>
        </w:rPr>
      </w:pPr>
      <w:r w:rsidRPr="006C13DF">
        <w:rPr>
          <w:rFonts w:ascii="Times New Roman" w:hAnsi="Times New Roman" w:cs="Times New Roman"/>
          <w:color w:val="000000"/>
          <w:sz w:val="24"/>
          <w:szCs w:val="24"/>
        </w:rPr>
        <w:t>С Поста</w:t>
      </w:r>
      <w:r w:rsidR="00D7133B">
        <w:rPr>
          <w:rFonts w:ascii="Times New Roman" w:hAnsi="Times New Roman" w:cs="Times New Roman"/>
          <w:color w:val="000000"/>
          <w:sz w:val="24"/>
          <w:szCs w:val="24"/>
        </w:rPr>
        <w:t>новление на Министерски съвет №</w:t>
      </w:r>
      <w:r w:rsidRPr="006C13DF">
        <w:rPr>
          <w:rFonts w:ascii="Times New Roman" w:hAnsi="Times New Roman" w:cs="Times New Roman"/>
          <w:color w:val="000000"/>
          <w:sz w:val="24"/>
          <w:szCs w:val="24"/>
        </w:rPr>
        <w:t xml:space="preserve">435 от 11 декември 2024 г. се одобри допълнителен трансфер в размер на 33,1 млн. лв. по бюджета на държавното обществено осигуряване за 2024 г. за еднократно изплащане на допълнителна сума към пенсиите за месец декември 2024 г. (т. нар. „коледна“ добавка). Допълнителната сума е в размер на 100 лв. и се изплаща на пенсионерите, на които пенсията или сборът от пенсиите заедно с добавките и компенсациите към тях за месец декември 2024 г. е в размер до 526 лева включително. Средствата се осигуряват за сметка на преструктуриране на разходите и/или трансферите по централния бюджет за 2024 г. Изразходваните средства за т. нар. „коледни“ добавки на пенсионерите са в размер на 31 887,9 хил. лв. </w:t>
      </w:r>
    </w:p>
    <w:p w14:paraId="6627BAF3"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В резултат на тези политики средният месечен размер на пенсията на един пенсионер за осигурителен стаж и възраст за 2024 г. е 883,02 лв. При неговото изчисляване са взети предвид всички добавки към пенсиите по КСО, както и изплатените през 2024 г. т. нар. „великденски“ и „коледни“ добавки.</w:t>
      </w:r>
    </w:p>
    <w:p w14:paraId="1D3BF6B6"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lastRenderedPageBreak/>
        <w:tab/>
        <w:t>През 2024 г. номиналното нарастване на средния месечен размер на пенсиите е 12,6 на сто, а реалното нарастване e 9,7 на сто, при средногодишен хармонизиран индекс на потребителските цени за 2024 г. от 2,6 на сто</w:t>
      </w:r>
      <w:r w:rsidRPr="006C13DF">
        <w:rPr>
          <w:rStyle w:val="FootnoteReference"/>
          <w:rFonts w:ascii="Times New Roman" w:eastAsia="Times New Roman" w:hAnsi="Times New Roman" w:cs="Times New Roman"/>
          <w:bCs/>
          <w:sz w:val="24"/>
          <w:szCs w:val="24"/>
        </w:rPr>
        <w:footnoteReference w:id="13"/>
      </w:r>
      <w:r w:rsidRPr="006C13DF">
        <w:rPr>
          <w:rFonts w:ascii="Times New Roman" w:eastAsia="Times New Roman" w:hAnsi="Times New Roman" w:cs="Times New Roman"/>
          <w:bCs/>
          <w:sz w:val="24"/>
          <w:szCs w:val="24"/>
        </w:rPr>
        <w:t>.</w:t>
      </w:r>
    </w:p>
    <w:p w14:paraId="20747651"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p>
    <w:p w14:paraId="2EEBBEDE"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
          <w:bCs/>
          <w:sz w:val="24"/>
          <w:szCs w:val="24"/>
        </w:rPr>
        <w:tab/>
        <w:t xml:space="preserve">Разходите за пенсии </w:t>
      </w:r>
      <w:r w:rsidRPr="006C13DF">
        <w:rPr>
          <w:rFonts w:ascii="Times New Roman" w:eastAsia="Times New Roman" w:hAnsi="Times New Roman" w:cs="Times New Roman"/>
          <w:bCs/>
          <w:sz w:val="24"/>
          <w:szCs w:val="24"/>
        </w:rPr>
        <w:t>през 2024 г. са 21 667 800,5 хил. лв., като в тази сума са включени разходи за пенсии за сметка на ДОО – 21 273 589,2 хил. лв., разходи за пенсии за сметка на</w:t>
      </w:r>
      <w:r w:rsidRPr="006C13DF">
        <w:rPr>
          <w:rFonts w:ascii="Times New Roman" w:hAnsi="Times New Roman" w:cs="Times New Roman"/>
          <w:color w:val="000000"/>
          <w:sz w:val="23"/>
          <w:szCs w:val="23"/>
        </w:rPr>
        <w:t xml:space="preserve"> </w:t>
      </w:r>
      <w:r w:rsidRPr="006C13DF">
        <w:rPr>
          <w:rFonts w:ascii="Times New Roman" w:eastAsia="Times New Roman" w:hAnsi="Times New Roman" w:cs="Times New Roman"/>
          <w:bCs/>
          <w:sz w:val="24"/>
          <w:szCs w:val="24"/>
        </w:rPr>
        <w:t xml:space="preserve">държавния бюджет – 393 109,6 хил. лв. и трансфера за прехвърляне на пенсионни права към пенсионните схеми на ЕС, ЕЦБ и ЕИБ. </w:t>
      </w:r>
    </w:p>
    <w:p w14:paraId="25062264"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 xml:space="preserve">През 2024 г. средномесечният брой на пенсионерите е 2 044 757, а средномесечният брой на изплащаните пенсии е 2 056 007 броя. </w:t>
      </w:r>
    </w:p>
    <w:p w14:paraId="776224B3"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 xml:space="preserve">Средната възраст на пенсионерите с лични пенсии към 31.12.2024 г. е 70,57 години. Средната възраст на мъжете е 69,05 години, а на жените 71,66 години. </w:t>
      </w:r>
    </w:p>
    <w:p w14:paraId="0B26E715"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 xml:space="preserve">Средната възраст на пенсионерите с лични пенсии за осигурителен стаж и възраст към 31.12.2024 г. е 74,11 години – на мъжете 73,17 години, а на жените 74,73 години. </w:t>
      </w:r>
    </w:p>
    <w:p w14:paraId="6E7BD470"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 xml:space="preserve">Ефективната възраст на пенсиониране или средната възраст на пенсионерите с лични новоотпуснати пенсии за осигурителен стаж и възраст през 2024 г. е 63,92 години. Мъжете са се пенсионирали средно на 64,27 години, а жените на 63,58 години. </w:t>
      </w:r>
    </w:p>
    <w:p w14:paraId="1F91B54A" w14:textId="77777777" w:rsidR="00062A1B"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През 2024 г. делът на разходите за пенсии от БВП е 10,7 на сто при 10,3 на сто за 2023 г.</w:t>
      </w:r>
    </w:p>
    <w:p w14:paraId="33E4A13D" w14:textId="77777777" w:rsidR="00DD70B2" w:rsidRPr="006C13DF" w:rsidRDefault="00DD70B2" w:rsidP="00DD70B2">
      <w:pPr>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t>За 2024 г. брутният</w:t>
      </w:r>
      <w:r w:rsidRPr="006C13DF">
        <w:rPr>
          <w:rStyle w:val="FootnoteReference"/>
          <w:rFonts w:ascii="Times New Roman" w:eastAsia="Times New Roman" w:hAnsi="Times New Roman" w:cs="Times New Roman"/>
          <w:bCs/>
          <w:sz w:val="24"/>
          <w:szCs w:val="24"/>
        </w:rPr>
        <w:footnoteReference w:id="14"/>
      </w:r>
      <w:r w:rsidRPr="006C13DF">
        <w:rPr>
          <w:rFonts w:ascii="Times New Roman" w:eastAsia="Times New Roman" w:hAnsi="Times New Roman" w:cs="Times New Roman"/>
          <w:bCs/>
          <w:sz w:val="24"/>
          <w:szCs w:val="24"/>
        </w:rPr>
        <w:t xml:space="preserve"> и нетният</w:t>
      </w:r>
      <w:r w:rsidRPr="006C13DF">
        <w:rPr>
          <w:rStyle w:val="FootnoteReference"/>
          <w:rFonts w:ascii="Times New Roman" w:eastAsia="Times New Roman" w:hAnsi="Times New Roman" w:cs="Times New Roman"/>
          <w:bCs/>
          <w:sz w:val="24"/>
          <w:szCs w:val="24"/>
        </w:rPr>
        <w:footnoteReference w:id="15"/>
      </w:r>
      <w:r w:rsidRPr="006C13DF">
        <w:rPr>
          <w:rFonts w:ascii="Times New Roman" w:eastAsia="Times New Roman" w:hAnsi="Times New Roman" w:cs="Times New Roman"/>
          <w:bCs/>
          <w:sz w:val="24"/>
          <w:szCs w:val="24"/>
        </w:rPr>
        <w:t xml:space="preserve"> коефициенти на заместване на дохода са съответно 53,3% (при 54,3% за 2023 г.) и 68,7% (при 69,9% за 2023 г.). Допълнителното съпоставяне се прави предвид обстоятелството, че пенсиите са необлагаеми и би следвало да се съотнасят също към нетен трудов доход.</w:t>
      </w:r>
    </w:p>
    <w:p w14:paraId="650A7454" w14:textId="77777777" w:rsidR="002B5765" w:rsidRPr="006C13DF" w:rsidRDefault="002B5765" w:rsidP="002B5765">
      <w:pPr>
        <w:spacing w:after="0" w:line="240" w:lineRule="auto"/>
        <w:ind w:firstLine="709"/>
        <w:jc w:val="both"/>
        <w:rPr>
          <w:rFonts w:ascii="Times New Roman" w:hAnsi="Times New Roman" w:cs="Times New Roman"/>
          <w:sz w:val="24"/>
          <w:szCs w:val="24"/>
        </w:rPr>
      </w:pPr>
    </w:p>
    <w:p w14:paraId="5D1DAC2E" w14:textId="77777777" w:rsidR="00A97432" w:rsidRPr="006C13DF" w:rsidRDefault="00A97432" w:rsidP="002B5765">
      <w:pPr>
        <w:spacing w:after="0" w:line="240" w:lineRule="auto"/>
        <w:ind w:firstLine="709"/>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C668"/>
        <w:tblLook w:val="04A0" w:firstRow="1" w:lastRow="0" w:firstColumn="1" w:lastColumn="0" w:noHBand="0" w:noVBand="1"/>
      </w:tblPr>
      <w:tblGrid>
        <w:gridCol w:w="9060"/>
      </w:tblGrid>
      <w:tr w:rsidR="00A97432" w:rsidRPr="006C13DF" w14:paraId="6774D9DB" w14:textId="77777777" w:rsidTr="00E655FD">
        <w:tc>
          <w:tcPr>
            <w:tcW w:w="9060" w:type="dxa"/>
            <w:shd w:val="clear" w:color="auto" w:fill="D6C668"/>
          </w:tcPr>
          <w:p w14:paraId="56634F9B" w14:textId="77777777" w:rsidR="00A97432" w:rsidRPr="006C13DF" w:rsidRDefault="00A97432" w:rsidP="00A97432">
            <w:pPr>
              <w:jc w:val="center"/>
              <w:rPr>
                <w:rFonts w:ascii="Times New Roman" w:hAnsi="Times New Roman" w:cs="Times New Roman"/>
                <w:b/>
                <w:sz w:val="28"/>
                <w:szCs w:val="28"/>
                <w:lang w:val="en-US"/>
              </w:rPr>
            </w:pPr>
            <w:r w:rsidRPr="006C13DF">
              <w:rPr>
                <w:rFonts w:ascii="Times New Roman" w:hAnsi="Times New Roman" w:cs="Times New Roman"/>
                <w:b/>
                <w:sz w:val="28"/>
                <w:szCs w:val="28"/>
              </w:rPr>
              <w:t xml:space="preserve">Приоритет </w:t>
            </w:r>
            <w:r w:rsidRPr="006C13DF">
              <w:rPr>
                <w:rFonts w:ascii="Times New Roman" w:hAnsi="Times New Roman" w:cs="Times New Roman"/>
                <w:b/>
                <w:sz w:val="28"/>
                <w:szCs w:val="28"/>
                <w:lang w:val="en-US"/>
              </w:rPr>
              <w:t>II</w:t>
            </w:r>
          </w:p>
          <w:p w14:paraId="3AF1C08E" w14:textId="77777777" w:rsidR="00A97432" w:rsidRPr="006C13DF" w:rsidRDefault="00A97432" w:rsidP="00A97432">
            <w:pPr>
              <w:jc w:val="center"/>
              <w:rPr>
                <w:rFonts w:ascii="Times New Roman" w:hAnsi="Times New Roman" w:cs="Times New Roman"/>
                <w:b/>
                <w:sz w:val="28"/>
                <w:szCs w:val="28"/>
              </w:rPr>
            </w:pPr>
            <w:r w:rsidRPr="006C13DF">
              <w:rPr>
                <w:rFonts w:ascii="Times New Roman" w:hAnsi="Times New Roman" w:cs="Times New Roman"/>
                <w:b/>
                <w:sz w:val="28"/>
                <w:szCs w:val="28"/>
              </w:rPr>
              <w:t>Насърчаване на активния живот на възрастните хора в сферата на участието в обществото</w:t>
            </w:r>
          </w:p>
        </w:tc>
      </w:tr>
    </w:tbl>
    <w:p w14:paraId="08D69156" w14:textId="77777777" w:rsidR="00A97432" w:rsidRPr="006C13DF" w:rsidRDefault="00A97432" w:rsidP="002B5765">
      <w:pPr>
        <w:spacing w:after="0" w:line="240" w:lineRule="auto"/>
        <w:ind w:firstLine="709"/>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A97432" w:rsidRPr="006C13DF" w14:paraId="474E2640" w14:textId="77777777" w:rsidTr="00E655FD">
        <w:tc>
          <w:tcPr>
            <w:tcW w:w="9060" w:type="dxa"/>
            <w:shd w:val="clear" w:color="auto" w:fill="EBE453"/>
          </w:tcPr>
          <w:p w14:paraId="2A923D80" w14:textId="77777777" w:rsidR="00A97432" w:rsidRPr="006C13DF" w:rsidRDefault="00A97432" w:rsidP="00E655FD">
            <w:pPr>
              <w:jc w:val="both"/>
              <w:rPr>
                <w:rFonts w:ascii="Times New Roman" w:hAnsi="Times New Roman" w:cs="Times New Roman"/>
                <w:b/>
                <w:sz w:val="28"/>
                <w:szCs w:val="28"/>
              </w:rPr>
            </w:pPr>
            <w:r w:rsidRPr="006C13DF">
              <w:rPr>
                <w:rFonts w:ascii="Times New Roman" w:hAnsi="Times New Roman" w:cs="Times New Roman"/>
                <w:b/>
                <w:sz w:val="28"/>
                <w:szCs w:val="28"/>
              </w:rPr>
              <w:t>2.1. Насърчаване на социалното приобщаване чрез включване в различни форми на социален и културен живот</w:t>
            </w:r>
          </w:p>
        </w:tc>
      </w:tr>
    </w:tbl>
    <w:p w14:paraId="1C1E3B6C" w14:textId="77777777" w:rsidR="002367C9" w:rsidRPr="006C13DF" w:rsidRDefault="002367C9" w:rsidP="00E254A6">
      <w:pPr>
        <w:spacing w:after="0" w:line="240" w:lineRule="auto"/>
        <w:jc w:val="center"/>
        <w:rPr>
          <w:rFonts w:ascii="Times New Roman" w:eastAsia="Calibri" w:hAnsi="Times New Roman" w:cs="Times New Roman"/>
          <w:b/>
          <w:caps/>
          <w:color w:val="C0504D"/>
          <w:sz w:val="24"/>
          <w:szCs w:val="24"/>
        </w:rPr>
      </w:pPr>
    </w:p>
    <w:p w14:paraId="4EDA4D5D" w14:textId="77777777" w:rsidR="006E5C93" w:rsidRPr="006C13DF" w:rsidRDefault="00E254A6" w:rsidP="00E254A6">
      <w:pPr>
        <w:spacing w:after="0" w:line="240" w:lineRule="auto"/>
        <w:jc w:val="center"/>
        <w:rPr>
          <w:rFonts w:ascii="Times New Roman" w:hAnsi="Times New Roman" w:cs="Times New Roman"/>
          <w:b/>
          <w:color w:val="ED7D31" w:themeColor="accent2"/>
          <w:sz w:val="24"/>
          <w:szCs w:val="24"/>
        </w:rPr>
      </w:pPr>
      <w:r w:rsidRPr="006C13DF">
        <w:rPr>
          <w:rFonts w:ascii="Times New Roman" w:eastAsia="Calibri" w:hAnsi="Times New Roman" w:cs="Times New Roman"/>
          <w:b/>
          <w:caps/>
          <w:color w:val="C0504D"/>
          <w:sz w:val="24"/>
          <w:szCs w:val="24"/>
        </w:rPr>
        <w:t>Министерство на</w:t>
      </w:r>
      <w:r w:rsidRPr="006C13DF">
        <w:rPr>
          <w:rFonts w:ascii="Times New Roman" w:eastAsia="Calibri" w:hAnsi="Times New Roman" w:cs="Times New Roman"/>
          <w:b/>
          <w:caps/>
          <w:color w:val="C0504D"/>
          <w:sz w:val="24"/>
          <w:szCs w:val="24"/>
          <w:lang w:val="en-US"/>
        </w:rPr>
        <w:t xml:space="preserve"> </w:t>
      </w:r>
      <w:r w:rsidRPr="006C13DF">
        <w:rPr>
          <w:rFonts w:ascii="Times New Roman" w:eastAsia="Calibri" w:hAnsi="Times New Roman" w:cs="Times New Roman"/>
          <w:b/>
          <w:caps/>
          <w:color w:val="C0504D"/>
          <w:sz w:val="24"/>
          <w:szCs w:val="24"/>
        </w:rPr>
        <w:t>КУЛТУРАТА</w:t>
      </w:r>
    </w:p>
    <w:p w14:paraId="27D6CC4B" w14:textId="77777777" w:rsidR="003C14F5" w:rsidRPr="006C13DF" w:rsidRDefault="003C14F5" w:rsidP="00E254A6">
      <w:pPr>
        <w:spacing w:after="0" w:line="240" w:lineRule="auto"/>
        <w:jc w:val="center"/>
        <w:rPr>
          <w:rFonts w:ascii="Times New Roman" w:hAnsi="Times New Roman" w:cs="Times New Roman"/>
          <w:b/>
          <w:color w:val="ED7D31" w:themeColor="accent2"/>
          <w:sz w:val="24"/>
          <w:szCs w:val="24"/>
        </w:rPr>
      </w:pPr>
    </w:p>
    <w:p w14:paraId="7668151C" w14:textId="77777777" w:rsidR="00E254A6" w:rsidRPr="006C13DF" w:rsidRDefault="002B5765" w:rsidP="00E254A6">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2.1.1. Подкрепа на проекти, които осигуряват равен достъп на всички хора до културното наследство. Провеждане на конкурсни сесии и оказване на целева финансова подкрепа на културното наследство по Бюджетна програма „Опазване и представяне на движимото културно наследство и визуалните изкуств</w:t>
      </w:r>
      <w:r w:rsidR="00CF553F">
        <w:rPr>
          <w:rFonts w:ascii="Times New Roman" w:hAnsi="Times New Roman" w:cs="Times New Roman"/>
          <w:b/>
          <w:sz w:val="24"/>
          <w:szCs w:val="24"/>
        </w:rPr>
        <w:t>а“ на Министерство на културата.</w:t>
      </w:r>
    </w:p>
    <w:p w14:paraId="11FED866" w14:textId="77777777" w:rsidR="00E254A6" w:rsidRPr="006C13DF" w:rsidRDefault="00E254A6" w:rsidP="00E254A6">
      <w:pPr>
        <w:spacing w:after="0" w:line="240" w:lineRule="auto"/>
        <w:jc w:val="both"/>
        <w:rPr>
          <w:rFonts w:ascii="Times New Roman" w:hAnsi="Times New Roman" w:cs="Times New Roman"/>
          <w:b/>
          <w:sz w:val="24"/>
          <w:szCs w:val="24"/>
        </w:rPr>
      </w:pPr>
    </w:p>
    <w:p w14:paraId="78C07307" w14:textId="77777777" w:rsidR="00E254A6" w:rsidRPr="006C13DF" w:rsidRDefault="00E254A6" w:rsidP="00E254A6">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По отношение на осигуряване на равен достъп на всички хора до културното наследство през 2023 – 2024 г. са проведени съответно по една конкурсна сесия за целево финансиране на проекти в областта на визуалните изкуства и една конкурсна сесия финансова подкрепа на проекти в областта на движимото културно наследство, музеите и художествените галерии за всяка година. През 2023 г. по сесията за финансиране на </w:t>
      </w:r>
      <w:r w:rsidRPr="006C13DF">
        <w:rPr>
          <w:rFonts w:ascii="Times New Roman" w:hAnsi="Times New Roman" w:cs="Times New Roman"/>
          <w:sz w:val="24"/>
          <w:szCs w:val="24"/>
        </w:rPr>
        <w:lastRenderedPageBreak/>
        <w:t xml:space="preserve">проекти </w:t>
      </w:r>
      <w:r w:rsidRPr="00CF553F">
        <w:rPr>
          <w:rFonts w:ascii="Times New Roman" w:hAnsi="Times New Roman" w:cs="Times New Roman"/>
          <w:sz w:val="24"/>
          <w:szCs w:val="24"/>
        </w:rPr>
        <w:t>в областта на</w:t>
      </w:r>
      <w:r w:rsidRPr="00CF553F">
        <w:rPr>
          <w:rFonts w:ascii="Times New Roman" w:hAnsi="Times New Roman" w:cs="Times New Roman"/>
          <w:b/>
          <w:sz w:val="24"/>
          <w:szCs w:val="24"/>
        </w:rPr>
        <w:t xml:space="preserve"> движимото културно наследство, музеите и художествените галерии</w:t>
      </w:r>
      <w:r w:rsidRPr="006C13DF">
        <w:rPr>
          <w:rFonts w:ascii="Times New Roman" w:hAnsi="Times New Roman" w:cs="Times New Roman"/>
          <w:sz w:val="24"/>
          <w:szCs w:val="24"/>
        </w:rPr>
        <w:t xml:space="preserve"> са финансирани </w:t>
      </w:r>
      <w:r w:rsidRPr="006C13DF">
        <w:rPr>
          <w:rFonts w:ascii="Times New Roman" w:hAnsi="Times New Roman" w:cs="Times New Roman"/>
          <w:sz w:val="24"/>
          <w:szCs w:val="24"/>
          <w:lang w:val="ru-RU"/>
        </w:rPr>
        <w:t>107</w:t>
      </w:r>
      <w:r w:rsidR="00C22ABC" w:rsidRPr="006C13DF">
        <w:rPr>
          <w:rFonts w:ascii="Times New Roman" w:hAnsi="Times New Roman" w:cs="Times New Roman"/>
          <w:sz w:val="24"/>
          <w:szCs w:val="24"/>
        </w:rPr>
        <w:t xml:space="preserve"> проекта</w:t>
      </w:r>
      <w:r w:rsidR="00C22ABC" w:rsidRPr="006C13DF">
        <w:rPr>
          <w:rFonts w:ascii="Times New Roman" w:hAnsi="Times New Roman" w:cs="Times New Roman"/>
          <w:sz w:val="24"/>
          <w:szCs w:val="24"/>
          <w:lang w:val="en-US"/>
        </w:rPr>
        <w:t xml:space="preserve">, </w:t>
      </w:r>
      <w:r w:rsidR="00C22ABC" w:rsidRPr="006C13DF">
        <w:rPr>
          <w:rFonts w:ascii="Times New Roman" w:hAnsi="Times New Roman" w:cs="Times New Roman"/>
          <w:sz w:val="24"/>
          <w:szCs w:val="24"/>
        </w:rPr>
        <w:t>д</w:t>
      </w:r>
      <w:r w:rsidRPr="006C13DF">
        <w:rPr>
          <w:rFonts w:ascii="Times New Roman" w:hAnsi="Times New Roman" w:cs="Times New Roman"/>
          <w:sz w:val="24"/>
          <w:szCs w:val="24"/>
        </w:rPr>
        <w:t xml:space="preserve">окато през 2024 г. </w:t>
      </w:r>
      <w:r w:rsidR="00C22ABC" w:rsidRPr="006C13DF">
        <w:rPr>
          <w:rFonts w:ascii="Times New Roman" w:hAnsi="Times New Roman" w:cs="Times New Roman"/>
          <w:sz w:val="24"/>
          <w:szCs w:val="24"/>
        </w:rPr>
        <w:t xml:space="preserve">– </w:t>
      </w:r>
      <w:r w:rsidRPr="006C13DF">
        <w:rPr>
          <w:rFonts w:ascii="Times New Roman" w:hAnsi="Times New Roman" w:cs="Times New Roman"/>
          <w:sz w:val="24"/>
          <w:szCs w:val="24"/>
          <w:lang w:val="ru-RU"/>
        </w:rPr>
        <w:t>112</w:t>
      </w:r>
      <w:r w:rsidRPr="006C13DF">
        <w:rPr>
          <w:rFonts w:ascii="Times New Roman" w:hAnsi="Times New Roman" w:cs="Times New Roman"/>
          <w:sz w:val="24"/>
          <w:szCs w:val="24"/>
        </w:rPr>
        <w:t xml:space="preserve"> </w:t>
      </w:r>
      <w:r w:rsidR="00C22ABC" w:rsidRPr="006C13DF">
        <w:rPr>
          <w:rFonts w:ascii="Times New Roman" w:hAnsi="Times New Roman" w:cs="Times New Roman"/>
          <w:sz w:val="24"/>
          <w:szCs w:val="24"/>
        </w:rPr>
        <w:t xml:space="preserve">проекта. </w:t>
      </w:r>
      <w:r w:rsidRPr="006C13DF">
        <w:rPr>
          <w:rFonts w:ascii="Times New Roman" w:hAnsi="Times New Roman" w:cs="Times New Roman"/>
          <w:sz w:val="24"/>
          <w:szCs w:val="24"/>
        </w:rPr>
        <w:t>П</w:t>
      </w:r>
      <w:r w:rsidR="00C22ABC" w:rsidRPr="006C13DF">
        <w:rPr>
          <w:rFonts w:ascii="Times New Roman" w:hAnsi="Times New Roman" w:cs="Times New Roman"/>
          <w:sz w:val="24"/>
          <w:szCs w:val="24"/>
        </w:rPr>
        <w:t>рез 2023 г. п</w:t>
      </w:r>
      <w:r w:rsidRPr="006C13DF">
        <w:rPr>
          <w:rFonts w:ascii="Times New Roman" w:hAnsi="Times New Roman" w:cs="Times New Roman"/>
          <w:sz w:val="24"/>
          <w:szCs w:val="24"/>
        </w:rPr>
        <w:t>о сесия</w:t>
      </w:r>
      <w:r w:rsidR="00C22ABC" w:rsidRPr="006C13DF">
        <w:rPr>
          <w:rFonts w:ascii="Times New Roman" w:hAnsi="Times New Roman" w:cs="Times New Roman"/>
          <w:sz w:val="24"/>
          <w:szCs w:val="24"/>
        </w:rPr>
        <w:t>та</w:t>
      </w:r>
      <w:r w:rsidRPr="006C13DF">
        <w:rPr>
          <w:rFonts w:ascii="Times New Roman" w:hAnsi="Times New Roman" w:cs="Times New Roman"/>
          <w:sz w:val="24"/>
          <w:szCs w:val="24"/>
        </w:rPr>
        <w:t xml:space="preserve"> за финансиране на проекти в областта на </w:t>
      </w:r>
      <w:r w:rsidRPr="00CF553F">
        <w:rPr>
          <w:rFonts w:ascii="Times New Roman" w:hAnsi="Times New Roman" w:cs="Times New Roman"/>
          <w:b/>
          <w:sz w:val="24"/>
          <w:szCs w:val="24"/>
        </w:rPr>
        <w:t>визуалните изкуства</w:t>
      </w:r>
      <w:r w:rsidRPr="006C13DF">
        <w:rPr>
          <w:rFonts w:ascii="Times New Roman" w:hAnsi="Times New Roman" w:cs="Times New Roman"/>
          <w:sz w:val="24"/>
          <w:szCs w:val="24"/>
        </w:rPr>
        <w:t xml:space="preserve"> са подкрепени </w:t>
      </w:r>
      <w:r w:rsidRPr="006C13DF">
        <w:rPr>
          <w:rFonts w:ascii="Times New Roman" w:hAnsi="Times New Roman" w:cs="Times New Roman"/>
          <w:sz w:val="24"/>
          <w:szCs w:val="24"/>
          <w:lang w:val="ru-RU"/>
        </w:rPr>
        <w:t>27</w:t>
      </w:r>
      <w:r w:rsidRPr="006C13DF">
        <w:rPr>
          <w:rFonts w:ascii="Times New Roman" w:hAnsi="Times New Roman" w:cs="Times New Roman"/>
          <w:sz w:val="24"/>
          <w:szCs w:val="24"/>
        </w:rPr>
        <w:t xml:space="preserve"> проекта</w:t>
      </w:r>
      <w:r w:rsidR="00C22ABC" w:rsidRPr="006C13DF">
        <w:rPr>
          <w:rFonts w:ascii="Times New Roman" w:hAnsi="Times New Roman" w:cs="Times New Roman"/>
          <w:sz w:val="24"/>
          <w:szCs w:val="24"/>
        </w:rPr>
        <w:t xml:space="preserve">, а през 2024 г. – </w:t>
      </w:r>
      <w:r w:rsidR="00C22ABC" w:rsidRPr="006C13DF">
        <w:rPr>
          <w:rFonts w:ascii="Times New Roman" w:hAnsi="Times New Roman" w:cs="Times New Roman"/>
          <w:sz w:val="24"/>
          <w:szCs w:val="24"/>
          <w:lang w:val="ru-RU"/>
        </w:rPr>
        <w:t>33</w:t>
      </w:r>
      <w:r w:rsidR="00C22ABC" w:rsidRPr="006C13DF">
        <w:rPr>
          <w:rFonts w:ascii="Times New Roman" w:hAnsi="Times New Roman" w:cs="Times New Roman"/>
          <w:sz w:val="24"/>
          <w:szCs w:val="24"/>
        </w:rPr>
        <w:t xml:space="preserve"> проекта. </w:t>
      </w:r>
    </w:p>
    <w:p w14:paraId="0A09D9AB" w14:textId="77777777" w:rsidR="00E254A6" w:rsidRPr="006C13DF" w:rsidRDefault="00E254A6" w:rsidP="00EF6E9E">
      <w:pPr>
        <w:pStyle w:val="BodyText4"/>
        <w:shd w:val="clear" w:color="auto" w:fill="auto"/>
        <w:spacing w:after="0" w:line="240" w:lineRule="auto"/>
        <w:jc w:val="both"/>
        <w:rPr>
          <w:sz w:val="24"/>
          <w:szCs w:val="24"/>
          <w:lang w:val="bg-BG"/>
        </w:rPr>
      </w:pPr>
      <w:r w:rsidRPr="006C13DF">
        <w:rPr>
          <w:bCs/>
          <w:sz w:val="24"/>
          <w:szCs w:val="24"/>
          <w:lang w:val="bg-BG"/>
        </w:rPr>
        <w:tab/>
        <w:t xml:space="preserve">По отношение на </w:t>
      </w:r>
      <w:r w:rsidRPr="006C13DF">
        <w:rPr>
          <w:bCs/>
          <w:sz w:val="24"/>
          <w:szCs w:val="24"/>
        </w:rPr>
        <w:t xml:space="preserve">движимото културно наследство, музеите и визуалните изкуства </w:t>
      </w:r>
      <w:r w:rsidRPr="006C13DF">
        <w:rPr>
          <w:bCs/>
          <w:sz w:val="24"/>
          <w:szCs w:val="24"/>
          <w:lang w:val="bg-BG"/>
        </w:rPr>
        <w:t>п</w:t>
      </w:r>
      <w:r w:rsidRPr="006C13DF">
        <w:rPr>
          <w:sz w:val="24"/>
          <w:szCs w:val="24"/>
          <w:lang w:val="bg-BG"/>
        </w:rPr>
        <w:t>роектите</w:t>
      </w:r>
      <w:r w:rsidRPr="006C13DF">
        <w:rPr>
          <w:sz w:val="24"/>
          <w:szCs w:val="24"/>
        </w:rPr>
        <w:t xml:space="preserve"> </w:t>
      </w:r>
      <w:r w:rsidRPr="006C13DF">
        <w:rPr>
          <w:sz w:val="24"/>
          <w:szCs w:val="24"/>
          <w:lang w:val="bg-BG"/>
        </w:rPr>
        <w:t xml:space="preserve">на </w:t>
      </w:r>
      <w:r w:rsidRPr="006C13DF">
        <w:rPr>
          <w:sz w:val="24"/>
          <w:szCs w:val="24"/>
        </w:rPr>
        <w:t xml:space="preserve">културните организации и институти </w:t>
      </w:r>
      <w:r w:rsidRPr="006C13DF">
        <w:rPr>
          <w:sz w:val="24"/>
          <w:szCs w:val="24"/>
          <w:lang w:val="bg-BG"/>
        </w:rPr>
        <w:t>са</w:t>
      </w:r>
      <w:r w:rsidRPr="006C13DF">
        <w:rPr>
          <w:sz w:val="24"/>
          <w:szCs w:val="24"/>
        </w:rPr>
        <w:t xml:space="preserve"> насочен</w:t>
      </w:r>
      <w:r w:rsidRPr="006C13DF">
        <w:rPr>
          <w:sz w:val="24"/>
          <w:szCs w:val="24"/>
          <w:lang w:val="bg-BG"/>
        </w:rPr>
        <w:t>и</w:t>
      </w:r>
      <w:r w:rsidRPr="006C13DF">
        <w:rPr>
          <w:sz w:val="24"/>
          <w:szCs w:val="24"/>
        </w:rPr>
        <w:t xml:space="preserve"> към подпомагане на културни инициативи, целеви програми, творчески проекти и други, които са свързани с опазването, представянето и популяризирането на музеите, движимото културно наследство и визуалните изкуства</w:t>
      </w:r>
      <w:r w:rsidRPr="006C13DF">
        <w:rPr>
          <w:sz w:val="24"/>
          <w:szCs w:val="24"/>
          <w:lang w:val="bg-BG"/>
        </w:rPr>
        <w:t>.</w:t>
      </w:r>
      <w:r w:rsidR="00AC0600" w:rsidRPr="006C13DF">
        <w:rPr>
          <w:sz w:val="24"/>
          <w:szCs w:val="24"/>
          <w:lang w:val="bg-BG"/>
        </w:rPr>
        <w:t xml:space="preserve"> </w:t>
      </w:r>
      <w:r w:rsidRPr="006C13DF">
        <w:rPr>
          <w:sz w:val="24"/>
          <w:szCs w:val="24"/>
        </w:rPr>
        <w:t xml:space="preserve">Основната цел на програмата за финансиране на проекти </w:t>
      </w:r>
      <w:r w:rsidRPr="006C13DF">
        <w:rPr>
          <w:sz w:val="24"/>
          <w:szCs w:val="24"/>
          <w:lang w:val="bg-BG"/>
        </w:rPr>
        <w:t xml:space="preserve">в областта на визуалните изкуства </w:t>
      </w:r>
      <w:r w:rsidRPr="006C13DF">
        <w:rPr>
          <w:sz w:val="24"/>
          <w:szCs w:val="24"/>
        </w:rPr>
        <w:t xml:space="preserve">е подкрепа, развитие, популяризиране и утвърждаване на обществена значимост на визуалните изкуства, </w:t>
      </w:r>
      <w:r w:rsidRPr="006C13DF">
        <w:rPr>
          <w:sz w:val="24"/>
          <w:szCs w:val="24"/>
          <w:lang w:val="bg-BG"/>
        </w:rPr>
        <w:t xml:space="preserve">като една от подцелите фокусира </w:t>
      </w:r>
      <w:r w:rsidRPr="006C13DF">
        <w:rPr>
          <w:sz w:val="24"/>
          <w:szCs w:val="24"/>
        </w:rPr>
        <w:t>развиване и привличане на нови публики; достъпност и демократичност при представянето на визуалните изкуства</w:t>
      </w:r>
      <w:r w:rsidRPr="006C13DF">
        <w:rPr>
          <w:sz w:val="24"/>
          <w:szCs w:val="24"/>
          <w:lang w:val="bg-BG"/>
        </w:rPr>
        <w:t>. Всички проекти осигуряват равен достъп на всички хора</w:t>
      </w:r>
      <w:r w:rsidRPr="006C13DF">
        <w:rPr>
          <w:sz w:val="24"/>
          <w:szCs w:val="24"/>
        </w:rPr>
        <w:t>.</w:t>
      </w:r>
    </w:p>
    <w:p w14:paraId="36F02DFE" w14:textId="77777777" w:rsidR="002367C9" w:rsidRPr="006C13DF" w:rsidRDefault="002367C9" w:rsidP="00EF6E9E">
      <w:pPr>
        <w:spacing w:after="0" w:line="240" w:lineRule="auto"/>
        <w:jc w:val="center"/>
        <w:rPr>
          <w:rFonts w:ascii="Times New Roman" w:eastAsia="Times New Roman" w:hAnsi="Times New Roman" w:cs="Times New Roman"/>
          <w:sz w:val="23"/>
          <w:szCs w:val="23"/>
          <w:lang w:val="bg"/>
        </w:rPr>
      </w:pPr>
    </w:p>
    <w:p w14:paraId="37213DF1" w14:textId="77777777" w:rsidR="00E254A6" w:rsidRPr="006C13DF" w:rsidRDefault="00E254A6" w:rsidP="00EF6E9E">
      <w:pPr>
        <w:spacing w:after="0" w:line="240" w:lineRule="auto"/>
        <w:jc w:val="center"/>
        <w:rPr>
          <w:rFonts w:ascii="Times New Roman" w:hAnsi="Times New Roman" w:cs="Times New Roman"/>
          <w:b/>
          <w:color w:val="ED7D31" w:themeColor="accent2"/>
          <w:sz w:val="24"/>
          <w:szCs w:val="24"/>
        </w:rPr>
      </w:pPr>
      <w:r w:rsidRPr="006C13DF">
        <w:rPr>
          <w:rFonts w:ascii="Times New Roman" w:eastAsia="Calibri" w:hAnsi="Times New Roman" w:cs="Times New Roman"/>
          <w:b/>
          <w:caps/>
          <w:color w:val="C0504D"/>
          <w:sz w:val="24"/>
          <w:szCs w:val="24"/>
        </w:rPr>
        <w:t>Министерство на</w:t>
      </w:r>
      <w:r w:rsidRPr="006C13DF">
        <w:rPr>
          <w:rFonts w:ascii="Times New Roman" w:eastAsia="Calibri" w:hAnsi="Times New Roman" w:cs="Times New Roman"/>
          <w:b/>
          <w:caps/>
          <w:color w:val="C0504D"/>
          <w:sz w:val="24"/>
          <w:szCs w:val="24"/>
          <w:lang w:val="en-US"/>
        </w:rPr>
        <w:t xml:space="preserve"> </w:t>
      </w:r>
      <w:r w:rsidRPr="006C13DF">
        <w:rPr>
          <w:rFonts w:ascii="Times New Roman" w:eastAsia="Calibri" w:hAnsi="Times New Roman" w:cs="Times New Roman"/>
          <w:b/>
          <w:caps/>
          <w:color w:val="C0504D"/>
          <w:sz w:val="24"/>
          <w:szCs w:val="24"/>
        </w:rPr>
        <w:t>КУЛТУРАТА</w:t>
      </w:r>
    </w:p>
    <w:p w14:paraId="11522A22" w14:textId="77777777" w:rsidR="00E254A6" w:rsidRPr="006C13DF" w:rsidRDefault="00E254A6" w:rsidP="00EF6E9E">
      <w:pPr>
        <w:spacing w:after="0" w:line="240" w:lineRule="auto"/>
        <w:jc w:val="both"/>
        <w:rPr>
          <w:rFonts w:ascii="Times New Roman" w:hAnsi="Times New Roman" w:cs="Times New Roman"/>
          <w:b/>
          <w:i/>
          <w:sz w:val="24"/>
          <w:szCs w:val="24"/>
        </w:rPr>
      </w:pPr>
    </w:p>
    <w:p w14:paraId="18271D31" w14:textId="77777777" w:rsidR="006E5C93" w:rsidRPr="006C13DF" w:rsidRDefault="00EF6E9E" w:rsidP="00EF6E9E">
      <w:pPr>
        <w:spacing w:after="0" w:line="240" w:lineRule="auto"/>
        <w:jc w:val="both"/>
        <w:rPr>
          <w:rFonts w:ascii="Times New Roman" w:eastAsia="Times New Roman" w:hAnsi="Times New Roman" w:cs="Times New Roman"/>
          <w:b/>
          <w:color w:val="000000" w:themeColor="text1"/>
          <w:sz w:val="24"/>
          <w:szCs w:val="24"/>
          <w:lang w:eastAsia="bg-BG"/>
        </w:rPr>
      </w:pPr>
      <w:r w:rsidRPr="006C13DF">
        <w:rPr>
          <w:rFonts w:ascii="Times New Roman" w:eastAsia="Times New Roman" w:hAnsi="Times New Roman" w:cs="Times New Roman"/>
          <w:b/>
          <w:color w:val="000000" w:themeColor="text1"/>
          <w:sz w:val="24"/>
          <w:szCs w:val="24"/>
          <w:lang w:eastAsia="bg-BG"/>
        </w:rPr>
        <w:tab/>
        <w:t xml:space="preserve">2.1.2. </w:t>
      </w:r>
      <w:r w:rsidR="006E5C93" w:rsidRPr="006C13DF">
        <w:rPr>
          <w:rFonts w:ascii="Times New Roman" w:eastAsia="Times New Roman" w:hAnsi="Times New Roman" w:cs="Times New Roman"/>
          <w:b/>
          <w:color w:val="000000" w:themeColor="text1"/>
          <w:sz w:val="24"/>
          <w:szCs w:val="24"/>
          <w:lang w:eastAsia="bg-BG"/>
        </w:rPr>
        <w:t>Приобщаване на възрастните хора към културен живот като зрители на различни видове сценични продукти в областта на театралното, музикалното и танцовото изкуство</w:t>
      </w:r>
      <w:r w:rsidR="002B5765" w:rsidRPr="006C13DF">
        <w:rPr>
          <w:rFonts w:ascii="Times New Roman" w:eastAsia="Times New Roman" w:hAnsi="Times New Roman" w:cs="Times New Roman"/>
          <w:b/>
          <w:color w:val="000000" w:themeColor="text1"/>
          <w:sz w:val="24"/>
          <w:szCs w:val="24"/>
          <w:lang w:eastAsia="bg-BG"/>
        </w:rPr>
        <w:t>.</w:t>
      </w:r>
      <w:r w:rsidR="002B5765" w:rsidRPr="006C13DF">
        <w:rPr>
          <w:rFonts w:ascii="Times New Roman" w:hAnsi="Times New Roman" w:cs="Times New Roman"/>
        </w:rPr>
        <w:t xml:space="preserve"> </w:t>
      </w:r>
      <w:r w:rsidR="002B5765" w:rsidRPr="006C13DF">
        <w:rPr>
          <w:rFonts w:ascii="Times New Roman" w:eastAsia="Times New Roman" w:hAnsi="Times New Roman" w:cs="Times New Roman"/>
          <w:b/>
          <w:color w:val="000000" w:themeColor="text1"/>
          <w:sz w:val="24"/>
          <w:szCs w:val="24"/>
          <w:lang w:eastAsia="bg-BG"/>
        </w:rPr>
        <w:t>Провеждане на сесии за подкрепа на сценичните изкуства по програ</w:t>
      </w:r>
      <w:r w:rsidR="00CF553F">
        <w:rPr>
          <w:rFonts w:ascii="Times New Roman" w:eastAsia="Times New Roman" w:hAnsi="Times New Roman" w:cs="Times New Roman"/>
          <w:b/>
          <w:color w:val="000000" w:themeColor="text1"/>
          <w:sz w:val="24"/>
          <w:szCs w:val="24"/>
          <w:lang w:eastAsia="bg-BG"/>
        </w:rPr>
        <w:t>ма на Министерство на културата.</w:t>
      </w:r>
    </w:p>
    <w:p w14:paraId="2F97952D" w14:textId="77777777" w:rsidR="00C22ABC" w:rsidRPr="006C13DF" w:rsidRDefault="00C22ABC" w:rsidP="00EF6E9E">
      <w:pPr>
        <w:spacing w:after="0" w:line="240" w:lineRule="auto"/>
        <w:jc w:val="both"/>
        <w:rPr>
          <w:rFonts w:ascii="Times New Roman" w:eastAsia="Times New Roman" w:hAnsi="Times New Roman" w:cs="Times New Roman"/>
          <w:b/>
          <w:i/>
          <w:color w:val="000000" w:themeColor="text1"/>
          <w:sz w:val="24"/>
          <w:szCs w:val="24"/>
          <w:lang w:eastAsia="bg-BG"/>
        </w:rPr>
      </w:pPr>
    </w:p>
    <w:p w14:paraId="6542B7E9" w14:textId="77777777" w:rsidR="00836828" w:rsidRPr="006C13DF" w:rsidRDefault="00EF6E9E" w:rsidP="00EF6E9E">
      <w:pPr>
        <w:spacing w:after="0" w:line="240" w:lineRule="auto"/>
        <w:ind w:firstLine="708"/>
        <w:jc w:val="both"/>
        <w:rPr>
          <w:rFonts w:ascii="Times New Roman" w:eastAsia="Calibri" w:hAnsi="Times New Roman" w:cs="Times New Roman"/>
          <w:sz w:val="24"/>
          <w:szCs w:val="24"/>
          <w:lang w:val="en-US"/>
        </w:rPr>
      </w:pPr>
      <w:r w:rsidRPr="006C13DF">
        <w:rPr>
          <w:rFonts w:ascii="Times New Roman" w:eastAsia="Calibri" w:hAnsi="Times New Roman" w:cs="Times New Roman"/>
          <w:sz w:val="24"/>
          <w:szCs w:val="24"/>
        </w:rPr>
        <w:t xml:space="preserve">Държавните културни институти (ДКИ) в областта на сценичните изкуства предприемат подходящи мерки, предназначени да дадат </w:t>
      </w:r>
      <w:r w:rsidR="00836828" w:rsidRPr="006C13DF">
        <w:rPr>
          <w:rFonts w:ascii="Times New Roman" w:eastAsia="Calibri" w:hAnsi="Times New Roman" w:cs="Times New Roman"/>
          <w:sz w:val="24"/>
          <w:szCs w:val="24"/>
        </w:rPr>
        <w:t>на възрастните хора възможност</w:t>
      </w:r>
      <w:r w:rsidR="00836828" w:rsidRPr="006C13DF">
        <w:rPr>
          <w:rFonts w:ascii="Times New Roman" w:eastAsia="Calibri" w:hAnsi="Times New Roman" w:cs="Times New Roman"/>
          <w:sz w:val="24"/>
          <w:szCs w:val="24"/>
          <w:lang w:val="en-US"/>
        </w:rPr>
        <w:t xml:space="preserve"> </w:t>
      </w:r>
      <w:r w:rsidR="00836828" w:rsidRPr="006C13DF">
        <w:rPr>
          <w:rFonts w:ascii="Times New Roman" w:eastAsia="Calibri" w:hAnsi="Times New Roman" w:cs="Times New Roman"/>
          <w:bCs/>
          <w:sz w:val="24"/>
          <w:szCs w:val="24"/>
        </w:rPr>
        <w:t>да останат пълноценни членове на обществото възможно най-дълго.</w:t>
      </w:r>
      <w:r w:rsidR="00836828" w:rsidRPr="006C13DF">
        <w:rPr>
          <w:rFonts w:ascii="Times New Roman" w:eastAsia="Calibri" w:hAnsi="Times New Roman" w:cs="Times New Roman"/>
          <w:sz w:val="24"/>
          <w:szCs w:val="24"/>
          <w:lang w:val="en-US"/>
        </w:rPr>
        <w:t xml:space="preserve"> </w:t>
      </w:r>
      <w:r w:rsidRPr="006C13DF">
        <w:rPr>
          <w:rFonts w:ascii="Times New Roman" w:eastAsia="Calibri" w:hAnsi="Times New Roman" w:cs="Times New Roman"/>
          <w:sz w:val="24"/>
          <w:szCs w:val="24"/>
        </w:rPr>
        <w:t>Това става с различни политики и средства, които да подобрят възможностите на възрастните хора за активно участие в обществения, социалния и културен живот, като им създадат подходящи условия за посещаемост на театрални постановки на преференциални цени, като създадат творчески продукт, в който участват артисти доайени и др.</w:t>
      </w:r>
      <w:r w:rsidR="00836828" w:rsidRPr="006C13DF">
        <w:rPr>
          <w:rFonts w:ascii="Times New Roman" w:eastAsia="Calibri" w:hAnsi="Times New Roman" w:cs="Times New Roman"/>
          <w:sz w:val="24"/>
          <w:szCs w:val="24"/>
          <w:lang w:val="en-US"/>
        </w:rPr>
        <w:t xml:space="preserve"> </w:t>
      </w:r>
    </w:p>
    <w:p w14:paraId="4B965A4F" w14:textId="77777777" w:rsidR="00EF6E9E" w:rsidRPr="006C13DF" w:rsidRDefault="00EF6E9E" w:rsidP="00EF6E9E">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Политиката на ДКИ в тази насока се основава на две поставени цели: пр</w:t>
      </w:r>
      <w:r w:rsidR="00836828" w:rsidRPr="006C13DF">
        <w:rPr>
          <w:rFonts w:ascii="Times New Roman" w:eastAsia="Calibri" w:hAnsi="Times New Roman" w:cs="Times New Roman"/>
          <w:sz w:val="24"/>
          <w:szCs w:val="24"/>
        </w:rPr>
        <w:t>иемственост и равнопоставеност.</w:t>
      </w:r>
      <w:r w:rsidR="00836828" w:rsidRPr="006C13DF">
        <w:rPr>
          <w:rFonts w:ascii="Times New Roman" w:eastAsia="Calibri" w:hAnsi="Times New Roman" w:cs="Times New Roman"/>
          <w:sz w:val="24"/>
          <w:szCs w:val="24"/>
          <w:lang w:val="en-US"/>
        </w:rPr>
        <w:t xml:space="preserve"> </w:t>
      </w:r>
      <w:r w:rsidRPr="006C13DF">
        <w:rPr>
          <w:rFonts w:ascii="Times New Roman" w:eastAsia="Calibri" w:hAnsi="Times New Roman" w:cs="Times New Roman"/>
          <w:sz w:val="24"/>
          <w:szCs w:val="24"/>
        </w:rPr>
        <w:t>В държавните културни инст</w:t>
      </w:r>
      <w:r w:rsidR="00836828" w:rsidRPr="006C13DF">
        <w:rPr>
          <w:rFonts w:ascii="Times New Roman" w:eastAsia="Calibri" w:hAnsi="Times New Roman" w:cs="Times New Roman"/>
          <w:sz w:val="24"/>
          <w:szCs w:val="24"/>
        </w:rPr>
        <w:t>итути се планира реализирането/</w:t>
      </w:r>
      <w:r w:rsidRPr="006C13DF">
        <w:rPr>
          <w:rFonts w:ascii="Times New Roman" w:eastAsia="Calibri" w:hAnsi="Times New Roman" w:cs="Times New Roman"/>
          <w:sz w:val="24"/>
          <w:szCs w:val="24"/>
        </w:rPr>
        <w:t>поставянето на спектакли/концерти с участието на артисти в пенсионна възраст, също така в щатнит</w:t>
      </w:r>
      <w:r w:rsidR="00836828" w:rsidRPr="006C13DF">
        <w:rPr>
          <w:rFonts w:ascii="Times New Roman" w:eastAsia="Calibri" w:hAnsi="Times New Roman" w:cs="Times New Roman"/>
          <w:sz w:val="24"/>
          <w:szCs w:val="24"/>
        </w:rPr>
        <w:t>е разписания на театрите има не</w:t>
      </w:r>
      <w:r w:rsidRPr="006C13DF">
        <w:rPr>
          <w:rFonts w:ascii="Times New Roman" w:eastAsia="Calibri" w:hAnsi="Times New Roman" w:cs="Times New Roman"/>
          <w:sz w:val="24"/>
          <w:szCs w:val="24"/>
        </w:rPr>
        <w:t xml:space="preserve">малко артисти – доайени. </w:t>
      </w:r>
    </w:p>
    <w:p w14:paraId="62135B6B" w14:textId="77777777" w:rsidR="00EF6E9E" w:rsidRPr="006C13DF" w:rsidRDefault="00EF6E9E" w:rsidP="00836828">
      <w:pPr>
        <w:spacing w:after="0" w:line="240" w:lineRule="auto"/>
        <w:ind w:firstLine="709"/>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Също така подкрепените творчески проекти в ра</w:t>
      </w:r>
      <w:r w:rsidR="00836828" w:rsidRPr="006C13DF">
        <w:rPr>
          <w:rFonts w:ascii="Times New Roman" w:eastAsia="Calibri" w:hAnsi="Times New Roman" w:cs="Times New Roman"/>
          <w:sz w:val="24"/>
          <w:szCs w:val="24"/>
        </w:rPr>
        <w:t xml:space="preserve">мките на конкурсните сесии на Министерството на културата за периода 2023 – </w:t>
      </w:r>
      <w:r w:rsidRPr="006C13DF">
        <w:rPr>
          <w:rFonts w:ascii="Times New Roman" w:eastAsia="Calibri" w:hAnsi="Times New Roman" w:cs="Times New Roman"/>
          <w:sz w:val="24"/>
          <w:szCs w:val="24"/>
        </w:rPr>
        <w:t>2024 г., реализирани на територията на България, са източник на селектирано и качествено културно съдържание, достъпно за всички хора, независимо от техния социален статус, пряко ангажирани с популяризирането и разпространението на културни ценности и в най-отдалечените региони на страната.</w:t>
      </w:r>
    </w:p>
    <w:p w14:paraId="1BA70618" w14:textId="77777777" w:rsidR="00EF6E9E" w:rsidRPr="006C13DF" w:rsidRDefault="00692683" w:rsidP="00692683">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EF6E9E" w:rsidRPr="006C13DF">
        <w:rPr>
          <w:rFonts w:ascii="Times New Roman" w:eastAsia="Calibri" w:hAnsi="Times New Roman" w:cs="Times New Roman"/>
          <w:sz w:val="24"/>
          <w:szCs w:val="24"/>
        </w:rPr>
        <w:t>По програми на Министерството на културата се подкрепя финансово реализирането на различни проекти и инициативи, допринасящи за по-ефективното използване на творческия, артистичния и интелектуален потенциал на хората с различен социален статус и насърчаване на тяхното пълноправно участие в културния живот на страната. Подкрепата на такива</w:t>
      </w:r>
      <w:r w:rsidR="00836828" w:rsidRPr="006C13DF">
        <w:rPr>
          <w:rFonts w:ascii="Times New Roman" w:eastAsia="Calibri" w:hAnsi="Times New Roman" w:cs="Times New Roman"/>
          <w:sz w:val="24"/>
          <w:szCs w:val="24"/>
        </w:rPr>
        <w:t xml:space="preserve"> проекти следва да се разглежда</w:t>
      </w:r>
      <w:r w:rsidR="00EF6E9E" w:rsidRPr="006C13DF">
        <w:rPr>
          <w:rFonts w:ascii="Times New Roman" w:eastAsia="Calibri" w:hAnsi="Times New Roman" w:cs="Times New Roman"/>
          <w:sz w:val="24"/>
          <w:szCs w:val="24"/>
        </w:rPr>
        <w:t xml:space="preserve"> както като приоритетна политика, така и като потенциален, непрестанен ангажимент към хората с различен социален статус и към техните потребности. Творческите сесии са изцяло съобразени с принципа на равнопоставеност на творци и на граждани, потребители и създатели на културен продукт или на видове изкуства.</w:t>
      </w:r>
    </w:p>
    <w:p w14:paraId="71A1819C" w14:textId="77777777" w:rsidR="00C22ABC" w:rsidRPr="006C13DF" w:rsidRDefault="00692683" w:rsidP="002B5765">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r w:rsidR="00EF6E9E" w:rsidRPr="006C13DF">
        <w:rPr>
          <w:rFonts w:ascii="Times New Roman" w:eastAsia="Calibri" w:hAnsi="Times New Roman" w:cs="Times New Roman"/>
          <w:sz w:val="24"/>
          <w:szCs w:val="24"/>
        </w:rPr>
        <w:t xml:space="preserve">Чрез </w:t>
      </w:r>
      <w:r w:rsidR="00EF6E9E" w:rsidRPr="00CF553F">
        <w:rPr>
          <w:rFonts w:ascii="Times New Roman" w:eastAsia="Calibri" w:hAnsi="Times New Roman" w:cs="Times New Roman"/>
          <w:b/>
          <w:sz w:val="24"/>
          <w:szCs w:val="24"/>
        </w:rPr>
        <w:t>Националната програма „Мелпомена”</w:t>
      </w:r>
      <w:r w:rsidR="00D01C6D" w:rsidRPr="006C13DF">
        <w:rPr>
          <w:rFonts w:ascii="Times New Roman" w:eastAsia="Calibri" w:hAnsi="Times New Roman" w:cs="Times New Roman"/>
          <w:sz w:val="24"/>
          <w:szCs w:val="24"/>
        </w:rPr>
        <w:t>, създадена от Съюза на артистите в България,</w:t>
      </w:r>
      <w:r w:rsidR="00EF6E9E" w:rsidRPr="006C13DF">
        <w:rPr>
          <w:rFonts w:ascii="Times New Roman" w:eastAsia="Calibri" w:hAnsi="Times New Roman" w:cs="Times New Roman"/>
          <w:sz w:val="24"/>
          <w:szCs w:val="24"/>
        </w:rPr>
        <w:t xml:space="preserve"> се осигурява заетостта на специфични длъжности и професии в областта на сценичното театрално изкуство с висше и средно образование. В настоящия момент </w:t>
      </w:r>
      <w:r w:rsidR="00EF6E9E" w:rsidRPr="006C13DF">
        <w:rPr>
          <w:rFonts w:ascii="Times New Roman" w:eastAsia="Calibri" w:hAnsi="Times New Roman" w:cs="Times New Roman"/>
          <w:sz w:val="24"/>
          <w:szCs w:val="24"/>
        </w:rPr>
        <w:lastRenderedPageBreak/>
        <w:t>Програмата е включена в Националния план за действие по заетостта на Министерство на труда и социалната политика, финансира се изцяло от държавния б</w:t>
      </w:r>
      <w:r w:rsidR="00D01C6D" w:rsidRPr="006C13DF">
        <w:rPr>
          <w:rFonts w:ascii="Times New Roman" w:eastAsia="Calibri" w:hAnsi="Times New Roman" w:cs="Times New Roman"/>
          <w:sz w:val="24"/>
          <w:szCs w:val="24"/>
        </w:rPr>
        <w:t xml:space="preserve">юджет и има национален обхват. </w:t>
      </w:r>
      <w:r w:rsidR="00EF6E9E" w:rsidRPr="006C13DF">
        <w:rPr>
          <w:rFonts w:ascii="Times New Roman" w:eastAsia="Calibri" w:hAnsi="Times New Roman" w:cs="Times New Roman"/>
          <w:sz w:val="24"/>
          <w:szCs w:val="24"/>
        </w:rPr>
        <w:t>Целта на програмата е предаване на натрупания опит между поколенията и насърчаване на приемствеността за съхранение и р</w:t>
      </w:r>
      <w:r w:rsidR="00D01C6D" w:rsidRPr="006C13DF">
        <w:rPr>
          <w:rFonts w:ascii="Times New Roman" w:eastAsia="Calibri" w:hAnsi="Times New Roman" w:cs="Times New Roman"/>
          <w:sz w:val="24"/>
          <w:szCs w:val="24"/>
        </w:rPr>
        <w:t xml:space="preserve">азвитие на културните ценности. </w:t>
      </w:r>
      <w:r w:rsidR="00EF6E9E" w:rsidRPr="006C13DF">
        <w:rPr>
          <w:rFonts w:ascii="Times New Roman" w:eastAsia="Calibri" w:hAnsi="Times New Roman" w:cs="Times New Roman"/>
          <w:sz w:val="24"/>
          <w:szCs w:val="24"/>
        </w:rPr>
        <w:t>Националната програма „Мелпомена” трайно се е дока</w:t>
      </w:r>
      <w:r w:rsidR="00D01C6D" w:rsidRPr="006C13DF">
        <w:rPr>
          <w:rFonts w:ascii="Times New Roman" w:eastAsia="Calibri" w:hAnsi="Times New Roman" w:cs="Times New Roman"/>
          <w:sz w:val="24"/>
          <w:szCs w:val="24"/>
        </w:rPr>
        <w:t>зала като действаща и ефективна</w:t>
      </w:r>
      <w:r w:rsidR="00EF6E9E" w:rsidRPr="006C13DF">
        <w:rPr>
          <w:rFonts w:ascii="Times New Roman" w:eastAsia="Calibri" w:hAnsi="Times New Roman" w:cs="Times New Roman"/>
          <w:sz w:val="24"/>
          <w:szCs w:val="24"/>
        </w:rPr>
        <w:t xml:space="preserve"> и като инструмент за намаляване на безработицата в специфичната сфера на културата</w:t>
      </w:r>
      <w:r w:rsidR="00D01C6D" w:rsidRPr="006C13DF">
        <w:rPr>
          <w:rFonts w:ascii="Times New Roman" w:eastAsia="Calibri" w:hAnsi="Times New Roman" w:cs="Times New Roman"/>
          <w:sz w:val="24"/>
          <w:szCs w:val="24"/>
        </w:rPr>
        <w:t xml:space="preserve">. </w:t>
      </w:r>
      <w:r w:rsidR="00EF6E9E" w:rsidRPr="006C13DF">
        <w:rPr>
          <w:rFonts w:ascii="Times New Roman" w:eastAsia="Calibri" w:hAnsi="Times New Roman" w:cs="Times New Roman"/>
          <w:sz w:val="24"/>
          <w:szCs w:val="24"/>
        </w:rPr>
        <w:t>Едновременно с това тя дава възможност на артисти в пенсионна възраст,  достойно да завършат професионалният си път</w:t>
      </w:r>
      <w:r w:rsidR="00D01C6D" w:rsidRPr="006C13DF">
        <w:rPr>
          <w:rFonts w:ascii="Times New Roman" w:eastAsia="Calibri" w:hAnsi="Times New Roman" w:cs="Times New Roman"/>
          <w:sz w:val="24"/>
          <w:szCs w:val="24"/>
        </w:rPr>
        <w:t>,</w:t>
      </w:r>
      <w:r w:rsidR="00EF6E9E" w:rsidRPr="006C13DF">
        <w:rPr>
          <w:rFonts w:ascii="Times New Roman" w:eastAsia="Calibri" w:hAnsi="Times New Roman" w:cs="Times New Roman"/>
          <w:sz w:val="24"/>
          <w:szCs w:val="24"/>
        </w:rPr>
        <w:t xml:space="preserve"> предавайки своя опит на по-млади свои колеги. Всички заети по програмата са включени в репертоара на театрите с изключителна натовареност наравно с колегите им, които са в щатното разписание.</w:t>
      </w:r>
    </w:p>
    <w:p w14:paraId="5BF63508" w14:textId="77777777" w:rsidR="00692683" w:rsidRPr="006C13DF" w:rsidRDefault="00692683" w:rsidP="00692683">
      <w:pPr>
        <w:spacing w:after="0" w:line="240" w:lineRule="auto"/>
        <w:jc w:val="center"/>
        <w:rPr>
          <w:rFonts w:ascii="Times New Roman" w:eastAsia="Times New Roman" w:hAnsi="Times New Roman" w:cs="Times New Roman"/>
          <w:sz w:val="23"/>
          <w:szCs w:val="23"/>
          <w:lang w:val="bg"/>
        </w:rPr>
      </w:pPr>
    </w:p>
    <w:p w14:paraId="0F5D5B63" w14:textId="77777777" w:rsidR="00692683" w:rsidRPr="006C13DF" w:rsidRDefault="00692683" w:rsidP="006008E8">
      <w:pPr>
        <w:spacing w:after="0" w:line="240" w:lineRule="auto"/>
        <w:jc w:val="center"/>
        <w:rPr>
          <w:rFonts w:ascii="Times New Roman" w:hAnsi="Times New Roman" w:cs="Times New Roman"/>
          <w:b/>
          <w:color w:val="ED7D31" w:themeColor="accent2"/>
          <w:sz w:val="24"/>
          <w:szCs w:val="24"/>
        </w:rPr>
      </w:pPr>
      <w:r w:rsidRPr="006C13DF">
        <w:rPr>
          <w:rFonts w:ascii="Times New Roman" w:eastAsia="Calibri" w:hAnsi="Times New Roman" w:cs="Times New Roman"/>
          <w:b/>
          <w:caps/>
          <w:color w:val="C0504D"/>
          <w:sz w:val="24"/>
          <w:szCs w:val="24"/>
        </w:rPr>
        <w:t>Министерство на</w:t>
      </w:r>
      <w:r w:rsidRPr="006C13DF">
        <w:rPr>
          <w:rFonts w:ascii="Times New Roman" w:eastAsia="Calibri" w:hAnsi="Times New Roman" w:cs="Times New Roman"/>
          <w:b/>
          <w:caps/>
          <w:color w:val="C0504D"/>
          <w:sz w:val="24"/>
          <w:szCs w:val="24"/>
          <w:lang w:val="en-US"/>
        </w:rPr>
        <w:t xml:space="preserve"> </w:t>
      </w:r>
      <w:r w:rsidRPr="006C13DF">
        <w:rPr>
          <w:rFonts w:ascii="Times New Roman" w:eastAsia="Calibri" w:hAnsi="Times New Roman" w:cs="Times New Roman"/>
          <w:b/>
          <w:caps/>
          <w:color w:val="C0504D"/>
          <w:sz w:val="24"/>
          <w:szCs w:val="24"/>
        </w:rPr>
        <w:t>КУЛТУРАТА</w:t>
      </w:r>
    </w:p>
    <w:p w14:paraId="0B879286" w14:textId="77777777" w:rsidR="00692683" w:rsidRPr="006C13DF" w:rsidRDefault="00692683" w:rsidP="006008E8">
      <w:pPr>
        <w:spacing w:after="0" w:line="240" w:lineRule="auto"/>
        <w:jc w:val="both"/>
        <w:rPr>
          <w:rFonts w:ascii="Times New Roman" w:eastAsia="Calibri" w:hAnsi="Times New Roman" w:cs="Times New Roman"/>
          <w:sz w:val="24"/>
          <w:szCs w:val="24"/>
        </w:rPr>
      </w:pPr>
    </w:p>
    <w:p w14:paraId="6B0CE2F0" w14:textId="77777777" w:rsidR="00692683" w:rsidRPr="006C13DF" w:rsidRDefault="002B5765" w:rsidP="006008E8">
      <w:pPr>
        <w:spacing w:after="0" w:line="240" w:lineRule="auto"/>
        <w:jc w:val="both"/>
        <w:rPr>
          <w:rFonts w:ascii="Times New Roman" w:eastAsia="Times New Roman" w:hAnsi="Times New Roman" w:cs="Times New Roman"/>
          <w:b/>
          <w:color w:val="000000" w:themeColor="text1"/>
          <w:sz w:val="24"/>
          <w:szCs w:val="24"/>
          <w:lang w:eastAsia="bg-BG"/>
        </w:rPr>
      </w:pPr>
      <w:r w:rsidRPr="006C13DF">
        <w:rPr>
          <w:rFonts w:ascii="Times New Roman" w:eastAsia="Times New Roman" w:hAnsi="Times New Roman" w:cs="Times New Roman"/>
          <w:b/>
          <w:color w:val="000000" w:themeColor="text1"/>
          <w:sz w:val="24"/>
          <w:szCs w:val="24"/>
          <w:lang w:eastAsia="bg-BG"/>
        </w:rPr>
        <w:t>2.1.3. Приобщаване на възрастните хора към културен живот чрез финансова подкрепа на творчески проекти по програми в областта на книгоиздаването, литературата, общест</w:t>
      </w:r>
      <w:r w:rsidR="00CF553F">
        <w:rPr>
          <w:rFonts w:ascii="Times New Roman" w:eastAsia="Times New Roman" w:hAnsi="Times New Roman" w:cs="Times New Roman"/>
          <w:b/>
          <w:color w:val="000000" w:themeColor="text1"/>
          <w:sz w:val="24"/>
          <w:szCs w:val="24"/>
          <w:lang w:eastAsia="bg-BG"/>
        </w:rPr>
        <w:t>вените библиотеки и читалищата</w:t>
      </w:r>
    </w:p>
    <w:p w14:paraId="686AFD3B" w14:textId="77777777" w:rsidR="00692683" w:rsidRPr="006C13DF" w:rsidRDefault="00692683" w:rsidP="006008E8">
      <w:pPr>
        <w:spacing w:after="0" w:line="240" w:lineRule="auto"/>
        <w:jc w:val="both"/>
        <w:rPr>
          <w:rFonts w:ascii="Times New Roman" w:eastAsia="Times New Roman" w:hAnsi="Times New Roman" w:cs="Times New Roman"/>
          <w:b/>
          <w:color w:val="000000" w:themeColor="text1"/>
          <w:sz w:val="24"/>
          <w:szCs w:val="24"/>
          <w:lang w:eastAsia="bg-BG"/>
        </w:rPr>
      </w:pPr>
    </w:p>
    <w:p w14:paraId="6B81BDF0" w14:textId="77777777" w:rsidR="00692683" w:rsidRPr="006C13DF" w:rsidRDefault="00692683" w:rsidP="006008E8">
      <w:pPr>
        <w:spacing w:after="0" w:line="240" w:lineRule="auto"/>
        <w:ind w:firstLine="709"/>
        <w:jc w:val="both"/>
        <w:rPr>
          <w:rFonts w:ascii="Times New Roman" w:eastAsia="Times New Roman" w:hAnsi="Times New Roman" w:cs="Times New Roman"/>
          <w:sz w:val="24"/>
          <w:szCs w:val="24"/>
          <w:lang w:eastAsia="bg-BG" w:bidi="bg-BG"/>
        </w:rPr>
      </w:pPr>
      <w:r w:rsidRPr="006C13DF">
        <w:rPr>
          <w:rFonts w:ascii="Times New Roman" w:eastAsia="Times New Roman" w:hAnsi="Times New Roman" w:cs="Times New Roman"/>
          <w:sz w:val="24"/>
          <w:szCs w:val="24"/>
          <w:lang w:eastAsia="bg-BG"/>
        </w:rPr>
        <w:t>С оглед на устойчивото развитие на тези най-разпространени и достъпни културни институции в страната, както и подкрепа на проекти на физически лица в областта на литературното творчество, Министерството на културата продължи да подк</w:t>
      </w:r>
      <w:r w:rsidR="006008E8" w:rsidRPr="006C13DF">
        <w:rPr>
          <w:rFonts w:ascii="Times New Roman" w:eastAsia="Times New Roman" w:hAnsi="Times New Roman" w:cs="Times New Roman"/>
          <w:sz w:val="24"/>
          <w:szCs w:val="24"/>
          <w:lang w:eastAsia="bg-BG"/>
        </w:rPr>
        <w:t xml:space="preserve">репя </w:t>
      </w:r>
      <w:r w:rsidRPr="006C13DF">
        <w:rPr>
          <w:rFonts w:ascii="Times New Roman" w:eastAsia="Times New Roman" w:hAnsi="Times New Roman" w:cs="Times New Roman"/>
          <w:sz w:val="24"/>
          <w:szCs w:val="24"/>
          <w:lang w:eastAsia="bg-BG"/>
        </w:rPr>
        <w:t>библиотеките и читалищата, като чрез своя бюджет е подпомогнало финансирането на творчески проекти</w:t>
      </w:r>
      <w:r w:rsidRPr="006C13DF">
        <w:rPr>
          <w:rFonts w:ascii="Times New Roman" w:eastAsia="Times New Roman" w:hAnsi="Times New Roman" w:cs="Times New Roman"/>
          <w:sz w:val="24"/>
          <w:szCs w:val="24"/>
          <w:lang w:eastAsia="bg-BG" w:bidi="bg-BG"/>
        </w:rPr>
        <w:t xml:space="preserve"> и индивидуални творци, участващи в конкурсните сесии по програмите на министерството. За периода 2023</w:t>
      </w:r>
      <w:r w:rsidR="006008E8" w:rsidRPr="006C13DF">
        <w:rPr>
          <w:rFonts w:ascii="Times New Roman" w:eastAsia="Times New Roman" w:hAnsi="Times New Roman" w:cs="Times New Roman"/>
          <w:sz w:val="24"/>
          <w:szCs w:val="24"/>
          <w:lang w:eastAsia="bg-BG" w:bidi="bg-BG"/>
        </w:rPr>
        <w:t xml:space="preserve"> – </w:t>
      </w:r>
      <w:r w:rsidRPr="006C13DF">
        <w:rPr>
          <w:rFonts w:ascii="Times New Roman" w:eastAsia="Times New Roman" w:hAnsi="Times New Roman" w:cs="Times New Roman"/>
          <w:sz w:val="24"/>
          <w:szCs w:val="24"/>
          <w:lang w:eastAsia="bg-BG" w:bidi="bg-BG"/>
        </w:rPr>
        <w:t>2024 г. са проведени следните конкурсни сесии:</w:t>
      </w:r>
    </w:p>
    <w:p w14:paraId="6B60838A" w14:textId="77777777" w:rsidR="00692683" w:rsidRPr="006C13DF" w:rsidRDefault="00692683" w:rsidP="00554703">
      <w:pPr>
        <w:pStyle w:val="ListParagraph"/>
        <w:numPr>
          <w:ilvl w:val="0"/>
          <w:numId w:val="16"/>
        </w:numPr>
        <w:spacing w:after="0" w:line="240" w:lineRule="auto"/>
        <w:ind w:left="0" w:firstLine="360"/>
        <w:jc w:val="both"/>
        <w:rPr>
          <w:rFonts w:ascii="Times New Roman" w:eastAsia="Times New Roman" w:hAnsi="Times New Roman" w:cs="Times New Roman"/>
          <w:sz w:val="24"/>
          <w:szCs w:val="24"/>
          <w:lang w:eastAsia="bg-BG" w:bidi="bg-BG"/>
        </w:rPr>
      </w:pPr>
      <w:r w:rsidRPr="006C13DF">
        <w:rPr>
          <w:rFonts w:ascii="Times New Roman" w:hAnsi="Times New Roman" w:cs="Times New Roman"/>
          <w:sz w:val="24"/>
          <w:szCs w:val="24"/>
        </w:rPr>
        <w:t xml:space="preserve">2 </w:t>
      </w:r>
      <w:r w:rsidRPr="006C13DF">
        <w:rPr>
          <w:rFonts w:ascii="Times New Roman" w:eastAsia="Book Antiqua" w:hAnsi="Times New Roman" w:cs="Times New Roman"/>
          <w:sz w:val="24"/>
          <w:szCs w:val="24"/>
          <w:lang w:bidi="bg-BG"/>
        </w:rPr>
        <w:t xml:space="preserve">конкурсни сесии по програма </w:t>
      </w:r>
      <w:r w:rsidRPr="006C13DF">
        <w:rPr>
          <w:rFonts w:ascii="Times New Roman" w:eastAsia="Book Antiqua" w:hAnsi="Times New Roman" w:cs="Times New Roman"/>
          <w:b/>
          <w:sz w:val="24"/>
          <w:szCs w:val="24"/>
          <w:lang w:bidi="bg-BG"/>
        </w:rPr>
        <w:t>„Българските библиотеки – съвременни центрове за четене и информираност“</w:t>
      </w:r>
      <w:r w:rsidRPr="006C13DF">
        <w:rPr>
          <w:rFonts w:ascii="Times New Roman" w:eastAsia="Book Antiqua" w:hAnsi="Times New Roman" w:cs="Times New Roman"/>
          <w:sz w:val="24"/>
          <w:szCs w:val="24"/>
          <w:lang w:bidi="bg-BG"/>
        </w:rPr>
        <w:t xml:space="preserve"> за обогатяване фондовете на обществените и </w:t>
      </w:r>
      <w:r w:rsidRPr="006C13DF">
        <w:rPr>
          <w:rFonts w:ascii="Times New Roman" w:hAnsi="Times New Roman" w:cs="Times New Roman"/>
          <w:sz w:val="24"/>
          <w:szCs w:val="24"/>
        </w:rPr>
        <w:t xml:space="preserve">читалищни библиотеки във всички региони на страната, включително и в малките населени места. </w:t>
      </w:r>
      <w:r w:rsidRPr="006C13DF">
        <w:rPr>
          <w:rFonts w:ascii="Times New Roman" w:eastAsia="Book Antiqua" w:hAnsi="Times New Roman" w:cs="Times New Roman"/>
          <w:sz w:val="24"/>
          <w:szCs w:val="24"/>
          <w:lang w:bidi="bg-BG"/>
        </w:rPr>
        <w:t xml:space="preserve">Програмата цели </w:t>
      </w:r>
      <w:r w:rsidRPr="006C13DF">
        <w:rPr>
          <w:rFonts w:ascii="Times New Roman" w:hAnsi="Times New Roman" w:cs="Times New Roman"/>
          <w:sz w:val="24"/>
          <w:szCs w:val="24"/>
        </w:rPr>
        <w:t>подобряване на условията в обществените библиотеки и читалищата като центрове за неформално и самостоятелно учене и предоставяне на безплатен достъп до нови книги, специализирани издания, според спецификата на потребителите на библиотеките. Сесиите са с бюджет от 2 млн. лв. всяка, като през 202</w:t>
      </w:r>
      <w:r w:rsidRPr="006C13DF">
        <w:rPr>
          <w:rFonts w:ascii="Times New Roman" w:hAnsi="Times New Roman" w:cs="Times New Roman"/>
          <w:sz w:val="24"/>
          <w:szCs w:val="24"/>
          <w:lang w:val="en-US"/>
        </w:rPr>
        <w:t>3</w:t>
      </w:r>
      <w:r w:rsidRPr="006C13DF">
        <w:rPr>
          <w:rFonts w:ascii="Times New Roman" w:hAnsi="Times New Roman" w:cs="Times New Roman"/>
          <w:sz w:val="24"/>
          <w:szCs w:val="24"/>
        </w:rPr>
        <w:t xml:space="preserve"> г. са подкрепени </w:t>
      </w:r>
      <w:r w:rsidRPr="006C13DF">
        <w:rPr>
          <w:rFonts w:ascii="Times New Roman" w:hAnsi="Times New Roman" w:cs="Times New Roman"/>
          <w:sz w:val="24"/>
          <w:szCs w:val="24"/>
          <w:lang w:val="en-US"/>
        </w:rPr>
        <w:t>1</w:t>
      </w:r>
      <w:r w:rsidRPr="006C13DF">
        <w:rPr>
          <w:rFonts w:ascii="Times New Roman" w:hAnsi="Times New Roman" w:cs="Times New Roman"/>
          <w:sz w:val="24"/>
          <w:szCs w:val="24"/>
        </w:rPr>
        <w:t xml:space="preserve">171 проекта, а през 2024 г. подкрепените проекти са </w:t>
      </w:r>
      <w:r w:rsidRPr="006C13DF">
        <w:rPr>
          <w:rFonts w:ascii="Times New Roman" w:hAnsi="Times New Roman" w:cs="Times New Roman"/>
          <w:sz w:val="24"/>
          <w:szCs w:val="24"/>
          <w:lang w:val="en-US"/>
        </w:rPr>
        <w:t>1235</w:t>
      </w:r>
      <w:r w:rsidRPr="006C13DF">
        <w:rPr>
          <w:rFonts w:ascii="Times New Roman" w:hAnsi="Times New Roman" w:cs="Times New Roman"/>
          <w:sz w:val="24"/>
          <w:szCs w:val="24"/>
        </w:rPr>
        <w:t>.</w:t>
      </w:r>
    </w:p>
    <w:p w14:paraId="70A33FF0" w14:textId="77777777" w:rsidR="00692683" w:rsidRPr="006C13DF" w:rsidRDefault="00692683" w:rsidP="00554703">
      <w:pPr>
        <w:pStyle w:val="ListParagraph"/>
        <w:numPr>
          <w:ilvl w:val="0"/>
          <w:numId w:val="16"/>
        </w:numPr>
        <w:spacing w:after="0" w:line="240" w:lineRule="auto"/>
        <w:ind w:left="0" w:firstLine="360"/>
        <w:jc w:val="both"/>
        <w:rPr>
          <w:rFonts w:ascii="Times New Roman" w:eastAsia="Times New Roman" w:hAnsi="Times New Roman" w:cs="Times New Roman"/>
          <w:sz w:val="24"/>
          <w:szCs w:val="24"/>
          <w:lang w:eastAsia="bg-BG" w:bidi="bg-BG"/>
        </w:rPr>
      </w:pPr>
      <w:r w:rsidRPr="006C13DF">
        <w:rPr>
          <w:rFonts w:ascii="Times New Roman" w:hAnsi="Times New Roman" w:cs="Times New Roman"/>
          <w:sz w:val="24"/>
          <w:szCs w:val="24"/>
        </w:rPr>
        <w:t xml:space="preserve">2 </w:t>
      </w:r>
      <w:r w:rsidRPr="006C13DF">
        <w:rPr>
          <w:rFonts w:ascii="Times New Roman" w:eastAsia="Book Antiqua" w:hAnsi="Times New Roman" w:cs="Times New Roman"/>
          <w:sz w:val="24"/>
          <w:szCs w:val="24"/>
          <w:lang w:bidi="bg-BG"/>
        </w:rPr>
        <w:t xml:space="preserve">конкурсни сесии по програма </w:t>
      </w:r>
      <w:r w:rsidRPr="006C13DF">
        <w:rPr>
          <w:rFonts w:ascii="Times New Roman" w:eastAsia="Book Antiqua" w:hAnsi="Times New Roman" w:cs="Times New Roman"/>
          <w:b/>
          <w:sz w:val="24"/>
          <w:szCs w:val="24"/>
          <w:lang w:bidi="bg-BG"/>
        </w:rPr>
        <w:t>„Помощ за книгата“</w:t>
      </w:r>
      <w:r w:rsidRPr="006C13DF">
        <w:rPr>
          <w:rFonts w:ascii="Times New Roman" w:eastAsia="Book Antiqua" w:hAnsi="Times New Roman" w:cs="Times New Roman"/>
          <w:sz w:val="24"/>
          <w:szCs w:val="24"/>
          <w:lang w:bidi="bg-BG"/>
        </w:rPr>
        <w:t xml:space="preserve"> за </w:t>
      </w:r>
      <w:r w:rsidRPr="006C13DF">
        <w:rPr>
          <w:rFonts w:ascii="Times New Roman" w:hAnsi="Times New Roman" w:cs="Times New Roman"/>
          <w:sz w:val="24"/>
          <w:szCs w:val="24"/>
        </w:rPr>
        <w:t xml:space="preserve">развитие на българския книжен сектор чрез </w:t>
      </w:r>
      <w:r w:rsidRPr="006C13DF">
        <w:rPr>
          <w:rFonts w:ascii="Times New Roman" w:eastAsia="Book Antiqua" w:hAnsi="Times New Roman" w:cs="Times New Roman"/>
          <w:sz w:val="24"/>
          <w:szCs w:val="24"/>
          <w:lang w:bidi="bg-BG"/>
        </w:rPr>
        <w:t>финансово подпомагане издаването на нови книги – художествена литература и научни изследвания в областта на културното наследство и съвременните изкуства.</w:t>
      </w:r>
      <w:r w:rsidRPr="006C13DF">
        <w:rPr>
          <w:rFonts w:ascii="Times New Roman" w:hAnsi="Times New Roman" w:cs="Times New Roman"/>
          <w:sz w:val="24"/>
          <w:szCs w:val="24"/>
        </w:rPr>
        <w:t xml:space="preserve"> Чрез програмата се насърчава развитието на съвременни писатели и поети, както и на изследователи в областта на културното наследство. Издават се нови заглавия с актуални и иновативни теми на утвърдени или дебютиращи автори. За 202</w:t>
      </w:r>
      <w:r w:rsidRPr="006C13DF">
        <w:rPr>
          <w:rFonts w:ascii="Times New Roman" w:hAnsi="Times New Roman" w:cs="Times New Roman"/>
          <w:sz w:val="24"/>
          <w:szCs w:val="24"/>
          <w:lang w:val="en-US"/>
        </w:rPr>
        <w:t>3</w:t>
      </w:r>
      <w:r w:rsidRPr="006C13DF">
        <w:rPr>
          <w:rFonts w:ascii="Times New Roman" w:hAnsi="Times New Roman" w:cs="Times New Roman"/>
          <w:sz w:val="24"/>
          <w:szCs w:val="24"/>
        </w:rPr>
        <w:t xml:space="preserve"> г. сесията е с бюджет в размер на </w:t>
      </w:r>
      <w:r w:rsidRPr="006C13DF">
        <w:rPr>
          <w:rFonts w:ascii="Times New Roman" w:hAnsi="Times New Roman" w:cs="Times New Roman"/>
          <w:sz w:val="24"/>
          <w:szCs w:val="24"/>
          <w:lang w:val="en-US"/>
        </w:rPr>
        <w:t>2</w:t>
      </w:r>
      <w:r w:rsidRPr="006C13DF">
        <w:rPr>
          <w:rFonts w:ascii="Times New Roman" w:hAnsi="Times New Roman" w:cs="Times New Roman"/>
          <w:sz w:val="24"/>
          <w:szCs w:val="24"/>
        </w:rPr>
        <w:t>00 000 лв. и са подкрепени 62 проекта, а през 2024 г. бюджетът на сесията е 400 000 лв., като са подкрепени 104 проекта.</w:t>
      </w:r>
    </w:p>
    <w:p w14:paraId="41D8CF4D" w14:textId="77777777" w:rsidR="002B5765" w:rsidRPr="006C13DF" w:rsidRDefault="00692683" w:rsidP="00554703">
      <w:pPr>
        <w:pStyle w:val="ListParagraph"/>
        <w:numPr>
          <w:ilvl w:val="0"/>
          <w:numId w:val="16"/>
        </w:numPr>
        <w:spacing w:after="0" w:line="240" w:lineRule="auto"/>
        <w:ind w:left="0" w:firstLine="360"/>
        <w:jc w:val="both"/>
        <w:rPr>
          <w:rFonts w:ascii="Times New Roman" w:eastAsia="Times New Roman" w:hAnsi="Times New Roman" w:cs="Times New Roman"/>
          <w:sz w:val="24"/>
          <w:szCs w:val="24"/>
          <w:lang w:eastAsia="bg-BG" w:bidi="bg-BG"/>
        </w:rPr>
      </w:pPr>
      <w:r w:rsidRPr="006C13DF">
        <w:rPr>
          <w:rFonts w:ascii="Times New Roman" w:hAnsi="Times New Roman" w:cs="Times New Roman"/>
          <w:sz w:val="24"/>
          <w:szCs w:val="24"/>
        </w:rPr>
        <w:t xml:space="preserve">2 </w:t>
      </w:r>
      <w:r w:rsidRPr="006C13DF">
        <w:rPr>
          <w:rFonts w:ascii="Times New Roman" w:eastAsia="Book Antiqua" w:hAnsi="Times New Roman" w:cs="Times New Roman"/>
          <w:sz w:val="24"/>
          <w:szCs w:val="24"/>
          <w:lang w:bidi="bg-BG"/>
        </w:rPr>
        <w:t xml:space="preserve">конкурсни сесии </w:t>
      </w:r>
      <w:r w:rsidRPr="006C13DF">
        <w:rPr>
          <w:rFonts w:ascii="Times New Roman" w:hAnsi="Times New Roman" w:cs="Times New Roman"/>
          <w:sz w:val="24"/>
          <w:szCs w:val="24"/>
        </w:rPr>
        <w:t>по програма з</w:t>
      </w:r>
      <w:r w:rsidRPr="006C13DF">
        <w:rPr>
          <w:rFonts w:ascii="Times New Roman" w:eastAsia="Book Antiqua" w:hAnsi="Times New Roman" w:cs="Times New Roman"/>
          <w:sz w:val="24"/>
          <w:szCs w:val="24"/>
          <w:lang w:bidi="bg-BG"/>
        </w:rPr>
        <w:t>а подпомагане на творчески проекти в областта на литературата с цел финансова подкрепа на автори (</w:t>
      </w:r>
      <w:r w:rsidRPr="006C13DF">
        <w:rPr>
          <w:rFonts w:ascii="Times New Roman" w:hAnsi="Times New Roman" w:cs="Times New Roman"/>
          <w:spacing w:val="-4"/>
          <w:sz w:val="24"/>
          <w:szCs w:val="24"/>
        </w:rPr>
        <w:t>белетристи, поети, публицисти, литературни критици и историци, драматурзи)</w:t>
      </w:r>
      <w:r w:rsidRPr="006C13DF">
        <w:rPr>
          <w:rFonts w:ascii="Times New Roman" w:eastAsia="Book Antiqua" w:hAnsi="Times New Roman" w:cs="Times New Roman"/>
          <w:sz w:val="24"/>
          <w:szCs w:val="24"/>
          <w:lang w:bidi="bg-BG"/>
        </w:rPr>
        <w:t xml:space="preserve"> за създаване на нови произведения във всички литературни жанрове на конкурсен принцип.</w:t>
      </w:r>
      <w:r w:rsidRPr="006C13DF">
        <w:rPr>
          <w:rFonts w:ascii="Times New Roman" w:hAnsi="Times New Roman" w:cs="Times New Roman"/>
          <w:sz w:val="24"/>
          <w:szCs w:val="24"/>
        </w:rPr>
        <w:t xml:space="preserve"> За 2023 г. сесията е с бюджет в размер на </w:t>
      </w:r>
      <w:r w:rsidRPr="006C13DF">
        <w:rPr>
          <w:rFonts w:ascii="Times New Roman" w:hAnsi="Times New Roman" w:cs="Times New Roman"/>
          <w:sz w:val="24"/>
          <w:szCs w:val="24"/>
          <w:lang w:val="en-US"/>
        </w:rPr>
        <w:t>4</w:t>
      </w:r>
      <w:r w:rsidRPr="006C13DF">
        <w:rPr>
          <w:rFonts w:ascii="Times New Roman" w:hAnsi="Times New Roman" w:cs="Times New Roman"/>
          <w:sz w:val="24"/>
          <w:szCs w:val="24"/>
        </w:rPr>
        <w:t>00 000 лв. и са подкрепени 115 проекта, а през 2024 г. бюджетът на сесията е 400 000 лв., като са подкрепени 137 проекта.</w:t>
      </w:r>
    </w:p>
    <w:p w14:paraId="35959337" w14:textId="77777777" w:rsidR="006008E8" w:rsidRPr="006C13DF" w:rsidRDefault="006008E8" w:rsidP="006008E8">
      <w:pPr>
        <w:spacing w:after="0" w:line="240" w:lineRule="auto"/>
        <w:jc w:val="both"/>
        <w:rPr>
          <w:rFonts w:ascii="Times New Roman" w:eastAsia="Times New Roman" w:hAnsi="Times New Roman" w:cs="Times New Roman"/>
          <w:sz w:val="24"/>
          <w:szCs w:val="24"/>
          <w:lang w:val="en-US" w:eastAsia="bg-BG" w:bidi="bg-BG"/>
        </w:rPr>
      </w:pPr>
    </w:p>
    <w:p w14:paraId="463D8171" w14:textId="77777777" w:rsidR="008231FD" w:rsidRDefault="008231FD" w:rsidP="0000718A">
      <w:pPr>
        <w:spacing w:after="0" w:line="240" w:lineRule="auto"/>
        <w:jc w:val="center"/>
        <w:rPr>
          <w:rFonts w:ascii="Times New Roman" w:eastAsia="Calibri" w:hAnsi="Times New Roman" w:cs="Times New Roman"/>
          <w:b/>
          <w:caps/>
          <w:color w:val="C0504D"/>
          <w:sz w:val="24"/>
          <w:szCs w:val="24"/>
        </w:rPr>
      </w:pPr>
    </w:p>
    <w:p w14:paraId="409BAB6F" w14:textId="77777777" w:rsidR="0000718A" w:rsidRPr="006C13DF" w:rsidRDefault="0000718A" w:rsidP="0000718A">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НАЦИОНАЛЕН ФОНД „КУЛТУРА“</w:t>
      </w:r>
    </w:p>
    <w:p w14:paraId="2F0CA3EE" w14:textId="77777777" w:rsidR="0000718A" w:rsidRPr="006C13DF" w:rsidRDefault="0000718A" w:rsidP="006008E8">
      <w:pPr>
        <w:spacing w:after="0" w:line="240" w:lineRule="auto"/>
        <w:jc w:val="both"/>
        <w:rPr>
          <w:rFonts w:ascii="Times New Roman" w:eastAsia="Times New Roman" w:hAnsi="Times New Roman" w:cs="Times New Roman"/>
          <w:sz w:val="24"/>
          <w:szCs w:val="24"/>
          <w:highlight w:val="yellow"/>
          <w:lang w:eastAsia="bg-BG" w:bidi="bg-BG"/>
        </w:rPr>
      </w:pPr>
    </w:p>
    <w:p w14:paraId="12F9BCCD" w14:textId="77777777" w:rsidR="00EC1189" w:rsidRPr="006C13DF" w:rsidRDefault="002B5765" w:rsidP="002B5765">
      <w:pPr>
        <w:spacing w:after="0" w:line="240" w:lineRule="auto"/>
        <w:jc w:val="both"/>
        <w:rPr>
          <w:rFonts w:ascii="Times New Roman" w:eastAsia="Times New Roman" w:hAnsi="Times New Roman" w:cs="Times New Roman"/>
          <w:b/>
          <w:color w:val="000000" w:themeColor="text1"/>
          <w:sz w:val="24"/>
          <w:szCs w:val="24"/>
          <w:lang w:eastAsia="bg-BG"/>
        </w:rPr>
      </w:pPr>
      <w:r w:rsidRPr="00D7409D">
        <w:rPr>
          <w:rFonts w:ascii="Times New Roman" w:eastAsia="Times New Roman" w:hAnsi="Times New Roman" w:cs="Times New Roman"/>
          <w:b/>
          <w:color w:val="000000" w:themeColor="text1"/>
          <w:sz w:val="24"/>
          <w:szCs w:val="24"/>
          <w:lang w:eastAsia="bg-BG"/>
        </w:rPr>
        <w:lastRenderedPageBreak/>
        <w:t>2.1.4. Приобщаване на възрастните хора към културен живот чрез програми за финансово подпомагане в областта на културата: „Любителско изкуство“ и „Социално ан</w:t>
      </w:r>
      <w:r w:rsidR="006008E8" w:rsidRPr="00D7409D">
        <w:rPr>
          <w:rFonts w:ascii="Times New Roman" w:eastAsia="Times New Roman" w:hAnsi="Times New Roman" w:cs="Times New Roman"/>
          <w:b/>
          <w:color w:val="000000" w:themeColor="text1"/>
          <w:sz w:val="24"/>
          <w:szCs w:val="24"/>
          <w:lang w:eastAsia="bg-BG"/>
        </w:rPr>
        <w:t xml:space="preserve">гажирани изкуства“. Оказване на </w:t>
      </w:r>
      <w:r w:rsidRPr="00D7409D">
        <w:rPr>
          <w:rFonts w:ascii="Times New Roman" w:eastAsia="Times New Roman" w:hAnsi="Times New Roman" w:cs="Times New Roman"/>
          <w:b/>
          <w:color w:val="000000" w:themeColor="text1"/>
          <w:sz w:val="24"/>
          <w:szCs w:val="24"/>
          <w:lang w:eastAsia="bg-BG"/>
        </w:rPr>
        <w:t>подкрепа с публични средства на проекти на стойност до 20 000 лв. на проект, като една от целевите групи по програ</w:t>
      </w:r>
      <w:r w:rsidR="0000718A" w:rsidRPr="00D7409D">
        <w:rPr>
          <w:rFonts w:ascii="Times New Roman" w:eastAsia="Times New Roman" w:hAnsi="Times New Roman" w:cs="Times New Roman"/>
          <w:b/>
          <w:color w:val="000000" w:themeColor="text1"/>
          <w:sz w:val="24"/>
          <w:szCs w:val="24"/>
          <w:lang w:eastAsia="bg-BG"/>
        </w:rPr>
        <w:t>мите са именно възрастните хора</w:t>
      </w:r>
    </w:p>
    <w:p w14:paraId="11CCC810" w14:textId="77777777" w:rsidR="00067951" w:rsidRPr="006C13DF" w:rsidRDefault="00067951" w:rsidP="002B5765">
      <w:pPr>
        <w:spacing w:after="0" w:line="240" w:lineRule="auto"/>
        <w:jc w:val="both"/>
        <w:rPr>
          <w:rFonts w:ascii="Times New Roman" w:eastAsia="Times New Roman" w:hAnsi="Times New Roman" w:cs="Times New Roman"/>
          <w:b/>
          <w:color w:val="000000" w:themeColor="text1"/>
          <w:sz w:val="24"/>
          <w:szCs w:val="24"/>
          <w:lang w:eastAsia="bg-BG"/>
        </w:rPr>
      </w:pPr>
    </w:p>
    <w:p w14:paraId="7823BB24" w14:textId="77777777" w:rsidR="00EC1189" w:rsidRPr="006C13DF" w:rsidRDefault="00EC1189" w:rsidP="00EC1189">
      <w:pPr>
        <w:spacing w:after="0" w:line="240" w:lineRule="auto"/>
        <w:jc w:val="center"/>
        <w:rPr>
          <w:rFonts w:ascii="Times New Roman" w:hAnsi="Times New Roman" w:cs="Times New Roman"/>
          <w:b/>
          <w:color w:val="ED7D31" w:themeColor="accent2"/>
          <w:sz w:val="24"/>
          <w:szCs w:val="24"/>
        </w:rPr>
      </w:pPr>
      <w:r w:rsidRPr="006C13DF">
        <w:rPr>
          <w:rFonts w:ascii="Times New Roman" w:eastAsia="Calibri" w:hAnsi="Times New Roman" w:cs="Times New Roman"/>
          <w:b/>
          <w:color w:val="C0504D"/>
          <w:sz w:val="24"/>
          <w:szCs w:val="24"/>
        </w:rPr>
        <w:t>БЪЛГАРСКИ ЧЕРВЕН КРЪСТ</w:t>
      </w:r>
    </w:p>
    <w:p w14:paraId="0DCF502A" w14:textId="77777777" w:rsidR="00EC1189" w:rsidRPr="00CF553F" w:rsidRDefault="00EC1189" w:rsidP="002B5765">
      <w:pPr>
        <w:spacing w:after="0" w:line="240" w:lineRule="auto"/>
        <w:jc w:val="both"/>
        <w:rPr>
          <w:rFonts w:ascii="Times New Roman" w:eastAsia="Times New Roman" w:hAnsi="Times New Roman" w:cs="Times New Roman"/>
          <w:color w:val="000000" w:themeColor="text1"/>
          <w:sz w:val="24"/>
          <w:szCs w:val="24"/>
          <w:lang w:eastAsia="bg-BG"/>
        </w:rPr>
      </w:pPr>
    </w:p>
    <w:p w14:paraId="654306F0" w14:textId="77777777" w:rsidR="002B5765" w:rsidRPr="006C13DF" w:rsidRDefault="002B5765" w:rsidP="002B5765">
      <w:pPr>
        <w:spacing w:after="0" w:line="240" w:lineRule="auto"/>
        <w:jc w:val="both"/>
        <w:rPr>
          <w:rFonts w:ascii="Times New Roman" w:eastAsia="Times New Roman" w:hAnsi="Times New Roman" w:cs="Times New Roman"/>
          <w:b/>
          <w:color w:val="000000" w:themeColor="text1"/>
          <w:sz w:val="24"/>
          <w:szCs w:val="24"/>
          <w:lang w:eastAsia="bg-BG"/>
        </w:rPr>
      </w:pPr>
      <w:r w:rsidRPr="006C13DF">
        <w:rPr>
          <w:rFonts w:ascii="Times New Roman" w:eastAsia="Times New Roman" w:hAnsi="Times New Roman" w:cs="Times New Roman"/>
          <w:b/>
          <w:color w:val="000000" w:themeColor="text1"/>
          <w:sz w:val="24"/>
          <w:szCs w:val="24"/>
          <w:lang w:eastAsia="bg-BG"/>
        </w:rPr>
        <w:t>2.1.5. Включване на бежанци на възраст 55+ в подготовка и отбелязване на традиционни български празници, съвместно с</w:t>
      </w:r>
      <w:r w:rsidR="00CF553F">
        <w:rPr>
          <w:rFonts w:ascii="Times New Roman" w:eastAsia="Times New Roman" w:hAnsi="Times New Roman" w:cs="Times New Roman"/>
          <w:b/>
          <w:color w:val="000000" w:themeColor="text1"/>
          <w:sz w:val="24"/>
          <w:szCs w:val="24"/>
          <w:lang w:eastAsia="bg-BG"/>
        </w:rPr>
        <w:t xml:space="preserve"> бежанските общности в България</w:t>
      </w:r>
    </w:p>
    <w:p w14:paraId="576E216B" w14:textId="77777777" w:rsidR="00EC1189" w:rsidRPr="006C13DF" w:rsidRDefault="00EC1189" w:rsidP="002B5765">
      <w:pPr>
        <w:spacing w:after="0" w:line="240" w:lineRule="auto"/>
        <w:jc w:val="both"/>
        <w:rPr>
          <w:rFonts w:ascii="Times New Roman" w:eastAsia="Times New Roman" w:hAnsi="Times New Roman" w:cs="Times New Roman"/>
          <w:b/>
          <w:i/>
          <w:color w:val="000000" w:themeColor="text1"/>
          <w:sz w:val="24"/>
          <w:szCs w:val="24"/>
          <w:lang w:eastAsia="bg-BG"/>
        </w:rPr>
      </w:pPr>
    </w:p>
    <w:p w14:paraId="3704E5DB" w14:textId="77777777" w:rsidR="00EC1189" w:rsidRPr="006C13DF" w:rsidRDefault="00EC1189" w:rsidP="00EC1189">
      <w:pPr>
        <w:spacing w:after="0" w:line="240" w:lineRule="auto"/>
        <w:ind w:firstLine="708"/>
        <w:jc w:val="both"/>
        <w:rPr>
          <w:rFonts w:ascii="Times New Roman" w:eastAsia="Calibri" w:hAnsi="Times New Roman" w:cs="Times New Roman"/>
          <w:sz w:val="24"/>
          <w:szCs w:val="24"/>
          <w:lang w:val="en-US"/>
        </w:rPr>
      </w:pPr>
      <w:r w:rsidRPr="006C13DF">
        <w:rPr>
          <w:rFonts w:ascii="Times New Roman" w:eastAsia="Calibri" w:hAnsi="Times New Roman" w:cs="Times New Roman"/>
          <w:sz w:val="24"/>
          <w:szCs w:val="24"/>
        </w:rPr>
        <w:t xml:space="preserve">През отчетния период Бежанско-мигрантската служба на Българския Червен кръст (БЧК) продължи да подкрепя бежанци и мигранти, като голяма част от дейностите бе насочена към </w:t>
      </w:r>
      <w:r w:rsidRPr="00CF553F">
        <w:rPr>
          <w:rFonts w:ascii="Times New Roman" w:eastAsia="Calibri" w:hAnsi="Times New Roman" w:cs="Times New Roman"/>
          <w:b/>
          <w:sz w:val="24"/>
          <w:szCs w:val="24"/>
        </w:rPr>
        <w:t>социалната и културната интеграция</w:t>
      </w:r>
      <w:r w:rsidRPr="006C13DF">
        <w:rPr>
          <w:rFonts w:ascii="Times New Roman" w:eastAsia="Calibri" w:hAnsi="Times New Roman" w:cs="Times New Roman"/>
          <w:sz w:val="24"/>
          <w:szCs w:val="24"/>
        </w:rPr>
        <w:t xml:space="preserve"> на лица, търсещи и/или получили международна закрила, и с предоставена временна закрила в България.</w:t>
      </w:r>
    </w:p>
    <w:p w14:paraId="51F2D02F" w14:textId="77777777" w:rsidR="00EC1189" w:rsidRPr="006C13DF" w:rsidRDefault="00EC1189" w:rsidP="00EC1189">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Обхватът на дейностите се разшири още през 2023 г. поради установяването на бежанците не само в София и Хасково,</w:t>
      </w:r>
      <w:r w:rsidRPr="006C13DF">
        <w:rPr>
          <w:rFonts w:ascii="Times New Roman" w:eastAsia="Calibri" w:hAnsi="Times New Roman" w:cs="Times New Roman"/>
          <w:sz w:val="24"/>
          <w:szCs w:val="24"/>
          <w:lang w:val="en-US"/>
        </w:rPr>
        <w:t xml:space="preserve"> </w:t>
      </w:r>
      <w:r w:rsidRPr="006C13DF">
        <w:rPr>
          <w:rFonts w:ascii="Times New Roman" w:eastAsia="Calibri" w:hAnsi="Times New Roman" w:cs="Times New Roman"/>
          <w:sz w:val="24"/>
          <w:szCs w:val="24"/>
        </w:rPr>
        <w:t xml:space="preserve">но и в други региони на страната като Бургас, Варна, Добрич, Пловдив, Русе и Стара Загора. </w:t>
      </w:r>
    </w:p>
    <w:p w14:paraId="6B297BCE" w14:textId="77777777" w:rsidR="00433BF6" w:rsidRPr="006C13DF" w:rsidRDefault="00EC1189" w:rsidP="00EC1189">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Българският Червен кръст, съвместно с лица с временна и международна закрила, организира различни традиционни български празници, в които участват и представители на местната общност, като това допринася за социалното включване на бежанците и по-голямото ангажиране на българските граждани към живота на пострадалите от военните конфликти и хуманитарни кризи.</w:t>
      </w:r>
    </w:p>
    <w:p w14:paraId="317F7AC8" w14:textId="77777777" w:rsidR="00433BF6" w:rsidRPr="006C13DF" w:rsidRDefault="00433BF6" w:rsidP="00433BF6">
      <w:pPr>
        <w:spacing w:after="0" w:line="240" w:lineRule="auto"/>
        <w:ind w:firstLine="708"/>
        <w:jc w:val="both"/>
        <w:rPr>
          <w:rFonts w:ascii="Times New Roman" w:eastAsia="Calibri" w:hAnsi="Times New Roman" w:cs="Times New Roman"/>
          <w:sz w:val="24"/>
          <w:szCs w:val="24"/>
        </w:rPr>
      </w:pPr>
      <w:r w:rsidRPr="006C13DF">
        <w:rPr>
          <w:rFonts w:ascii="Times New Roman" w:hAnsi="Times New Roman" w:cs="Times New Roman"/>
          <w:sz w:val="24"/>
          <w:szCs w:val="24"/>
        </w:rPr>
        <w:t xml:space="preserve">През 2023 г. </w:t>
      </w:r>
      <w:r w:rsidRPr="00CF553F">
        <w:rPr>
          <w:rFonts w:ascii="Times New Roman" w:hAnsi="Times New Roman" w:cs="Times New Roman"/>
          <w:b/>
          <w:sz w:val="24"/>
          <w:szCs w:val="24"/>
        </w:rPr>
        <w:t>332 възрастни хора от бежанските общности се включват в 22 събития</w:t>
      </w:r>
      <w:r w:rsidRPr="006C13DF">
        <w:rPr>
          <w:rFonts w:ascii="Times New Roman" w:hAnsi="Times New Roman" w:cs="Times New Roman"/>
          <w:sz w:val="24"/>
          <w:szCs w:val="24"/>
        </w:rPr>
        <w:t>, инициирани и осъществени от БЧК, в които участват и представители на българското общество.</w:t>
      </w:r>
    </w:p>
    <w:p w14:paraId="029628B2" w14:textId="77777777" w:rsidR="00EC1189" w:rsidRPr="006C13DF" w:rsidRDefault="00EC1189" w:rsidP="00433BF6">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 xml:space="preserve">През 2024 г. БЧК, съвместно с бежанските общности, реализира общо </w:t>
      </w:r>
      <w:r w:rsidRPr="00CF553F">
        <w:rPr>
          <w:rFonts w:ascii="Times New Roman" w:eastAsia="Calibri" w:hAnsi="Times New Roman" w:cs="Times New Roman"/>
          <w:b/>
          <w:sz w:val="24"/>
          <w:szCs w:val="24"/>
        </w:rPr>
        <w:t>19 културни и социални събития, в които се включват общо 637 участници</w:t>
      </w:r>
      <w:r w:rsidRPr="006C13DF">
        <w:rPr>
          <w:rFonts w:ascii="Times New Roman" w:eastAsia="Calibri" w:hAnsi="Times New Roman" w:cs="Times New Roman"/>
          <w:sz w:val="24"/>
          <w:szCs w:val="24"/>
        </w:rPr>
        <w:t xml:space="preserve">. </w:t>
      </w:r>
    </w:p>
    <w:p w14:paraId="55A3E691" w14:textId="77777777" w:rsidR="00EC1189" w:rsidRPr="006C13DF" w:rsidRDefault="00EC1189" w:rsidP="00EC1189">
      <w:pPr>
        <w:spacing w:after="0" w:line="240" w:lineRule="auto"/>
        <w:ind w:firstLine="708"/>
        <w:jc w:val="both"/>
        <w:rPr>
          <w:rFonts w:ascii="Times New Roman" w:eastAsia="Calibri" w:hAnsi="Times New Roman" w:cs="Times New Roman"/>
          <w:sz w:val="24"/>
          <w:szCs w:val="24"/>
        </w:rPr>
      </w:pPr>
    </w:p>
    <w:p w14:paraId="0BD12179" w14:textId="77777777" w:rsidR="00433BF6" w:rsidRPr="006C13DF" w:rsidRDefault="00433BF6" w:rsidP="00433BF6">
      <w:pPr>
        <w:spacing w:after="0" w:line="240" w:lineRule="auto"/>
        <w:jc w:val="center"/>
        <w:rPr>
          <w:rFonts w:ascii="Times New Roman" w:hAnsi="Times New Roman" w:cs="Times New Roman"/>
          <w:b/>
          <w:color w:val="ED7D31" w:themeColor="accent2"/>
          <w:sz w:val="24"/>
          <w:szCs w:val="24"/>
        </w:rPr>
      </w:pPr>
      <w:r w:rsidRPr="006C13DF">
        <w:rPr>
          <w:rFonts w:ascii="Times New Roman" w:eastAsia="Calibri" w:hAnsi="Times New Roman" w:cs="Times New Roman"/>
          <w:b/>
          <w:color w:val="C0504D"/>
          <w:sz w:val="24"/>
          <w:szCs w:val="24"/>
        </w:rPr>
        <w:t>БЪЛГАРСКИ ЧЕРВЕН КРЪСТ</w:t>
      </w:r>
    </w:p>
    <w:p w14:paraId="70FDCC70" w14:textId="77777777" w:rsidR="00433BF6" w:rsidRPr="006C13DF" w:rsidRDefault="00433BF6" w:rsidP="00EC1189">
      <w:pPr>
        <w:spacing w:after="0" w:line="240" w:lineRule="auto"/>
        <w:ind w:firstLine="708"/>
        <w:jc w:val="both"/>
        <w:rPr>
          <w:rFonts w:ascii="Times New Roman" w:eastAsia="Calibri" w:hAnsi="Times New Roman" w:cs="Times New Roman"/>
          <w:sz w:val="24"/>
          <w:szCs w:val="24"/>
        </w:rPr>
      </w:pPr>
    </w:p>
    <w:p w14:paraId="5398C857" w14:textId="77777777" w:rsidR="002B5765" w:rsidRPr="006C13DF" w:rsidRDefault="002B5765" w:rsidP="002B5765">
      <w:pPr>
        <w:spacing w:after="0" w:line="240" w:lineRule="auto"/>
        <w:jc w:val="both"/>
        <w:rPr>
          <w:rFonts w:ascii="Times New Roman" w:eastAsia="Times New Roman" w:hAnsi="Times New Roman" w:cs="Times New Roman"/>
          <w:b/>
          <w:color w:val="000000" w:themeColor="text1"/>
          <w:sz w:val="24"/>
          <w:szCs w:val="24"/>
          <w:lang w:eastAsia="bg-BG"/>
        </w:rPr>
      </w:pPr>
      <w:r w:rsidRPr="006C13DF">
        <w:rPr>
          <w:rFonts w:ascii="Times New Roman" w:eastAsia="Times New Roman" w:hAnsi="Times New Roman" w:cs="Times New Roman"/>
          <w:b/>
          <w:color w:val="000000" w:themeColor="text1"/>
          <w:sz w:val="24"/>
          <w:szCs w:val="24"/>
          <w:lang w:eastAsia="bg-BG"/>
        </w:rPr>
        <w:t>2.1.6. Организиране на състезание за лица над 60 години по първа по</w:t>
      </w:r>
      <w:r w:rsidR="00433BF6" w:rsidRPr="006C13DF">
        <w:rPr>
          <w:rFonts w:ascii="Times New Roman" w:eastAsia="Times New Roman" w:hAnsi="Times New Roman" w:cs="Times New Roman"/>
          <w:b/>
          <w:color w:val="000000" w:themeColor="text1"/>
          <w:sz w:val="24"/>
          <w:szCs w:val="24"/>
          <w:lang w:eastAsia="bg-BG"/>
        </w:rPr>
        <w:t xml:space="preserve">мощ, бедствена готовност, </w:t>
      </w:r>
      <w:proofErr w:type="spellStart"/>
      <w:r w:rsidR="00433BF6" w:rsidRPr="006C13DF">
        <w:rPr>
          <w:rFonts w:ascii="Times New Roman" w:eastAsia="Times New Roman" w:hAnsi="Times New Roman" w:cs="Times New Roman"/>
          <w:b/>
          <w:color w:val="000000" w:themeColor="text1"/>
          <w:sz w:val="24"/>
          <w:szCs w:val="24"/>
          <w:lang w:eastAsia="bg-BG"/>
        </w:rPr>
        <w:t>психо</w:t>
      </w:r>
      <w:r w:rsidRPr="006C13DF">
        <w:rPr>
          <w:rFonts w:ascii="Times New Roman" w:eastAsia="Times New Roman" w:hAnsi="Times New Roman" w:cs="Times New Roman"/>
          <w:b/>
          <w:color w:val="000000" w:themeColor="text1"/>
          <w:sz w:val="24"/>
          <w:szCs w:val="24"/>
          <w:lang w:eastAsia="bg-BG"/>
        </w:rPr>
        <w:t>социална</w:t>
      </w:r>
      <w:proofErr w:type="spellEnd"/>
      <w:r w:rsidRPr="006C13DF">
        <w:rPr>
          <w:rFonts w:ascii="Times New Roman" w:eastAsia="Times New Roman" w:hAnsi="Times New Roman" w:cs="Times New Roman"/>
          <w:b/>
          <w:color w:val="000000" w:themeColor="text1"/>
          <w:sz w:val="24"/>
          <w:szCs w:val="24"/>
          <w:lang w:eastAsia="bg-BG"/>
        </w:rPr>
        <w:t xml:space="preserve"> подкрепа и права на възрастните хора</w:t>
      </w:r>
    </w:p>
    <w:p w14:paraId="274AA1ED" w14:textId="77777777" w:rsidR="00433BF6" w:rsidRPr="006C13DF" w:rsidRDefault="00433BF6" w:rsidP="002B5765">
      <w:pPr>
        <w:spacing w:after="0" w:line="240" w:lineRule="auto"/>
        <w:jc w:val="both"/>
        <w:rPr>
          <w:rFonts w:ascii="Times New Roman" w:eastAsia="Times New Roman" w:hAnsi="Times New Roman" w:cs="Times New Roman"/>
          <w:color w:val="000000" w:themeColor="text1"/>
          <w:sz w:val="24"/>
          <w:szCs w:val="24"/>
          <w:lang w:eastAsia="bg-BG"/>
        </w:rPr>
      </w:pPr>
    </w:p>
    <w:p w14:paraId="7532BF49" w14:textId="77777777" w:rsidR="00433BF6" w:rsidRPr="006C13DF" w:rsidRDefault="00433BF6" w:rsidP="00433BF6">
      <w:pPr>
        <w:spacing w:after="0" w:line="240" w:lineRule="auto"/>
        <w:jc w:val="both"/>
        <w:rPr>
          <w:rFonts w:ascii="Times New Roman" w:eastAsia="Calibri" w:hAnsi="Times New Roman" w:cs="Times New Roman"/>
          <w:bCs/>
          <w:sz w:val="24"/>
          <w:szCs w:val="24"/>
        </w:rPr>
      </w:pPr>
      <w:r w:rsidRPr="006C13DF">
        <w:rPr>
          <w:rFonts w:ascii="Times New Roman" w:eastAsia="Calibri" w:hAnsi="Times New Roman" w:cs="Times New Roman"/>
          <w:sz w:val="24"/>
          <w:szCs w:val="24"/>
        </w:rPr>
        <w:tab/>
        <w:t>Предвид високия риск от бедност и социално изключване и продължаващата демографска тенденция на застаряване на населението, БЧК инициира п</w:t>
      </w:r>
      <w:r w:rsidRPr="006C13DF">
        <w:rPr>
          <w:rFonts w:ascii="Times New Roman" w:eastAsia="Calibri" w:hAnsi="Times New Roman" w:cs="Times New Roman"/>
          <w:bCs/>
          <w:sz w:val="24"/>
          <w:szCs w:val="24"/>
        </w:rPr>
        <w:t xml:space="preserve">одходящи за тях дейности, целящи социалното им приобщаване и дълголетие в добро здраве. </w:t>
      </w:r>
    </w:p>
    <w:p w14:paraId="36E14A95" w14:textId="77777777" w:rsidR="00433BF6" w:rsidRPr="006C13DF" w:rsidRDefault="00433BF6" w:rsidP="00433BF6">
      <w:pPr>
        <w:spacing w:after="0" w:line="240" w:lineRule="auto"/>
        <w:jc w:val="both"/>
        <w:rPr>
          <w:rFonts w:ascii="Times New Roman" w:eastAsia="Times New Roman" w:hAnsi="Times New Roman" w:cs="Times New Roman"/>
          <w:sz w:val="24"/>
          <w:szCs w:val="24"/>
          <w:lang w:eastAsia="bg-BG"/>
        </w:rPr>
      </w:pPr>
      <w:r w:rsidRPr="006C13DF">
        <w:rPr>
          <w:rFonts w:ascii="Times New Roman" w:eastAsia="Calibri" w:hAnsi="Times New Roman" w:cs="Times New Roman"/>
          <w:bCs/>
          <w:sz w:val="24"/>
          <w:szCs w:val="24"/>
        </w:rPr>
        <w:tab/>
      </w:r>
      <w:r w:rsidRPr="006C13DF">
        <w:rPr>
          <w:rFonts w:ascii="Times New Roman" w:eastAsia="Calibri" w:hAnsi="Times New Roman" w:cs="Times New Roman"/>
          <w:sz w:val="24"/>
          <w:szCs w:val="24"/>
        </w:rPr>
        <w:t xml:space="preserve">Всяка година доброволците и служителите на Българския Червен кръст в цялата страна организират различни прояви по повод </w:t>
      </w:r>
      <w:r w:rsidRPr="00FE23A0">
        <w:rPr>
          <w:rFonts w:ascii="Times New Roman" w:eastAsia="Calibri" w:hAnsi="Times New Roman" w:cs="Times New Roman"/>
          <w:b/>
          <w:sz w:val="24"/>
          <w:szCs w:val="24"/>
        </w:rPr>
        <w:t xml:space="preserve">Международния ден на възрастните хора </w:t>
      </w:r>
      <w:r w:rsidRPr="006C13DF">
        <w:rPr>
          <w:rFonts w:ascii="Times New Roman" w:eastAsia="Calibri" w:hAnsi="Times New Roman" w:cs="Times New Roman"/>
          <w:sz w:val="24"/>
          <w:szCs w:val="24"/>
        </w:rPr>
        <w:t>– 1 октомври. По този начин те засвидетелстват уважение, подкрепа и признателност към хората от третата възраст и им доставят радост и приятни изживявания на празника.</w:t>
      </w:r>
      <w:r w:rsidRPr="006C13DF">
        <w:rPr>
          <w:rFonts w:ascii="Times New Roman" w:eastAsia="Calibri" w:hAnsi="Times New Roman" w:cs="Times New Roman"/>
          <w:sz w:val="24"/>
          <w:szCs w:val="24"/>
          <w:lang w:val="en-US"/>
        </w:rPr>
        <w:t xml:space="preserve"> </w:t>
      </w:r>
      <w:r w:rsidRPr="006C13DF">
        <w:rPr>
          <w:rFonts w:ascii="Times New Roman" w:eastAsia="Calibri" w:hAnsi="Times New Roman" w:cs="Times New Roman"/>
          <w:sz w:val="24"/>
          <w:szCs w:val="24"/>
          <w:lang w:val="en-US"/>
        </w:rPr>
        <w:tab/>
      </w:r>
      <w:r w:rsidRPr="006C13DF">
        <w:rPr>
          <w:rFonts w:ascii="Times New Roman" w:eastAsia="Calibri" w:hAnsi="Times New Roman" w:cs="Times New Roman"/>
          <w:sz w:val="24"/>
          <w:szCs w:val="24"/>
        </w:rPr>
        <w:t xml:space="preserve">Стартиралото през 2015 г. </w:t>
      </w:r>
      <w:r w:rsidRPr="00FE23A0">
        <w:rPr>
          <w:rFonts w:ascii="Times New Roman" w:eastAsia="Calibri" w:hAnsi="Times New Roman" w:cs="Times New Roman"/>
          <w:b/>
          <w:sz w:val="24"/>
          <w:szCs w:val="24"/>
        </w:rPr>
        <w:t>Национално състезание за възрастни хора</w:t>
      </w:r>
      <w:r w:rsidRPr="006C13DF">
        <w:rPr>
          <w:rFonts w:ascii="Times New Roman" w:eastAsia="Calibri" w:hAnsi="Times New Roman" w:cs="Times New Roman"/>
          <w:sz w:val="24"/>
          <w:szCs w:val="24"/>
        </w:rPr>
        <w:t xml:space="preserve"> по бедствена готовност, първа долекарска помощ, </w:t>
      </w:r>
      <w:proofErr w:type="spellStart"/>
      <w:r w:rsidRPr="006C13DF">
        <w:rPr>
          <w:rFonts w:ascii="Times New Roman" w:eastAsia="Calibri" w:hAnsi="Times New Roman" w:cs="Times New Roman"/>
          <w:sz w:val="24"/>
          <w:szCs w:val="24"/>
        </w:rPr>
        <w:t>психосоциална</w:t>
      </w:r>
      <w:proofErr w:type="spellEnd"/>
      <w:r w:rsidRPr="006C13DF">
        <w:rPr>
          <w:rFonts w:ascii="Times New Roman" w:eastAsia="Calibri" w:hAnsi="Times New Roman" w:cs="Times New Roman"/>
          <w:sz w:val="24"/>
          <w:szCs w:val="24"/>
        </w:rPr>
        <w:t xml:space="preserve"> подкрепа и познания относно техните права се превърна в традиционно събитие, което се провежда ежегодно в Националния учебен център на БЧК в с. Лозен. Основната цел на събитието е да се</w:t>
      </w:r>
      <w:r w:rsidRPr="006C13DF">
        <w:rPr>
          <w:rFonts w:ascii="Times New Roman" w:eastAsia="Times New Roman" w:hAnsi="Times New Roman" w:cs="Times New Roman"/>
          <w:sz w:val="24"/>
          <w:szCs w:val="24"/>
          <w:lang w:eastAsia="bg-BG"/>
        </w:rPr>
        <w:t xml:space="preserve"> подкрепи социалното включване на възрастните хора в България и да се създаде среда за тяхното активно участие в живота на съвременното българско общество. </w:t>
      </w:r>
    </w:p>
    <w:p w14:paraId="7BF701BA" w14:textId="77777777" w:rsidR="00433BF6" w:rsidRPr="006C13DF" w:rsidRDefault="00433BF6" w:rsidP="00B34222">
      <w:pPr>
        <w:spacing w:after="0" w:line="240" w:lineRule="auto"/>
        <w:jc w:val="both"/>
        <w:rPr>
          <w:rFonts w:ascii="Times New Roman" w:eastAsia="Calibri" w:hAnsi="Times New Roman" w:cs="Times New Roman"/>
          <w:sz w:val="24"/>
          <w:szCs w:val="24"/>
        </w:rPr>
      </w:pPr>
      <w:r w:rsidRPr="006C13DF">
        <w:rPr>
          <w:rFonts w:ascii="Times New Roman" w:eastAsia="Times New Roman" w:hAnsi="Times New Roman" w:cs="Times New Roman"/>
          <w:sz w:val="24"/>
          <w:szCs w:val="24"/>
          <w:lang w:eastAsia="bg-BG"/>
        </w:rPr>
        <w:tab/>
      </w:r>
      <w:r w:rsidRPr="006C13DF">
        <w:rPr>
          <w:rFonts w:ascii="Times New Roman" w:eastAsia="Calibri" w:hAnsi="Times New Roman" w:cs="Times New Roman"/>
          <w:sz w:val="24"/>
          <w:szCs w:val="24"/>
        </w:rPr>
        <w:t xml:space="preserve">През 2023 г. общо </w:t>
      </w:r>
      <w:r w:rsidRPr="00FE23A0">
        <w:rPr>
          <w:rFonts w:ascii="Times New Roman" w:eastAsia="Calibri" w:hAnsi="Times New Roman" w:cs="Times New Roman"/>
          <w:b/>
          <w:sz w:val="24"/>
          <w:szCs w:val="24"/>
        </w:rPr>
        <w:t>75 доброволци над 60 години</w:t>
      </w:r>
      <w:r w:rsidRPr="006C13DF">
        <w:rPr>
          <w:rFonts w:ascii="Times New Roman" w:eastAsia="Calibri" w:hAnsi="Times New Roman" w:cs="Times New Roman"/>
          <w:sz w:val="24"/>
          <w:szCs w:val="24"/>
        </w:rPr>
        <w:t xml:space="preserve"> от 15 области на страната (Благоевград, Бургас, Варна, Видин, Враца, Габрово, Кюстендил, Ловеч, Монтана, Разград, Русе, Търговище, Шумен, Ямбол и Столичната организация на БЧК) участват в </w:t>
      </w:r>
      <w:r w:rsidRPr="006C13DF">
        <w:rPr>
          <w:rFonts w:ascii="Times New Roman" w:eastAsia="Calibri" w:hAnsi="Times New Roman" w:cs="Times New Roman"/>
          <w:sz w:val="24"/>
          <w:szCs w:val="24"/>
        </w:rPr>
        <w:lastRenderedPageBreak/>
        <w:t xml:space="preserve">състезанието. Те са предварително обучени от областните/Столичната организации на БЧК и преминават през 15 пункта. Отборите се справят със задачи за оказване на първа долекарска помощ при спортни, битови и пътни инциденти, оказват </w:t>
      </w:r>
      <w:proofErr w:type="spellStart"/>
      <w:r w:rsidRPr="006C13DF">
        <w:rPr>
          <w:rFonts w:ascii="Times New Roman" w:eastAsia="Calibri" w:hAnsi="Times New Roman" w:cs="Times New Roman"/>
          <w:sz w:val="24"/>
          <w:szCs w:val="24"/>
        </w:rPr>
        <w:t>психосоциална</w:t>
      </w:r>
      <w:proofErr w:type="spellEnd"/>
      <w:r w:rsidRPr="006C13DF">
        <w:rPr>
          <w:rFonts w:ascii="Times New Roman" w:eastAsia="Calibri" w:hAnsi="Times New Roman" w:cs="Times New Roman"/>
          <w:sz w:val="24"/>
          <w:szCs w:val="24"/>
        </w:rPr>
        <w:t xml:space="preserve"> подкрепа на пострадали при бедствия и демонстрират познания относно правата на възрастните хора. Със заразителен оптимизъм, кураж и действеност състезателите доказват, че са ценен обществен ресурс, който може и трябва да бъде използван. </w:t>
      </w:r>
      <w:r w:rsidR="00B34222" w:rsidRPr="006C13DF">
        <w:rPr>
          <w:rFonts w:ascii="Times New Roman" w:eastAsia="Calibri" w:hAnsi="Times New Roman" w:cs="Times New Roman"/>
          <w:sz w:val="24"/>
          <w:szCs w:val="24"/>
        </w:rPr>
        <w:t xml:space="preserve">Състезанието </w:t>
      </w:r>
      <w:r w:rsidRPr="006C13DF">
        <w:rPr>
          <w:rFonts w:ascii="Times New Roman" w:eastAsia="Calibri" w:hAnsi="Times New Roman" w:cs="Times New Roman"/>
          <w:sz w:val="24"/>
          <w:szCs w:val="24"/>
        </w:rPr>
        <w:t>е разнообразено и с интересни пунктове за почивка, на които пребиваващи в България украински бежанци разказ</w:t>
      </w:r>
      <w:r w:rsidR="00B34222" w:rsidRPr="006C13DF">
        <w:rPr>
          <w:rFonts w:ascii="Times New Roman" w:eastAsia="Calibri" w:hAnsi="Times New Roman" w:cs="Times New Roman"/>
          <w:sz w:val="24"/>
          <w:szCs w:val="24"/>
        </w:rPr>
        <w:t>ват</w:t>
      </w:r>
      <w:r w:rsidRPr="006C13DF">
        <w:rPr>
          <w:rFonts w:ascii="Times New Roman" w:eastAsia="Calibri" w:hAnsi="Times New Roman" w:cs="Times New Roman"/>
          <w:sz w:val="24"/>
          <w:szCs w:val="24"/>
        </w:rPr>
        <w:t xml:space="preserve"> за своя бит и култура и почерп</w:t>
      </w:r>
      <w:r w:rsidR="00B34222" w:rsidRPr="006C13DF">
        <w:rPr>
          <w:rFonts w:ascii="Times New Roman" w:eastAsia="Calibri" w:hAnsi="Times New Roman" w:cs="Times New Roman"/>
          <w:sz w:val="24"/>
          <w:szCs w:val="24"/>
        </w:rPr>
        <w:t>ват</w:t>
      </w:r>
      <w:r w:rsidRPr="006C13DF">
        <w:rPr>
          <w:rFonts w:ascii="Times New Roman" w:eastAsia="Calibri" w:hAnsi="Times New Roman" w:cs="Times New Roman"/>
          <w:sz w:val="24"/>
          <w:szCs w:val="24"/>
        </w:rPr>
        <w:t xml:space="preserve"> участниците с характерни специалитети</w:t>
      </w:r>
      <w:r w:rsidR="00B34222" w:rsidRPr="006C13DF">
        <w:rPr>
          <w:rFonts w:ascii="Times New Roman" w:eastAsia="Calibri" w:hAnsi="Times New Roman" w:cs="Times New Roman"/>
          <w:sz w:val="24"/>
          <w:szCs w:val="24"/>
        </w:rPr>
        <w:t xml:space="preserve"> от родината си</w:t>
      </w:r>
      <w:r w:rsidRPr="006C13DF">
        <w:rPr>
          <w:rFonts w:ascii="Times New Roman" w:eastAsia="Calibri" w:hAnsi="Times New Roman" w:cs="Times New Roman"/>
          <w:sz w:val="24"/>
          <w:szCs w:val="24"/>
        </w:rPr>
        <w:t>. Има</w:t>
      </w:r>
      <w:r w:rsidR="00B34222" w:rsidRPr="006C13DF">
        <w:rPr>
          <w:rFonts w:ascii="Times New Roman" w:eastAsia="Calibri" w:hAnsi="Times New Roman" w:cs="Times New Roman"/>
          <w:sz w:val="24"/>
          <w:szCs w:val="24"/>
        </w:rPr>
        <w:t xml:space="preserve"> и обособен кът на Водно</w:t>
      </w:r>
      <w:r w:rsidRPr="006C13DF">
        <w:rPr>
          <w:rFonts w:ascii="Times New Roman" w:eastAsia="Calibri" w:hAnsi="Times New Roman" w:cs="Times New Roman"/>
          <w:sz w:val="24"/>
          <w:szCs w:val="24"/>
        </w:rPr>
        <w:t>спасителната служба на БЧК, където отборите се запозна</w:t>
      </w:r>
      <w:r w:rsidR="00B34222" w:rsidRPr="006C13DF">
        <w:rPr>
          <w:rFonts w:ascii="Times New Roman" w:eastAsia="Calibri" w:hAnsi="Times New Roman" w:cs="Times New Roman"/>
          <w:sz w:val="24"/>
          <w:szCs w:val="24"/>
        </w:rPr>
        <w:t>ват</w:t>
      </w:r>
      <w:r w:rsidRPr="006C13DF">
        <w:rPr>
          <w:rFonts w:ascii="Times New Roman" w:eastAsia="Calibri" w:hAnsi="Times New Roman" w:cs="Times New Roman"/>
          <w:sz w:val="24"/>
          <w:szCs w:val="24"/>
        </w:rPr>
        <w:t xml:space="preserve"> с правилата за во</w:t>
      </w:r>
      <w:r w:rsidR="00B34222" w:rsidRPr="006C13DF">
        <w:rPr>
          <w:rFonts w:ascii="Times New Roman" w:eastAsia="Calibri" w:hAnsi="Times New Roman" w:cs="Times New Roman"/>
          <w:sz w:val="24"/>
          <w:szCs w:val="24"/>
        </w:rPr>
        <w:t>дна безопасност. Победител става отборът на БЧК –</w:t>
      </w:r>
      <w:r w:rsidRPr="006C13DF">
        <w:rPr>
          <w:rFonts w:ascii="Times New Roman" w:eastAsia="Calibri" w:hAnsi="Times New Roman" w:cs="Times New Roman"/>
          <w:sz w:val="24"/>
          <w:szCs w:val="24"/>
        </w:rPr>
        <w:t xml:space="preserve"> Русе, второ</w:t>
      </w:r>
      <w:r w:rsidR="00B34222" w:rsidRPr="006C13DF">
        <w:rPr>
          <w:rFonts w:ascii="Times New Roman" w:eastAsia="Calibri" w:hAnsi="Times New Roman" w:cs="Times New Roman"/>
          <w:sz w:val="24"/>
          <w:szCs w:val="24"/>
        </w:rPr>
        <w:t>то</w:t>
      </w:r>
      <w:r w:rsidRPr="006C13DF">
        <w:rPr>
          <w:rFonts w:ascii="Times New Roman" w:eastAsia="Calibri" w:hAnsi="Times New Roman" w:cs="Times New Roman"/>
          <w:sz w:val="24"/>
          <w:szCs w:val="24"/>
        </w:rPr>
        <w:t xml:space="preserve"> място </w:t>
      </w:r>
      <w:r w:rsidR="00B34222" w:rsidRPr="006C13DF">
        <w:rPr>
          <w:rFonts w:ascii="Times New Roman" w:eastAsia="Calibri" w:hAnsi="Times New Roman" w:cs="Times New Roman"/>
          <w:sz w:val="24"/>
          <w:szCs w:val="24"/>
        </w:rPr>
        <w:t>заема отборът на БЧК –</w:t>
      </w:r>
      <w:r w:rsidRPr="006C13DF">
        <w:rPr>
          <w:rFonts w:ascii="Times New Roman" w:eastAsia="Calibri" w:hAnsi="Times New Roman" w:cs="Times New Roman"/>
          <w:sz w:val="24"/>
          <w:szCs w:val="24"/>
        </w:rPr>
        <w:t>Благоевград, а трето</w:t>
      </w:r>
      <w:r w:rsidR="00B34222" w:rsidRPr="006C13DF">
        <w:rPr>
          <w:rFonts w:ascii="Times New Roman" w:eastAsia="Calibri" w:hAnsi="Times New Roman" w:cs="Times New Roman"/>
          <w:sz w:val="24"/>
          <w:szCs w:val="24"/>
        </w:rPr>
        <w:t>то –</w:t>
      </w:r>
      <w:r w:rsidRPr="006C13DF">
        <w:rPr>
          <w:rFonts w:ascii="Times New Roman" w:eastAsia="Calibri" w:hAnsi="Times New Roman" w:cs="Times New Roman"/>
          <w:sz w:val="24"/>
          <w:szCs w:val="24"/>
        </w:rPr>
        <w:t xml:space="preserve"> отборът на БЧК – Враца.</w:t>
      </w:r>
    </w:p>
    <w:p w14:paraId="4E0A4756" w14:textId="77777777" w:rsidR="00B34222" w:rsidRPr="006C13DF" w:rsidRDefault="00B34222" w:rsidP="00B34222">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b/>
          <w:bCs/>
          <w:sz w:val="24"/>
          <w:szCs w:val="24"/>
        </w:rPr>
        <w:tab/>
      </w:r>
      <w:r w:rsidRPr="006C13DF">
        <w:rPr>
          <w:rFonts w:ascii="Times New Roman" w:eastAsia="Calibri" w:hAnsi="Times New Roman" w:cs="Times New Roman"/>
          <w:bCs/>
          <w:sz w:val="24"/>
          <w:szCs w:val="24"/>
        </w:rPr>
        <w:t>През октомври 2024 г. БЧК отново провежда Национално състезание за възрастни хора</w:t>
      </w:r>
      <w:r w:rsidRPr="006C13DF">
        <w:rPr>
          <w:rFonts w:ascii="Times New Roman" w:eastAsia="Calibri" w:hAnsi="Times New Roman" w:cs="Times New Roman"/>
          <w:sz w:val="24"/>
          <w:szCs w:val="24"/>
        </w:rPr>
        <w:t>, като към модулите „Бедствена готовност“, „Първа долекарска помощ“ и „</w:t>
      </w:r>
      <w:proofErr w:type="spellStart"/>
      <w:r w:rsidRPr="006C13DF">
        <w:rPr>
          <w:rFonts w:ascii="Times New Roman" w:eastAsia="Calibri" w:hAnsi="Times New Roman" w:cs="Times New Roman"/>
          <w:sz w:val="24"/>
          <w:szCs w:val="24"/>
        </w:rPr>
        <w:t>Психосоциална</w:t>
      </w:r>
      <w:proofErr w:type="spellEnd"/>
      <w:r w:rsidRPr="006C13DF">
        <w:rPr>
          <w:rFonts w:ascii="Times New Roman" w:eastAsia="Calibri" w:hAnsi="Times New Roman" w:cs="Times New Roman"/>
          <w:sz w:val="24"/>
          <w:szCs w:val="24"/>
        </w:rPr>
        <w:t xml:space="preserve"> подкрепа“ е добавен нов модул – </w:t>
      </w:r>
      <w:r w:rsidRPr="006C13DF">
        <w:rPr>
          <w:rFonts w:ascii="Times New Roman" w:eastAsia="Calibri" w:hAnsi="Times New Roman" w:cs="Times New Roman"/>
          <w:bCs/>
          <w:sz w:val="24"/>
          <w:szCs w:val="24"/>
        </w:rPr>
        <w:t>„Правила за водна безопасност“</w:t>
      </w:r>
      <w:r w:rsidRPr="006C13DF">
        <w:rPr>
          <w:rFonts w:ascii="Times New Roman" w:eastAsia="Calibri" w:hAnsi="Times New Roman" w:cs="Times New Roman"/>
          <w:sz w:val="24"/>
          <w:szCs w:val="24"/>
        </w:rPr>
        <w:t xml:space="preserve">. Отново са сформирани 15 отбора от 75 доброволци, като в сравнение с предходната година областите Бургас, Монтана и София не изпращат отбори, а към състезанието се присъединяват отборите на Добрич, Кърджали и Пазарджик. Състезанието е разнообразено с интересен кът на </w:t>
      </w:r>
      <w:r w:rsidRPr="006C13DF">
        <w:rPr>
          <w:rFonts w:ascii="Times New Roman" w:eastAsia="Calibri" w:hAnsi="Times New Roman" w:cs="Times New Roman"/>
          <w:bCs/>
          <w:sz w:val="24"/>
          <w:szCs w:val="24"/>
        </w:rPr>
        <w:t>Планинската спасителна служба на БЧК</w:t>
      </w:r>
      <w:r w:rsidRPr="006C13DF">
        <w:rPr>
          <w:rFonts w:ascii="Times New Roman" w:eastAsia="Calibri" w:hAnsi="Times New Roman" w:cs="Times New Roman"/>
          <w:sz w:val="24"/>
          <w:szCs w:val="24"/>
        </w:rPr>
        <w:t>, където отборите се запознават с правилата за планинска безопасност. Отново са поканени пребиваващи в България възрастни бежанци – този път от Близкия изток, които разказват за своя бит и култура и почерпват участниците със свои традиционни специалитети.</w:t>
      </w:r>
    </w:p>
    <w:p w14:paraId="7B5F975D" w14:textId="77777777" w:rsidR="002B5765" w:rsidRPr="006C13DF" w:rsidRDefault="002B5765" w:rsidP="002B5765">
      <w:pPr>
        <w:spacing w:after="0" w:line="240" w:lineRule="auto"/>
        <w:jc w:val="both"/>
        <w:rPr>
          <w:rFonts w:ascii="Times New Roman" w:eastAsia="Times New Roman" w:hAnsi="Times New Roman" w:cs="Times New Roman"/>
          <w:b/>
          <w:i/>
          <w:color w:val="000000" w:themeColor="text1"/>
          <w:sz w:val="24"/>
          <w:szCs w:val="24"/>
          <w:lang w:eastAsia="bg-B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0C154836" w14:textId="77777777" w:rsidTr="00E655FD">
        <w:tc>
          <w:tcPr>
            <w:tcW w:w="9060" w:type="dxa"/>
            <w:shd w:val="clear" w:color="auto" w:fill="EBE453"/>
          </w:tcPr>
          <w:p w14:paraId="1D3EC4EC"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2.2. Насърчаване на участието в обществения живот</w:t>
            </w:r>
          </w:p>
        </w:tc>
      </w:tr>
    </w:tbl>
    <w:p w14:paraId="277FF51E" w14:textId="77777777" w:rsidR="006E5C93" w:rsidRPr="006C13DF" w:rsidRDefault="006E5C93" w:rsidP="00E91E47">
      <w:pPr>
        <w:spacing w:after="0" w:line="240" w:lineRule="auto"/>
        <w:rPr>
          <w:rFonts w:ascii="Times New Roman" w:hAnsi="Times New Roman" w:cs="Times New Roman"/>
          <w:b/>
          <w:color w:val="ED7D31" w:themeColor="accent2"/>
          <w:sz w:val="24"/>
          <w:szCs w:val="24"/>
        </w:rPr>
      </w:pPr>
    </w:p>
    <w:p w14:paraId="72EB4DE5" w14:textId="77777777" w:rsidR="00C82B75" w:rsidRPr="006C13DF" w:rsidRDefault="00C82B75" w:rsidP="00C82B75">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48184DC4" w14:textId="77777777" w:rsidR="00C82B75" w:rsidRPr="006C13DF" w:rsidRDefault="00C82B75" w:rsidP="00C82B75">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olor w:val="C0504D"/>
          <w:sz w:val="24"/>
          <w:szCs w:val="24"/>
        </w:rPr>
        <w:t xml:space="preserve">АГЕНЦИЯ ЗА ХОРАТА С УВРЕЖДАНИЯ </w:t>
      </w:r>
    </w:p>
    <w:p w14:paraId="676C308B" w14:textId="77777777" w:rsidR="003C14F5" w:rsidRPr="006C13DF" w:rsidRDefault="003C14F5" w:rsidP="00E91E47">
      <w:pPr>
        <w:spacing w:after="0" w:line="240" w:lineRule="auto"/>
        <w:jc w:val="center"/>
        <w:rPr>
          <w:rFonts w:ascii="Times New Roman" w:hAnsi="Times New Roman" w:cs="Times New Roman"/>
          <w:b/>
          <w:color w:val="ED7D31" w:themeColor="accent2"/>
          <w:sz w:val="24"/>
          <w:szCs w:val="24"/>
        </w:rPr>
      </w:pPr>
    </w:p>
    <w:p w14:paraId="3C8F2441" w14:textId="77777777" w:rsidR="00C82B75" w:rsidRPr="006C13DF" w:rsidRDefault="002B5765" w:rsidP="00FE23A0">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2.2.1. Финансиране на проекти на неправителствени организации на и за хората с увреждания за рехабилитация и интеграция за преодоляване на социалната изолация на хората с увреждания, вкл. хората с увреждания над 50-годишна възраст и тяхната интеграция в обществото</w:t>
      </w:r>
    </w:p>
    <w:p w14:paraId="5A6EB0B2" w14:textId="77777777" w:rsidR="00C82B75" w:rsidRPr="006C13DF" w:rsidRDefault="00C82B75" w:rsidP="00FE23A0">
      <w:pPr>
        <w:spacing w:after="0" w:line="240" w:lineRule="auto"/>
        <w:jc w:val="both"/>
        <w:rPr>
          <w:rFonts w:ascii="Times New Roman" w:hAnsi="Times New Roman" w:cs="Times New Roman"/>
          <w:b/>
          <w:sz w:val="24"/>
          <w:szCs w:val="24"/>
        </w:rPr>
      </w:pPr>
    </w:p>
    <w:p w14:paraId="637D89C2" w14:textId="77777777" w:rsidR="00C82B75" w:rsidRPr="006C13DF" w:rsidRDefault="00C82B75" w:rsidP="00FE23A0">
      <w:pPr>
        <w:spacing w:after="0" w:line="240" w:lineRule="auto"/>
        <w:jc w:val="both"/>
        <w:rPr>
          <w:rFonts w:ascii="Times New Roman" w:eastAsia="Calibri" w:hAnsi="Times New Roman" w:cs="Times New Roman"/>
          <w:sz w:val="24"/>
          <w:szCs w:val="24"/>
          <w:lang w:val="ru-RU"/>
        </w:rPr>
      </w:pPr>
      <w:r w:rsidRPr="006C13DF">
        <w:rPr>
          <w:rFonts w:ascii="Times New Roman" w:eastAsia="Calibri" w:hAnsi="Times New Roman" w:cs="Times New Roman"/>
          <w:sz w:val="24"/>
          <w:szCs w:val="24"/>
          <w:lang w:val="ru-RU"/>
        </w:rPr>
        <w:tab/>
      </w:r>
      <w:proofErr w:type="spellStart"/>
      <w:r w:rsidRPr="006C13DF">
        <w:rPr>
          <w:rFonts w:ascii="Times New Roman" w:eastAsia="Calibri" w:hAnsi="Times New Roman" w:cs="Times New Roman"/>
          <w:sz w:val="24"/>
          <w:szCs w:val="24"/>
          <w:lang w:val="ru-RU"/>
        </w:rPr>
        <w:t>През</w:t>
      </w:r>
      <w:proofErr w:type="spellEnd"/>
      <w:r w:rsidRPr="006C13DF">
        <w:rPr>
          <w:rFonts w:ascii="Times New Roman" w:eastAsia="Calibri" w:hAnsi="Times New Roman" w:cs="Times New Roman"/>
          <w:sz w:val="24"/>
          <w:szCs w:val="24"/>
          <w:lang w:val="ru-RU"/>
        </w:rPr>
        <w:t xml:space="preserve"> </w:t>
      </w:r>
      <w:proofErr w:type="spellStart"/>
      <w:r w:rsidRPr="006C13DF">
        <w:rPr>
          <w:rFonts w:ascii="Times New Roman" w:eastAsia="Calibri" w:hAnsi="Times New Roman" w:cs="Times New Roman"/>
          <w:sz w:val="24"/>
          <w:szCs w:val="24"/>
          <w:lang w:val="ru-RU"/>
        </w:rPr>
        <w:t>отчетните</w:t>
      </w:r>
      <w:proofErr w:type="spellEnd"/>
      <w:r w:rsidRPr="006C13DF">
        <w:rPr>
          <w:rFonts w:ascii="Times New Roman" w:eastAsia="Calibri" w:hAnsi="Times New Roman" w:cs="Times New Roman"/>
          <w:sz w:val="24"/>
          <w:szCs w:val="24"/>
          <w:lang w:val="ru-RU"/>
        </w:rPr>
        <w:t xml:space="preserve"> 202</w:t>
      </w:r>
      <w:r w:rsidRPr="006C13DF">
        <w:rPr>
          <w:rFonts w:ascii="Times New Roman" w:eastAsia="Calibri" w:hAnsi="Times New Roman" w:cs="Times New Roman"/>
          <w:sz w:val="24"/>
          <w:szCs w:val="24"/>
        </w:rPr>
        <w:t>3</w:t>
      </w:r>
      <w:r w:rsidRPr="006C13DF">
        <w:rPr>
          <w:rFonts w:ascii="Times New Roman" w:eastAsia="Calibri" w:hAnsi="Times New Roman" w:cs="Times New Roman"/>
          <w:sz w:val="24"/>
          <w:szCs w:val="24"/>
          <w:lang w:val="ru-RU"/>
        </w:rPr>
        <w:t xml:space="preserve"> г. и 202</w:t>
      </w:r>
      <w:r w:rsidRPr="006C13DF">
        <w:rPr>
          <w:rFonts w:ascii="Times New Roman" w:eastAsia="Calibri" w:hAnsi="Times New Roman" w:cs="Times New Roman"/>
          <w:sz w:val="24"/>
          <w:szCs w:val="24"/>
        </w:rPr>
        <w:t>4</w:t>
      </w:r>
      <w:r w:rsidRPr="006C13DF">
        <w:rPr>
          <w:rFonts w:ascii="Times New Roman" w:eastAsia="Calibri" w:hAnsi="Times New Roman" w:cs="Times New Roman"/>
          <w:sz w:val="24"/>
          <w:szCs w:val="24"/>
          <w:lang w:val="ru-RU"/>
        </w:rPr>
        <w:t xml:space="preserve"> г. </w:t>
      </w:r>
      <w:proofErr w:type="spellStart"/>
      <w:r w:rsidRPr="006C13DF">
        <w:rPr>
          <w:rFonts w:ascii="Times New Roman" w:eastAsia="Calibri" w:hAnsi="Times New Roman" w:cs="Times New Roman"/>
          <w:sz w:val="24"/>
          <w:szCs w:val="24"/>
          <w:lang w:val="ru-RU"/>
        </w:rPr>
        <w:t>са</w:t>
      </w:r>
      <w:proofErr w:type="spellEnd"/>
      <w:r w:rsidRPr="006C13DF">
        <w:rPr>
          <w:rFonts w:ascii="Times New Roman" w:eastAsia="Calibri" w:hAnsi="Times New Roman" w:cs="Times New Roman"/>
          <w:sz w:val="24"/>
          <w:szCs w:val="24"/>
          <w:lang w:val="ru-RU"/>
        </w:rPr>
        <w:t xml:space="preserve"> </w:t>
      </w:r>
      <w:proofErr w:type="spellStart"/>
      <w:r w:rsidRPr="006C13DF">
        <w:rPr>
          <w:rFonts w:ascii="Times New Roman" w:eastAsia="Calibri" w:hAnsi="Times New Roman" w:cs="Times New Roman"/>
          <w:sz w:val="24"/>
          <w:szCs w:val="24"/>
          <w:lang w:val="ru-RU"/>
        </w:rPr>
        <w:t>планирани</w:t>
      </w:r>
      <w:proofErr w:type="spellEnd"/>
      <w:r w:rsidRPr="006C13DF">
        <w:rPr>
          <w:rFonts w:ascii="Times New Roman" w:eastAsia="Calibri" w:hAnsi="Times New Roman" w:cs="Times New Roman"/>
          <w:sz w:val="24"/>
          <w:szCs w:val="24"/>
          <w:lang w:val="ru-RU"/>
        </w:rPr>
        <w:t xml:space="preserve"> </w:t>
      </w:r>
      <w:r w:rsidRPr="006C13DF">
        <w:rPr>
          <w:rFonts w:ascii="Times New Roman" w:eastAsia="Calibri" w:hAnsi="Times New Roman" w:cs="Times New Roman"/>
          <w:bCs/>
          <w:sz w:val="24"/>
          <w:szCs w:val="24"/>
          <w:lang w:val="ru-RU"/>
        </w:rPr>
        <w:t xml:space="preserve">2 000 </w:t>
      </w:r>
      <w:proofErr w:type="spellStart"/>
      <w:r w:rsidRPr="006C13DF">
        <w:rPr>
          <w:rFonts w:ascii="Times New Roman" w:eastAsia="Calibri" w:hAnsi="Times New Roman" w:cs="Times New Roman"/>
          <w:bCs/>
          <w:sz w:val="24"/>
          <w:szCs w:val="24"/>
          <w:lang w:val="ru-RU"/>
        </w:rPr>
        <w:t>бр</w:t>
      </w:r>
      <w:proofErr w:type="spellEnd"/>
      <w:r w:rsidRPr="006C13DF">
        <w:rPr>
          <w:rFonts w:ascii="Times New Roman" w:eastAsia="Calibri" w:hAnsi="Times New Roman" w:cs="Times New Roman"/>
          <w:bCs/>
          <w:sz w:val="24"/>
          <w:szCs w:val="24"/>
          <w:lang w:val="ru-RU"/>
        </w:rPr>
        <w:t>.</w:t>
      </w:r>
      <w:r w:rsidRPr="006C13DF">
        <w:rPr>
          <w:rFonts w:ascii="Times New Roman" w:eastAsia="Calibri" w:hAnsi="Times New Roman" w:cs="Times New Roman"/>
          <w:b/>
          <w:bCs/>
          <w:sz w:val="24"/>
          <w:szCs w:val="24"/>
          <w:lang w:val="ru-RU"/>
        </w:rPr>
        <w:t xml:space="preserve"> </w:t>
      </w:r>
      <w:r w:rsidRPr="006C13DF">
        <w:rPr>
          <w:rFonts w:ascii="Times New Roman" w:eastAsia="Calibri" w:hAnsi="Times New Roman" w:cs="Times New Roman"/>
          <w:sz w:val="24"/>
          <w:szCs w:val="24"/>
        </w:rPr>
        <w:t>хора с увреждания над 50-годишна възраст, на които е извършена рехабилитация и терапия и са участвали в мероприятия за преодоляване на социалната им изолация.</w:t>
      </w:r>
      <w:r w:rsidRPr="006C13DF">
        <w:rPr>
          <w:rFonts w:ascii="Times New Roman" w:eastAsia="Calibri" w:hAnsi="Times New Roman" w:cs="Times New Roman"/>
          <w:sz w:val="24"/>
          <w:szCs w:val="24"/>
          <w:lang w:val="ru-RU"/>
        </w:rPr>
        <w:t xml:space="preserve"> </w:t>
      </w:r>
      <w:proofErr w:type="spellStart"/>
      <w:r w:rsidRPr="006C13DF">
        <w:rPr>
          <w:rFonts w:ascii="Times New Roman" w:eastAsia="Calibri" w:hAnsi="Times New Roman" w:cs="Times New Roman"/>
          <w:sz w:val="24"/>
          <w:szCs w:val="24"/>
          <w:lang w:val="ru-RU"/>
        </w:rPr>
        <w:t>През</w:t>
      </w:r>
      <w:proofErr w:type="spellEnd"/>
      <w:r w:rsidRPr="006C13DF">
        <w:rPr>
          <w:rFonts w:ascii="Times New Roman" w:eastAsia="Calibri" w:hAnsi="Times New Roman" w:cs="Times New Roman"/>
          <w:sz w:val="24"/>
          <w:szCs w:val="24"/>
          <w:lang w:val="ru-RU"/>
        </w:rPr>
        <w:t xml:space="preserve"> </w:t>
      </w:r>
      <w:proofErr w:type="spellStart"/>
      <w:r w:rsidRPr="006C13DF">
        <w:rPr>
          <w:rFonts w:ascii="Times New Roman" w:eastAsia="Calibri" w:hAnsi="Times New Roman" w:cs="Times New Roman"/>
          <w:sz w:val="24"/>
          <w:szCs w:val="24"/>
          <w:lang w:val="ru-RU"/>
        </w:rPr>
        <w:t>отчетния</w:t>
      </w:r>
      <w:proofErr w:type="spellEnd"/>
      <w:r w:rsidRPr="006C13DF">
        <w:rPr>
          <w:rFonts w:ascii="Times New Roman" w:eastAsia="Calibri" w:hAnsi="Times New Roman" w:cs="Times New Roman"/>
          <w:sz w:val="24"/>
          <w:szCs w:val="24"/>
          <w:lang w:val="ru-RU"/>
        </w:rPr>
        <w:t xml:space="preserve"> период </w:t>
      </w:r>
      <w:proofErr w:type="gramStart"/>
      <w:r w:rsidRPr="006C13DF">
        <w:rPr>
          <w:rFonts w:ascii="Times New Roman" w:eastAsia="Calibri" w:hAnsi="Times New Roman" w:cs="Times New Roman"/>
          <w:sz w:val="24"/>
          <w:szCs w:val="24"/>
          <w:lang w:val="ru-RU"/>
        </w:rPr>
        <w:t xml:space="preserve">по  </w:t>
      </w:r>
      <w:proofErr w:type="spellStart"/>
      <w:r w:rsidRPr="006C13DF">
        <w:rPr>
          <w:rFonts w:ascii="Times New Roman" w:eastAsia="Calibri" w:hAnsi="Times New Roman" w:cs="Times New Roman"/>
          <w:sz w:val="24"/>
          <w:szCs w:val="24"/>
          <w:lang w:val="ru-RU"/>
        </w:rPr>
        <w:t>програмата</w:t>
      </w:r>
      <w:proofErr w:type="spellEnd"/>
      <w:proofErr w:type="gramEnd"/>
      <w:r w:rsidRPr="006C13DF">
        <w:rPr>
          <w:rFonts w:ascii="Times New Roman" w:eastAsia="Calibri" w:hAnsi="Times New Roman" w:cs="Times New Roman"/>
          <w:sz w:val="24"/>
          <w:szCs w:val="24"/>
          <w:lang w:val="ru-RU"/>
        </w:rPr>
        <w:t xml:space="preserve"> </w:t>
      </w:r>
      <w:proofErr w:type="spellStart"/>
      <w:r w:rsidRPr="006C13DF">
        <w:rPr>
          <w:rFonts w:ascii="Times New Roman" w:eastAsia="Calibri" w:hAnsi="Times New Roman" w:cs="Times New Roman"/>
          <w:sz w:val="24"/>
          <w:szCs w:val="24"/>
          <w:lang w:val="ru-RU"/>
        </w:rPr>
        <w:t>са</w:t>
      </w:r>
      <w:proofErr w:type="spellEnd"/>
      <w:r w:rsidRPr="006C13DF">
        <w:rPr>
          <w:rFonts w:ascii="Times New Roman" w:eastAsia="Calibri" w:hAnsi="Times New Roman" w:cs="Times New Roman"/>
          <w:sz w:val="24"/>
          <w:szCs w:val="24"/>
          <w:lang w:val="ru-RU"/>
        </w:rPr>
        <w:t xml:space="preserve"> </w:t>
      </w:r>
      <w:proofErr w:type="spellStart"/>
      <w:r w:rsidRPr="006C13DF">
        <w:rPr>
          <w:rFonts w:ascii="Times New Roman" w:eastAsia="Calibri" w:hAnsi="Times New Roman" w:cs="Times New Roman"/>
          <w:sz w:val="24"/>
          <w:szCs w:val="24"/>
          <w:lang w:val="ru-RU"/>
        </w:rPr>
        <w:t>обхванати</w:t>
      </w:r>
      <w:proofErr w:type="spellEnd"/>
      <w:r w:rsidRPr="006C13DF">
        <w:rPr>
          <w:rFonts w:ascii="Times New Roman" w:eastAsia="Calibri" w:hAnsi="Times New Roman" w:cs="Times New Roman"/>
          <w:sz w:val="24"/>
          <w:szCs w:val="24"/>
          <w:lang w:val="ru-RU"/>
        </w:rPr>
        <w:t xml:space="preserve"> </w:t>
      </w:r>
      <w:r w:rsidRPr="006C13DF">
        <w:rPr>
          <w:rFonts w:ascii="Times New Roman" w:eastAsia="Calibri" w:hAnsi="Times New Roman" w:cs="Times New Roman"/>
          <w:bCs/>
          <w:sz w:val="24"/>
          <w:szCs w:val="24"/>
          <w:lang w:val="ru-RU"/>
        </w:rPr>
        <w:t>10 250</w:t>
      </w:r>
      <w:r w:rsidRPr="006C13DF">
        <w:rPr>
          <w:rFonts w:ascii="Times New Roman" w:eastAsia="Calibri" w:hAnsi="Times New Roman" w:cs="Times New Roman"/>
          <w:b/>
          <w:bCs/>
          <w:sz w:val="24"/>
          <w:szCs w:val="24"/>
          <w:lang w:val="ru-RU"/>
        </w:rPr>
        <w:t xml:space="preserve"> </w:t>
      </w:r>
      <w:r w:rsidRPr="006C13DF">
        <w:rPr>
          <w:rFonts w:ascii="Times New Roman" w:eastAsia="Calibri" w:hAnsi="Times New Roman" w:cs="Times New Roman"/>
          <w:sz w:val="24"/>
          <w:szCs w:val="24"/>
          <w:lang w:val="ru-RU"/>
        </w:rPr>
        <w:t xml:space="preserve">хора с </w:t>
      </w:r>
      <w:proofErr w:type="spellStart"/>
      <w:r w:rsidRPr="006C13DF">
        <w:rPr>
          <w:rFonts w:ascii="Times New Roman" w:eastAsia="Calibri" w:hAnsi="Times New Roman" w:cs="Times New Roman"/>
          <w:sz w:val="24"/>
          <w:szCs w:val="24"/>
          <w:lang w:val="ru-RU"/>
        </w:rPr>
        <w:t>увреждания</w:t>
      </w:r>
      <w:proofErr w:type="spellEnd"/>
      <w:r w:rsidRPr="006C13DF">
        <w:rPr>
          <w:rFonts w:ascii="Times New Roman" w:eastAsia="Calibri" w:hAnsi="Times New Roman" w:cs="Times New Roman"/>
          <w:sz w:val="24"/>
          <w:szCs w:val="24"/>
          <w:lang w:val="ru-RU"/>
        </w:rPr>
        <w:t xml:space="preserve">, от </w:t>
      </w:r>
      <w:proofErr w:type="spellStart"/>
      <w:r w:rsidRPr="006C13DF">
        <w:rPr>
          <w:rFonts w:ascii="Times New Roman" w:eastAsia="Calibri" w:hAnsi="Times New Roman" w:cs="Times New Roman"/>
          <w:sz w:val="24"/>
          <w:szCs w:val="24"/>
          <w:lang w:val="ru-RU"/>
        </w:rPr>
        <w:t>които</w:t>
      </w:r>
      <w:proofErr w:type="spellEnd"/>
      <w:r w:rsidRPr="006C13DF">
        <w:rPr>
          <w:rFonts w:ascii="Times New Roman" w:eastAsia="Calibri" w:hAnsi="Times New Roman" w:cs="Times New Roman"/>
          <w:sz w:val="24"/>
          <w:szCs w:val="24"/>
          <w:lang w:val="ru-RU"/>
        </w:rPr>
        <w:t xml:space="preserve"> </w:t>
      </w:r>
      <w:r w:rsidRPr="006C13DF">
        <w:rPr>
          <w:rFonts w:ascii="Times New Roman" w:eastAsia="Calibri" w:hAnsi="Times New Roman" w:cs="Times New Roman"/>
          <w:b/>
          <w:bCs/>
          <w:sz w:val="24"/>
          <w:szCs w:val="24"/>
        </w:rPr>
        <w:t>5</w:t>
      </w:r>
      <w:r w:rsidRPr="006C13DF">
        <w:rPr>
          <w:rFonts w:ascii="Times New Roman" w:eastAsia="Calibri" w:hAnsi="Times New Roman" w:cs="Times New Roman"/>
          <w:b/>
          <w:bCs/>
          <w:sz w:val="24"/>
          <w:szCs w:val="24"/>
          <w:lang w:val="ru-RU"/>
        </w:rPr>
        <w:t xml:space="preserve"> 000</w:t>
      </w:r>
      <w:r w:rsidRPr="006C13DF">
        <w:rPr>
          <w:rFonts w:ascii="Times New Roman" w:eastAsia="Calibri" w:hAnsi="Times New Roman" w:cs="Times New Roman"/>
          <w:sz w:val="24"/>
          <w:szCs w:val="24"/>
          <w:lang w:val="ru-RU"/>
        </w:rPr>
        <w:t xml:space="preserve"> </w:t>
      </w:r>
      <w:proofErr w:type="spellStart"/>
      <w:r w:rsidRPr="006C13DF">
        <w:rPr>
          <w:rFonts w:ascii="Times New Roman" w:eastAsia="Calibri" w:hAnsi="Times New Roman" w:cs="Times New Roman"/>
          <w:b/>
          <w:sz w:val="24"/>
          <w:szCs w:val="24"/>
          <w:lang w:val="ru-RU"/>
        </w:rPr>
        <w:t>са</w:t>
      </w:r>
      <w:proofErr w:type="spellEnd"/>
      <w:r w:rsidRPr="006C13DF">
        <w:rPr>
          <w:rFonts w:ascii="Times New Roman" w:eastAsia="Calibri" w:hAnsi="Times New Roman" w:cs="Times New Roman"/>
          <w:b/>
          <w:sz w:val="24"/>
          <w:szCs w:val="24"/>
          <w:lang w:val="ru-RU"/>
        </w:rPr>
        <w:t xml:space="preserve"> </w:t>
      </w:r>
      <w:proofErr w:type="spellStart"/>
      <w:r w:rsidRPr="006C13DF">
        <w:rPr>
          <w:rFonts w:ascii="Times New Roman" w:eastAsia="Calibri" w:hAnsi="Times New Roman" w:cs="Times New Roman"/>
          <w:b/>
          <w:sz w:val="24"/>
          <w:szCs w:val="24"/>
          <w:lang w:val="ru-RU"/>
        </w:rPr>
        <w:t>възрастни</w:t>
      </w:r>
      <w:proofErr w:type="spellEnd"/>
      <w:r w:rsidRPr="006C13DF">
        <w:rPr>
          <w:rFonts w:ascii="Times New Roman" w:eastAsia="Calibri" w:hAnsi="Times New Roman" w:cs="Times New Roman"/>
          <w:b/>
          <w:sz w:val="24"/>
          <w:szCs w:val="24"/>
          <w:lang w:val="ru-RU"/>
        </w:rPr>
        <w:t xml:space="preserve"> хора с </w:t>
      </w:r>
      <w:proofErr w:type="spellStart"/>
      <w:r w:rsidRPr="006C13DF">
        <w:rPr>
          <w:rFonts w:ascii="Times New Roman" w:eastAsia="Calibri" w:hAnsi="Times New Roman" w:cs="Times New Roman"/>
          <w:b/>
          <w:sz w:val="24"/>
          <w:szCs w:val="24"/>
          <w:lang w:val="ru-RU"/>
        </w:rPr>
        <w:t>увреждания</w:t>
      </w:r>
      <w:proofErr w:type="spellEnd"/>
      <w:r w:rsidRPr="006C13DF">
        <w:rPr>
          <w:rFonts w:ascii="Times New Roman" w:eastAsia="Calibri" w:hAnsi="Times New Roman" w:cs="Times New Roman"/>
          <w:b/>
          <w:sz w:val="24"/>
          <w:szCs w:val="24"/>
          <w:lang w:val="ru-RU"/>
        </w:rPr>
        <w:t xml:space="preserve"> над 50-годишна </w:t>
      </w:r>
      <w:proofErr w:type="spellStart"/>
      <w:r w:rsidRPr="006C13DF">
        <w:rPr>
          <w:rFonts w:ascii="Times New Roman" w:eastAsia="Calibri" w:hAnsi="Times New Roman" w:cs="Times New Roman"/>
          <w:b/>
          <w:sz w:val="24"/>
          <w:szCs w:val="24"/>
          <w:lang w:val="ru-RU"/>
        </w:rPr>
        <w:t>възраст</w:t>
      </w:r>
      <w:proofErr w:type="spellEnd"/>
      <w:r w:rsidRPr="006C13DF">
        <w:rPr>
          <w:rFonts w:ascii="Times New Roman" w:eastAsia="Calibri" w:hAnsi="Times New Roman" w:cs="Times New Roman"/>
          <w:sz w:val="24"/>
          <w:szCs w:val="24"/>
          <w:lang w:val="ru-RU"/>
        </w:rPr>
        <w:t>.</w:t>
      </w:r>
    </w:p>
    <w:p w14:paraId="621AC34C" w14:textId="77777777" w:rsidR="00C82B75" w:rsidRPr="006C13DF" w:rsidRDefault="00C82B75" w:rsidP="00554703">
      <w:pPr>
        <w:pStyle w:val="ListParagraph"/>
        <w:numPr>
          <w:ilvl w:val="0"/>
          <w:numId w:val="15"/>
        </w:numPr>
        <w:spacing w:after="0" w:line="240" w:lineRule="auto"/>
        <w:jc w:val="both"/>
        <w:rPr>
          <w:rFonts w:ascii="Times New Roman" w:eastAsia="Calibri" w:hAnsi="Times New Roman" w:cs="Times New Roman"/>
          <w:sz w:val="24"/>
          <w:szCs w:val="24"/>
        </w:rPr>
      </w:pPr>
      <w:proofErr w:type="spellStart"/>
      <w:r w:rsidRPr="006C13DF">
        <w:rPr>
          <w:rFonts w:ascii="Times New Roman" w:eastAsia="Calibri" w:hAnsi="Times New Roman" w:cs="Times New Roman"/>
          <w:sz w:val="24"/>
          <w:szCs w:val="24"/>
          <w:lang w:val="ru-RU"/>
        </w:rPr>
        <w:t>Финансови</w:t>
      </w:r>
      <w:proofErr w:type="spellEnd"/>
      <w:r w:rsidRPr="006C13DF">
        <w:rPr>
          <w:rFonts w:ascii="Times New Roman" w:eastAsia="Calibri" w:hAnsi="Times New Roman" w:cs="Times New Roman"/>
          <w:sz w:val="24"/>
          <w:szCs w:val="24"/>
          <w:lang w:val="ru-RU"/>
        </w:rPr>
        <w:t xml:space="preserve"> средства за </w:t>
      </w:r>
      <w:proofErr w:type="spellStart"/>
      <w:r w:rsidRPr="006C13DF">
        <w:rPr>
          <w:rFonts w:ascii="Times New Roman" w:eastAsia="Calibri" w:hAnsi="Times New Roman" w:cs="Times New Roman"/>
          <w:sz w:val="24"/>
          <w:szCs w:val="24"/>
          <w:lang w:val="ru-RU"/>
        </w:rPr>
        <w:t>реализиране</w:t>
      </w:r>
      <w:proofErr w:type="spellEnd"/>
      <w:r w:rsidRPr="006C13DF">
        <w:rPr>
          <w:rFonts w:ascii="Times New Roman" w:eastAsia="Calibri" w:hAnsi="Times New Roman" w:cs="Times New Roman"/>
          <w:sz w:val="24"/>
          <w:szCs w:val="24"/>
          <w:lang w:val="ru-RU"/>
        </w:rPr>
        <w:t xml:space="preserve"> на </w:t>
      </w:r>
      <w:proofErr w:type="spellStart"/>
      <w:r w:rsidRPr="006C13DF">
        <w:rPr>
          <w:rFonts w:ascii="Times New Roman" w:eastAsia="Calibri" w:hAnsi="Times New Roman" w:cs="Times New Roman"/>
          <w:sz w:val="24"/>
          <w:szCs w:val="24"/>
          <w:lang w:val="ru-RU"/>
        </w:rPr>
        <w:t>проектите</w:t>
      </w:r>
      <w:proofErr w:type="spellEnd"/>
      <w:r w:rsidRPr="006C13DF">
        <w:rPr>
          <w:rFonts w:ascii="Times New Roman" w:eastAsia="Calibri" w:hAnsi="Times New Roman" w:cs="Times New Roman"/>
          <w:sz w:val="24"/>
          <w:szCs w:val="24"/>
          <w:lang w:val="ru-RU"/>
        </w:rPr>
        <w:t xml:space="preserve"> за 2023 г. – 270 000 </w:t>
      </w:r>
      <w:proofErr w:type="spellStart"/>
      <w:r w:rsidRPr="006C13DF">
        <w:rPr>
          <w:rFonts w:ascii="Times New Roman" w:eastAsia="Calibri" w:hAnsi="Times New Roman" w:cs="Times New Roman"/>
          <w:sz w:val="24"/>
          <w:szCs w:val="24"/>
          <w:lang w:val="ru-RU"/>
        </w:rPr>
        <w:t>лв</w:t>
      </w:r>
      <w:proofErr w:type="spellEnd"/>
      <w:r w:rsidRPr="006C13DF">
        <w:rPr>
          <w:rFonts w:ascii="Times New Roman" w:eastAsia="Calibri" w:hAnsi="Times New Roman" w:cs="Times New Roman"/>
          <w:sz w:val="24"/>
          <w:szCs w:val="24"/>
          <w:lang w:val="ru-RU"/>
        </w:rPr>
        <w:t>.</w:t>
      </w:r>
    </w:p>
    <w:p w14:paraId="37C3230F" w14:textId="77777777" w:rsidR="00C82B75" w:rsidRPr="006C13DF" w:rsidRDefault="00C82B75" w:rsidP="00554703">
      <w:pPr>
        <w:pStyle w:val="ListParagraph"/>
        <w:numPr>
          <w:ilvl w:val="0"/>
          <w:numId w:val="15"/>
        </w:numPr>
        <w:spacing w:after="0" w:line="240" w:lineRule="auto"/>
        <w:jc w:val="both"/>
        <w:rPr>
          <w:rFonts w:ascii="Times New Roman" w:eastAsia="Calibri" w:hAnsi="Times New Roman" w:cs="Times New Roman"/>
          <w:sz w:val="24"/>
          <w:szCs w:val="24"/>
        </w:rPr>
      </w:pPr>
      <w:proofErr w:type="spellStart"/>
      <w:r w:rsidRPr="006C13DF">
        <w:rPr>
          <w:rFonts w:ascii="Times New Roman" w:eastAsia="Calibri" w:hAnsi="Times New Roman" w:cs="Times New Roman"/>
          <w:sz w:val="24"/>
          <w:szCs w:val="24"/>
          <w:lang w:val="ru-RU"/>
        </w:rPr>
        <w:t>Финансови</w:t>
      </w:r>
      <w:proofErr w:type="spellEnd"/>
      <w:r w:rsidRPr="006C13DF">
        <w:rPr>
          <w:rFonts w:ascii="Times New Roman" w:eastAsia="Calibri" w:hAnsi="Times New Roman" w:cs="Times New Roman"/>
          <w:sz w:val="24"/>
          <w:szCs w:val="24"/>
          <w:lang w:val="ru-RU"/>
        </w:rPr>
        <w:t xml:space="preserve"> средства за </w:t>
      </w:r>
      <w:proofErr w:type="spellStart"/>
      <w:r w:rsidRPr="006C13DF">
        <w:rPr>
          <w:rFonts w:ascii="Times New Roman" w:eastAsia="Calibri" w:hAnsi="Times New Roman" w:cs="Times New Roman"/>
          <w:sz w:val="24"/>
          <w:szCs w:val="24"/>
          <w:lang w:val="ru-RU"/>
        </w:rPr>
        <w:t>реализиране</w:t>
      </w:r>
      <w:proofErr w:type="spellEnd"/>
      <w:r w:rsidRPr="006C13DF">
        <w:rPr>
          <w:rFonts w:ascii="Times New Roman" w:eastAsia="Calibri" w:hAnsi="Times New Roman" w:cs="Times New Roman"/>
          <w:sz w:val="24"/>
          <w:szCs w:val="24"/>
          <w:lang w:val="ru-RU"/>
        </w:rPr>
        <w:t xml:space="preserve"> на </w:t>
      </w:r>
      <w:proofErr w:type="spellStart"/>
      <w:r w:rsidRPr="006C13DF">
        <w:rPr>
          <w:rFonts w:ascii="Times New Roman" w:eastAsia="Calibri" w:hAnsi="Times New Roman" w:cs="Times New Roman"/>
          <w:sz w:val="24"/>
          <w:szCs w:val="24"/>
          <w:lang w:val="ru-RU"/>
        </w:rPr>
        <w:t>проектите</w:t>
      </w:r>
      <w:proofErr w:type="spellEnd"/>
      <w:r w:rsidRPr="006C13DF">
        <w:rPr>
          <w:rFonts w:ascii="Times New Roman" w:eastAsia="Calibri" w:hAnsi="Times New Roman" w:cs="Times New Roman"/>
          <w:sz w:val="24"/>
          <w:szCs w:val="24"/>
          <w:lang w:val="ru-RU"/>
        </w:rPr>
        <w:t xml:space="preserve"> за 2024 г. – 400 000 </w:t>
      </w:r>
      <w:proofErr w:type="spellStart"/>
      <w:r w:rsidRPr="006C13DF">
        <w:rPr>
          <w:rFonts w:ascii="Times New Roman" w:eastAsia="Calibri" w:hAnsi="Times New Roman" w:cs="Times New Roman"/>
          <w:sz w:val="24"/>
          <w:szCs w:val="24"/>
          <w:lang w:val="ru-RU"/>
        </w:rPr>
        <w:t>лв</w:t>
      </w:r>
      <w:proofErr w:type="spellEnd"/>
      <w:r w:rsidRPr="006C13DF">
        <w:rPr>
          <w:rFonts w:ascii="Times New Roman" w:eastAsia="Calibri" w:hAnsi="Times New Roman" w:cs="Times New Roman"/>
          <w:sz w:val="24"/>
          <w:szCs w:val="24"/>
          <w:lang w:val="ru-RU"/>
        </w:rPr>
        <w:t>.</w:t>
      </w:r>
    </w:p>
    <w:p w14:paraId="5424D83B" w14:textId="77777777" w:rsidR="00C82B75" w:rsidRPr="006C13DF" w:rsidRDefault="00C82B75" w:rsidP="00FE23A0">
      <w:pPr>
        <w:spacing w:after="0" w:line="240" w:lineRule="auto"/>
        <w:jc w:val="both"/>
        <w:rPr>
          <w:rFonts w:ascii="Times New Roman" w:hAnsi="Times New Roman" w:cs="Times New Roman"/>
          <w:b/>
          <w:sz w:val="24"/>
          <w:szCs w:val="24"/>
        </w:rPr>
      </w:pPr>
    </w:p>
    <w:p w14:paraId="24882AD9" w14:textId="77777777" w:rsidR="008231FD" w:rsidRDefault="008231FD" w:rsidP="00FE23A0">
      <w:pPr>
        <w:spacing w:after="0" w:line="240" w:lineRule="auto"/>
        <w:jc w:val="center"/>
        <w:rPr>
          <w:rFonts w:ascii="Times New Roman" w:eastAsia="Calibri" w:hAnsi="Times New Roman" w:cs="Times New Roman"/>
          <w:b/>
          <w:caps/>
          <w:color w:val="C0504D"/>
          <w:sz w:val="24"/>
          <w:szCs w:val="24"/>
        </w:rPr>
      </w:pPr>
    </w:p>
    <w:p w14:paraId="16E09163" w14:textId="77777777" w:rsidR="008231FD" w:rsidRDefault="008231FD" w:rsidP="00FE23A0">
      <w:pPr>
        <w:spacing w:after="0" w:line="240" w:lineRule="auto"/>
        <w:jc w:val="center"/>
        <w:rPr>
          <w:rFonts w:ascii="Times New Roman" w:eastAsia="Calibri" w:hAnsi="Times New Roman" w:cs="Times New Roman"/>
          <w:b/>
          <w:caps/>
          <w:color w:val="C0504D"/>
          <w:sz w:val="24"/>
          <w:szCs w:val="24"/>
        </w:rPr>
      </w:pPr>
    </w:p>
    <w:p w14:paraId="4036528A" w14:textId="77777777" w:rsidR="008231FD" w:rsidRDefault="008231FD" w:rsidP="00FE23A0">
      <w:pPr>
        <w:spacing w:after="0" w:line="240" w:lineRule="auto"/>
        <w:jc w:val="center"/>
        <w:rPr>
          <w:rFonts w:ascii="Times New Roman" w:eastAsia="Calibri" w:hAnsi="Times New Roman" w:cs="Times New Roman"/>
          <w:b/>
          <w:caps/>
          <w:color w:val="C0504D"/>
          <w:sz w:val="24"/>
          <w:szCs w:val="24"/>
        </w:rPr>
      </w:pPr>
    </w:p>
    <w:p w14:paraId="7F094E39" w14:textId="77777777" w:rsidR="008231FD" w:rsidRDefault="008231FD" w:rsidP="00FE23A0">
      <w:pPr>
        <w:spacing w:after="0" w:line="240" w:lineRule="auto"/>
        <w:jc w:val="center"/>
        <w:rPr>
          <w:rFonts w:ascii="Times New Roman" w:eastAsia="Calibri" w:hAnsi="Times New Roman" w:cs="Times New Roman"/>
          <w:b/>
          <w:caps/>
          <w:color w:val="C0504D"/>
          <w:sz w:val="24"/>
          <w:szCs w:val="24"/>
        </w:rPr>
      </w:pPr>
    </w:p>
    <w:p w14:paraId="230AD599" w14:textId="77777777" w:rsidR="008231FD" w:rsidRDefault="008231FD" w:rsidP="00FE23A0">
      <w:pPr>
        <w:spacing w:after="0" w:line="240" w:lineRule="auto"/>
        <w:jc w:val="center"/>
        <w:rPr>
          <w:rFonts w:ascii="Times New Roman" w:eastAsia="Calibri" w:hAnsi="Times New Roman" w:cs="Times New Roman"/>
          <w:b/>
          <w:caps/>
          <w:color w:val="C0504D"/>
          <w:sz w:val="24"/>
          <w:szCs w:val="24"/>
        </w:rPr>
      </w:pPr>
    </w:p>
    <w:p w14:paraId="71B10FD8" w14:textId="77777777" w:rsidR="00920F09" w:rsidRDefault="00920F09" w:rsidP="00FE23A0">
      <w:pPr>
        <w:spacing w:after="0" w:line="240" w:lineRule="auto"/>
        <w:jc w:val="center"/>
        <w:rPr>
          <w:rFonts w:ascii="Times New Roman" w:eastAsia="Calibri" w:hAnsi="Times New Roman" w:cs="Times New Roman"/>
          <w:b/>
          <w:caps/>
          <w:color w:val="C0504D"/>
          <w:sz w:val="24"/>
          <w:szCs w:val="24"/>
        </w:rPr>
      </w:pPr>
    </w:p>
    <w:p w14:paraId="30B9B354" w14:textId="77777777" w:rsidR="00920F09" w:rsidRDefault="00920F09" w:rsidP="00FE23A0">
      <w:pPr>
        <w:spacing w:after="0" w:line="240" w:lineRule="auto"/>
        <w:jc w:val="center"/>
        <w:rPr>
          <w:rFonts w:ascii="Times New Roman" w:eastAsia="Calibri" w:hAnsi="Times New Roman" w:cs="Times New Roman"/>
          <w:b/>
          <w:caps/>
          <w:color w:val="C0504D"/>
          <w:sz w:val="24"/>
          <w:szCs w:val="24"/>
        </w:rPr>
      </w:pPr>
    </w:p>
    <w:p w14:paraId="5F2159AE" w14:textId="77777777" w:rsidR="00920F09" w:rsidRDefault="00920F09" w:rsidP="00FE23A0">
      <w:pPr>
        <w:spacing w:after="0" w:line="240" w:lineRule="auto"/>
        <w:jc w:val="center"/>
        <w:rPr>
          <w:rFonts w:ascii="Times New Roman" w:eastAsia="Calibri" w:hAnsi="Times New Roman" w:cs="Times New Roman"/>
          <w:b/>
          <w:caps/>
          <w:color w:val="C0504D"/>
          <w:sz w:val="24"/>
          <w:szCs w:val="24"/>
        </w:rPr>
      </w:pPr>
    </w:p>
    <w:p w14:paraId="1D7A62F2" w14:textId="77777777" w:rsidR="008231FD" w:rsidRDefault="008231FD" w:rsidP="00FE23A0">
      <w:pPr>
        <w:spacing w:after="0" w:line="240" w:lineRule="auto"/>
        <w:jc w:val="center"/>
        <w:rPr>
          <w:rFonts w:ascii="Times New Roman" w:eastAsia="Calibri" w:hAnsi="Times New Roman" w:cs="Times New Roman"/>
          <w:b/>
          <w:caps/>
          <w:color w:val="C0504D"/>
          <w:sz w:val="24"/>
          <w:szCs w:val="24"/>
        </w:rPr>
      </w:pPr>
    </w:p>
    <w:p w14:paraId="7B32A59E" w14:textId="77777777" w:rsidR="008231FD" w:rsidRDefault="008231FD" w:rsidP="00FE23A0">
      <w:pPr>
        <w:spacing w:after="0" w:line="240" w:lineRule="auto"/>
        <w:jc w:val="center"/>
        <w:rPr>
          <w:rFonts w:ascii="Times New Roman" w:eastAsia="Calibri" w:hAnsi="Times New Roman" w:cs="Times New Roman"/>
          <w:b/>
          <w:caps/>
          <w:color w:val="C0504D"/>
          <w:sz w:val="24"/>
          <w:szCs w:val="24"/>
        </w:rPr>
      </w:pPr>
    </w:p>
    <w:p w14:paraId="61089815" w14:textId="77777777" w:rsidR="00C82B75" w:rsidRPr="006C13DF" w:rsidRDefault="00C82B75" w:rsidP="00FE23A0">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lastRenderedPageBreak/>
        <w:t>Министерство на труда и социалната политика</w:t>
      </w:r>
    </w:p>
    <w:p w14:paraId="21BF36DF" w14:textId="77777777" w:rsidR="00C82B75" w:rsidRPr="006C13DF" w:rsidRDefault="00C82B75" w:rsidP="00FE23A0">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olor w:val="C0504D"/>
          <w:sz w:val="24"/>
          <w:szCs w:val="24"/>
        </w:rPr>
        <w:t xml:space="preserve">АГЕНЦИЯ ЗА ХОРАТА С УВРЕЖДАНИЯ </w:t>
      </w:r>
    </w:p>
    <w:p w14:paraId="3FA8C94D" w14:textId="77777777" w:rsidR="002B5765" w:rsidRPr="006C13DF" w:rsidRDefault="002B5765" w:rsidP="00FE23A0">
      <w:pPr>
        <w:spacing w:after="0" w:line="240" w:lineRule="auto"/>
        <w:jc w:val="both"/>
        <w:rPr>
          <w:rFonts w:ascii="Times New Roman" w:hAnsi="Times New Roman" w:cs="Times New Roman"/>
          <w:b/>
          <w:i/>
          <w:sz w:val="24"/>
          <w:szCs w:val="24"/>
        </w:rPr>
      </w:pPr>
    </w:p>
    <w:p w14:paraId="493F62F8" w14:textId="77777777" w:rsidR="002B5765" w:rsidRPr="006C13DF" w:rsidRDefault="002B5765" w:rsidP="00FE23A0">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2.2.2. Финансиране на проекти за изграждане на достъпна архитектурна среда за хората с увреждания, вкл. хора с увреждания над 50-годишна възраст, на културни, исторически, спортни обекти</w:t>
      </w:r>
    </w:p>
    <w:p w14:paraId="1FC48F53" w14:textId="77777777" w:rsidR="00C82B75" w:rsidRPr="006C13DF" w:rsidRDefault="00C82B75" w:rsidP="00FE23A0">
      <w:pPr>
        <w:spacing w:after="0" w:line="240" w:lineRule="auto"/>
        <w:jc w:val="both"/>
        <w:rPr>
          <w:rFonts w:ascii="Times New Roman" w:hAnsi="Times New Roman" w:cs="Times New Roman"/>
          <w:b/>
          <w:sz w:val="24"/>
          <w:szCs w:val="24"/>
        </w:rPr>
      </w:pPr>
    </w:p>
    <w:p w14:paraId="52BB24B7" w14:textId="77777777" w:rsidR="00C82B75" w:rsidRPr="006C13DF" w:rsidRDefault="00C82B75" w:rsidP="00FE23A0">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През отчетните 2023 г. и 2024 г. са планирани да се адаптират за хора с увреждания 15 бр. културни, исторически  и спортни обекти. </w:t>
      </w:r>
      <w:r w:rsidRPr="006C13DF">
        <w:rPr>
          <w:rFonts w:ascii="Times New Roman" w:hAnsi="Times New Roman" w:cs="Times New Roman"/>
          <w:b/>
          <w:sz w:val="24"/>
          <w:szCs w:val="24"/>
        </w:rPr>
        <w:t>Адаптирани са 24 бр. обекти</w:t>
      </w:r>
      <w:r w:rsidRPr="006C13DF">
        <w:rPr>
          <w:rFonts w:ascii="Times New Roman" w:hAnsi="Times New Roman" w:cs="Times New Roman"/>
          <w:sz w:val="24"/>
          <w:szCs w:val="24"/>
        </w:rPr>
        <w:t>.</w:t>
      </w:r>
    </w:p>
    <w:p w14:paraId="707C57D8" w14:textId="77777777" w:rsidR="00C82B75" w:rsidRPr="006C13DF" w:rsidRDefault="00C82B75" w:rsidP="00554703">
      <w:pPr>
        <w:pStyle w:val="ListParagraph"/>
        <w:numPr>
          <w:ilvl w:val="0"/>
          <w:numId w:val="15"/>
        </w:numPr>
        <w:spacing w:after="0" w:line="240" w:lineRule="auto"/>
        <w:jc w:val="both"/>
        <w:rPr>
          <w:rFonts w:ascii="Times New Roman" w:eastAsia="Calibri" w:hAnsi="Times New Roman" w:cs="Times New Roman"/>
          <w:sz w:val="24"/>
          <w:szCs w:val="24"/>
          <w:lang w:val="ru-RU"/>
        </w:rPr>
      </w:pPr>
      <w:proofErr w:type="spellStart"/>
      <w:r w:rsidRPr="006C13DF">
        <w:rPr>
          <w:rFonts w:ascii="Times New Roman" w:eastAsia="Calibri" w:hAnsi="Times New Roman" w:cs="Times New Roman"/>
          <w:sz w:val="24"/>
          <w:szCs w:val="24"/>
          <w:lang w:val="ru-RU"/>
        </w:rPr>
        <w:t>Финансови</w:t>
      </w:r>
      <w:proofErr w:type="spellEnd"/>
      <w:r w:rsidRPr="006C13DF">
        <w:rPr>
          <w:rFonts w:ascii="Times New Roman" w:eastAsia="Calibri" w:hAnsi="Times New Roman" w:cs="Times New Roman"/>
          <w:sz w:val="24"/>
          <w:szCs w:val="24"/>
          <w:lang w:val="ru-RU"/>
        </w:rPr>
        <w:t xml:space="preserve"> средства за </w:t>
      </w:r>
      <w:proofErr w:type="spellStart"/>
      <w:r w:rsidRPr="006C13DF">
        <w:rPr>
          <w:rFonts w:ascii="Times New Roman" w:eastAsia="Calibri" w:hAnsi="Times New Roman" w:cs="Times New Roman"/>
          <w:sz w:val="24"/>
          <w:szCs w:val="24"/>
          <w:lang w:val="ru-RU"/>
        </w:rPr>
        <w:t>реализиране</w:t>
      </w:r>
      <w:proofErr w:type="spellEnd"/>
      <w:r w:rsidRPr="006C13DF">
        <w:rPr>
          <w:rFonts w:ascii="Times New Roman" w:eastAsia="Calibri" w:hAnsi="Times New Roman" w:cs="Times New Roman"/>
          <w:sz w:val="24"/>
          <w:szCs w:val="24"/>
          <w:lang w:val="ru-RU"/>
        </w:rPr>
        <w:t xml:space="preserve"> на </w:t>
      </w:r>
      <w:proofErr w:type="spellStart"/>
      <w:r w:rsidRPr="006C13DF">
        <w:rPr>
          <w:rFonts w:ascii="Times New Roman" w:eastAsia="Calibri" w:hAnsi="Times New Roman" w:cs="Times New Roman"/>
          <w:sz w:val="24"/>
          <w:szCs w:val="24"/>
          <w:lang w:val="ru-RU"/>
        </w:rPr>
        <w:t>проектите</w:t>
      </w:r>
      <w:proofErr w:type="spellEnd"/>
      <w:r w:rsidRPr="006C13DF">
        <w:rPr>
          <w:rFonts w:ascii="Times New Roman" w:eastAsia="Calibri" w:hAnsi="Times New Roman" w:cs="Times New Roman"/>
          <w:sz w:val="24"/>
          <w:szCs w:val="24"/>
          <w:lang w:val="ru-RU"/>
        </w:rPr>
        <w:t xml:space="preserve"> за 2023 г. – 380 000 </w:t>
      </w:r>
      <w:proofErr w:type="spellStart"/>
      <w:r w:rsidRPr="006C13DF">
        <w:rPr>
          <w:rFonts w:ascii="Times New Roman" w:eastAsia="Calibri" w:hAnsi="Times New Roman" w:cs="Times New Roman"/>
          <w:sz w:val="24"/>
          <w:szCs w:val="24"/>
          <w:lang w:val="ru-RU"/>
        </w:rPr>
        <w:t>лв</w:t>
      </w:r>
      <w:proofErr w:type="spellEnd"/>
      <w:r w:rsidRPr="006C13DF">
        <w:rPr>
          <w:rFonts w:ascii="Times New Roman" w:eastAsia="Calibri" w:hAnsi="Times New Roman" w:cs="Times New Roman"/>
          <w:sz w:val="24"/>
          <w:szCs w:val="24"/>
          <w:lang w:val="ru-RU"/>
        </w:rPr>
        <w:t>.</w:t>
      </w:r>
    </w:p>
    <w:p w14:paraId="6D42F1BA" w14:textId="77777777" w:rsidR="00C82B75" w:rsidRDefault="00C82B75" w:rsidP="00554703">
      <w:pPr>
        <w:pStyle w:val="ListParagraph"/>
        <w:numPr>
          <w:ilvl w:val="0"/>
          <w:numId w:val="15"/>
        </w:numPr>
        <w:spacing w:after="0" w:line="240" w:lineRule="auto"/>
        <w:jc w:val="both"/>
        <w:rPr>
          <w:rFonts w:ascii="Times New Roman" w:eastAsia="Calibri" w:hAnsi="Times New Roman" w:cs="Times New Roman"/>
          <w:sz w:val="24"/>
          <w:szCs w:val="24"/>
          <w:lang w:val="ru-RU"/>
        </w:rPr>
      </w:pPr>
      <w:proofErr w:type="spellStart"/>
      <w:r w:rsidRPr="006C13DF">
        <w:rPr>
          <w:rFonts w:ascii="Times New Roman" w:eastAsia="Calibri" w:hAnsi="Times New Roman" w:cs="Times New Roman"/>
          <w:sz w:val="24"/>
          <w:szCs w:val="24"/>
          <w:lang w:val="ru-RU"/>
        </w:rPr>
        <w:t>Финансови</w:t>
      </w:r>
      <w:proofErr w:type="spellEnd"/>
      <w:r w:rsidRPr="006C13DF">
        <w:rPr>
          <w:rFonts w:ascii="Times New Roman" w:eastAsia="Calibri" w:hAnsi="Times New Roman" w:cs="Times New Roman"/>
          <w:sz w:val="24"/>
          <w:szCs w:val="24"/>
          <w:lang w:val="ru-RU"/>
        </w:rPr>
        <w:t xml:space="preserve"> средства за </w:t>
      </w:r>
      <w:proofErr w:type="spellStart"/>
      <w:r w:rsidRPr="006C13DF">
        <w:rPr>
          <w:rFonts w:ascii="Times New Roman" w:eastAsia="Calibri" w:hAnsi="Times New Roman" w:cs="Times New Roman"/>
          <w:sz w:val="24"/>
          <w:szCs w:val="24"/>
          <w:lang w:val="ru-RU"/>
        </w:rPr>
        <w:t>реализиране</w:t>
      </w:r>
      <w:proofErr w:type="spellEnd"/>
      <w:r w:rsidRPr="006C13DF">
        <w:rPr>
          <w:rFonts w:ascii="Times New Roman" w:eastAsia="Calibri" w:hAnsi="Times New Roman" w:cs="Times New Roman"/>
          <w:sz w:val="24"/>
          <w:szCs w:val="24"/>
          <w:lang w:val="ru-RU"/>
        </w:rPr>
        <w:t xml:space="preserve"> на </w:t>
      </w:r>
      <w:proofErr w:type="spellStart"/>
      <w:r w:rsidRPr="006C13DF">
        <w:rPr>
          <w:rFonts w:ascii="Times New Roman" w:eastAsia="Calibri" w:hAnsi="Times New Roman" w:cs="Times New Roman"/>
          <w:sz w:val="24"/>
          <w:szCs w:val="24"/>
          <w:lang w:val="ru-RU"/>
        </w:rPr>
        <w:t>проектите</w:t>
      </w:r>
      <w:proofErr w:type="spellEnd"/>
      <w:r w:rsidRPr="006C13DF">
        <w:rPr>
          <w:rFonts w:ascii="Times New Roman" w:eastAsia="Calibri" w:hAnsi="Times New Roman" w:cs="Times New Roman"/>
          <w:sz w:val="24"/>
          <w:szCs w:val="24"/>
          <w:lang w:val="ru-RU"/>
        </w:rPr>
        <w:t xml:space="preserve"> за 2024 г. – 516 539 </w:t>
      </w:r>
      <w:proofErr w:type="spellStart"/>
      <w:r w:rsidRPr="006C13DF">
        <w:rPr>
          <w:rFonts w:ascii="Times New Roman" w:eastAsia="Calibri" w:hAnsi="Times New Roman" w:cs="Times New Roman"/>
          <w:sz w:val="24"/>
          <w:szCs w:val="24"/>
          <w:lang w:val="ru-RU"/>
        </w:rPr>
        <w:t>лв</w:t>
      </w:r>
      <w:proofErr w:type="spellEnd"/>
      <w:r w:rsidRPr="006C13DF">
        <w:rPr>
          <w:rFonts w:ascii="Times New Roman" w:eastAsia="Calibri" w:hAnsi="Times New Roman" w:cs="Times New Roman"/>
          <w:sz w:val="24"/>
          <w:szCs w:val="24"/>
          <w:lang w:val="ru-RU"/>
        </w:rPr>
        <w:t>.</w:t>
      </w:r>
    </w:p>
    <w:p w14:paraId="3C405AF1" w14:textId="77777777" w:rsidR="006974D7" w:rsidRDefault="006974D7" w:rsidP="006974D7">
      <w:pPr>
        <w:spacing w:after="0" w:line="240" w:lineRule="auto"/>
        <w:jc w:val="both"/>
        <w:rPr>
          <w:rFonts w:ascii="Times New Roman" w:eastAsia="Calibri" w:hAnsi="Times New Roman" w:cs="Times New Roman"/>
          <w:sz w:val="24"/>
          <w:szCs w:val="24"/>
          <w:lang w:val="ru-RU"/>
        </w:rPr>
      </w:pPr>
    </w:p>
    <w:p w14:paraId="0BED9876" w14:textId="77777777" w:rsidR="00562F81" w:rsidRDefault="00562F81" w:rsidP="006974D7">
      <w:pPr>
        <w:spacing w:after="0" w:line="240" w:lineRule="auto"/>
        <w:jc w:val="center"/>
        <w:rPr>
          <w:rFonts w:ascii="Times New Roman" w:eastAsia="Calibri" w:hAnsi="Times New Roman" w:cs="Times New Roman"/>
          <w:b/>
          <w:caps/>
          <w:color w:val="C0504D"/>
          <w:sz w:val="24"/>
          <w:szCs w:val="24"/>
        </w:rPr>
      </w:pPr>
    </w:p>
    <w:p w14:paraId="34FE903B" w14:textId="77777777" w:rsidR="006974D7" w:rsidRDefault="006974D7" w:rsidP="006974D7">
      <w:pPr>
        <w:spacing w:after="0" w:line="240" w:lineRule="auto"/>
        <w:jc w:val="center"/>
        <w:rPr>
          <w:rFonts w:ascii="Times New Roman" w:eastAsia="Calibri" w:hAnsi="Times New Roman" w:cs="Times New Roman"/>
          <w:sz w:val="24"/>
          <w:szCs w:val="24"/>
          <w:lang w:val="ru-RU"/>
        </w:rPr>
      </w:pPr>
      <w:r w:rsidRPr="006C13DF">
        <w:rPr>
          <w:rFonts w:ascii="Times New Roman" w:eastAsia="Calibri" w:hAnsi="Times New Roman" w:cs="Times New Roman"/>
          <w:b/>
          <w:caps/>
          <w:color w:val="C0504D"/>
          <w:sz w:val="24"/>
          <w:szCs w:val="24"/>
        </w:rPr>
        <w:t>Министерство на</w:t>
      </w:r>
      <w:r>
        <w:rPr>
          <w:rFonts w:ascii="Times New Roman" w:eastAsia="Calibri" w:hAnsi="Times New Roman" w:cs="Times New Roman"/>
          <w:b/>
          <w:caps/>
          <w:color w:val="C0504D"/>
          <w:sz w:val="24"/>
          <w:szCs w:val="24"/>
        </w:rPr>
        <w:t xml:space="preserve"> ОТБРАНАТА </w:t>
      </w:r>
    </w:p>
    <w:p w14:paraId="24EFE51A" w14:textId="77777777" w:rsidR="006974D7" w:rsidRDefault="006974D7" w:rsidP="00D7133B">
      <w:pPr>
        <w:spacing w:after="0" w:line="240" w:lineRule="auto"/>
        <w:jc w:val="both"/>
        <w:rPr>
          <w:rFonts w:ascii="Times New Roman" w:eastAsia="Calibri" w:hAnsi="Times New Roman" w:cs="Times New Roman"/>
          <w:sz w:val="24"/>
          <w:szCs w:val="24"/>
          <w:lang w:val="ru-RU"/>
        </w:rPr>
      </w:pPr>
    </w:p>
    <w:p w14:paraId="2234DCBB" w14:textId="77777777" w:rsidR="006974D7" w:rsidRDefault="006974D7" w:rsidP="00D7133B">
      <w:pPr>
        <w:spacing w:after="0" w:line="240" w:lineRule="auto"/>
        <w:jc w:val="both"/>
        <w:rPr>
          <w:rFonts w:ascii="Times New Roman" w:eastAsia="Calibri" w:hAnsi="Times New Roman" w:cs="Times New Roman"/>
          <w:b/>
          <w:sz w:val="24"/>
          <w:szCs w:val="24"/>
        </w:rPr>
      </w:pPr>
      <w:r w:rsidRPr="00D7133B">
        <w:rPr>
          <w:rFonts w:ascii="Times New Roman" w:eastAsia="Calibri" w:hAnsi="Times New Roman" w:cs="Times New Roman"/>
          <w:b/>
          <w:sz w:val="24"/>
          <w:szCs w:val="24"/>
        </w:rPr>
        <w:t>2.2.</w:t>
      </w:r>
      <w:r w:rsidR="00D7133B" w:rsidRPr="00D7133B">
        <w:rPr>
          <w:rFonts w:ascii="Times New Roman" w:eastAsia="Calibri" w:hAnsi="Times New Roman" w:cs="Times New Roman"/>
          <w:b/>
          <w:sz w:val="24"/>
          <w:szCs w:val="24"/>
        </w:rPr>
        <w:t>3</w:t>
      </w:r>
      <w:r w:rsidRPr="00D7133B">
        <w:rPr>
          <w:rFonts w:ascii="Times New Roman" w:eastAsia="Calibri" w:hAnsi="Times New Roman" w:cs="Times New Roman"/>
          <w:b/>
          <w:sz w:val="24"/>
          <w:szCs w:val="24"/>
        </w:rPr>
        <w:t>. Подпомагане на дейността на военно-патриотичните съюзи и организации на запасни, резервисти, ветерани от войните, военноинвалиди и военно-пострадали и неправителствени организации със сфера на дейност в сигурността и отбраната, създадени като юридически лица с нестопанска цел за осъществяване на общественополезна дейност, чрез финансиране на обществено значими мероприятия в партньорство с Министерството на отбраната, съгласно разпоредб</w:t>
      </w:r>
      <w:r w:rsidR="00D7133B">
        <w:rPr>
          <w:rFonts w:ascii="Times New Roman" w:eastAsia="Calibri" w:hAnsi="Times New Roman" w:cs="Times New Roman"/>
          <w:b/>
          <w:sz w:val="24"/>
          <w:szCs w:val="24"/>
        </w:rPr>
        <w:t>ите и изискванията на Наредба №</w:t>
      </w:r>
      <w:r w:rsidRPr="00D7133B">
        <w:rPr>
          <w:rFonts w:ascii="Times New Roman" w:eastAsia="Calibri" w:hAnsi="Times New Roman" w:cs="Times New Roman"/>
          <w:b/>
          <w:sz w:val="24"/>
          <w:szCs w:val="24"/>
        </w:rPr>
        <w:t>Н-12/17.07.2014 г. за условията и реда на предоставяне на финансова или материална помощ и за предоставяне на помещения във военните клубове или сгради в управление на Министерството на отбраната или структурите на пряко подчинение на министъра на отбраната</w:t>
      </w:r>
    </w:p>
    <w:p w14:paraId="6104B3F2" w14:textId="77777777" w:rsidR="00D7133B" w:rsidRDefault="00D7133B" w:rsidP="00D7133B">
      <w:pPr>
        <w:spacing w:after="0" w:line="240" w:lineRule="auto"/>
        <w:jc w:val="both"/>
        <w:rPr>
          <w:rFonts w:ascii="Times New Roman" w:eastAsia="Calibri" w:hAnsi="Times New Roman" w:cs="Times New Roman"/>
          <w:b/>
          <w:sz w:val="24"/>
          <w:szCs w:val="24"/>
        </w:rPr>
      </w:pPr>
    </w:p>
    <w:p w14:paraId="0C7825BB" w14:textId="77777777" w:rsidR="00D7133B" w:rsidRPr="0023718D" w:rsidRDefault="00D7133B" w:rsidP="0023718D">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sz w:val="24"/>
          <w:szCs w:val="24"/>
        </w:rPr>
        <w:tab/>
      </w:r>
      <w:r w:rsidRPr="0023718D">
        <w:rPr>
          <w:rFonts w:ascii="Times New Roman" w:eastAsia="Calibri" w:hAnsi="Times New Roman" w:cs="Times New Roman"/>
          <w:sz w:val="24"/>
          <w:szCs w:val="24"/>
        </w:rPr>
        <w:t>През 2023 г.</w:t>
      </w:r>
      <w:r w:rsidRPr="0023718D">
        <w:rPr>
          <w:rFonts w:ascii="Times New Roman" w:eastAsia="Calibri" w:hAnsi="Times New Roman" w:cs="Times New Roman"/>
          <w:sz w:val="24"/>
          <w:szCs w:val="24"/>
          <w:lang w:val="ru-RU"/>
        </w:rPr>
        <w:t xml:space="preserve"> </w:t>
      </w:r>
      <w:r w:rsidRPr="0023718D">
        <w:rPr>
          <w:rFonts w:ascii="Times New Roman" w:eastAsia="Calibri" w:hAnsi="Times New Roman" w:cs="Times New Roman"/>
          <w:sz w:val="24"/>
          <w:szCs w:val="24"/>
        </w:rPr>
        <w:t xml:space="preserve">Министерство на отбраната е сключило договор </w:t>
      </w:r>
      <w:r w:rsidR="0023718D">
        <w:rPr>
          <w:rFonts w:ascii="Times New Roman" w:eastAsia="Calibri" w:hAnsi="Times New Roman" w:cs="Times New Roman"/>
          <w:sz w:val="24"/>
          <w:szCs w:val="24"/>
        </w:rPr>
        <w:t>с осем</w:t>
      </w:r>
      <w:r w:rsidR="0023718D" w:rsidRPr="0023718D">
        <w:rPr>
          <w:rFonts w:ascii="Times New Roman" w:eastAsia="Calibri" w:hAnsi="Times New Roman" w:cs="Times New Roman"/>
          <w:sz w:val="24"/>
          <w:szCs w:val="24"/>
        </w:rPr>
        <w:t xml:space="preserve"> организации</w:t>
      </w:r>
      <w:r w:rsidR="0023718D">
        <w:rPr>
          <w:rFonts w:ascii="Times New Roman" w:eastAsia="Calibri" w:hAnsi="Times New Roman" w:cs="Times New Roman"/>
          <w:sz w:val="24"/>
          <w:szCs w:val="24"/>
        </w:rPr>
        <w:t>,</w:t>
      </w:r>
      <w:r w:rsidR="0023718D" w:rsidRPr="0023718D">
        <w:rPr>
          <w:rFonts w:ascii="Times New Roman" w:eastAsia="Calibri" w:hAnsi="Times New Roman" w:cs="Times New Roman"/>
          <w:sz w:val="24"/>
          <w:szCs w:val="24"/>
        </w:rPr>
        <w:t xml:space="preserve"> </w:t>
      </w:r>
      <w:r w:rsidR="0023718D">
        <w:rPr>
          <w:rFonts w:ascii="Times New Roman" w:eastAsia="Calibri" w:hAnsi="Times New Roman" w:cs="Times New Roman"/>
          <w:sz w:val="24"/>
          <w:szCs w:val="24"/>
        </w:rPr>
        <w:t xml:space="preserve">а през </w:t>
      </w:r>
      <w:r w:rsidR="0023718D" w:rsidRPr="0023718D">
        <w:rPr>
          <w:rFonts w:ascii="Times New Roman" w:eastAsia="Calibri" w:hAnsi="Times New Roman" w:cs="Times New Roman"/>
          <w:sz w:val="24"/>
          <w:szCs w:val="24"/>
          <w:lang w:val="ru-RU"/>
        </w:rPr>
        <w:t xml:space="preserve">2024 </w:t>
      </w:r>
      <w:r w:rsidR="0023718D" w:rsidRPr="0023718D">
        <w:rPr>
          <w:rFonts w:ascii="Times New Roman" w:eastAsia="Calibri" w:hAnsi="Times New Roman" w:cs="Times New Roman"/>
          <w:sz w:val="24"/>
          <w:szCs w:val="24"/>
        </w:rPr>
        <w:t>г.</w:t>
      </w:r>
      <w:r w:rsidR="0023718D">
        <w:rPr>
          <w:rFonts w:ascii="Times New Roman" w:eastAsia="Calibri" w:hAnsi="Times New Roman" w:cs="Times New Roman"/>
          <w:sz w:val="24"/>
          <w:szCs w:val="24"/>
        </w:rPr>
        <w:t xml:space="preserve"> с девет организации от посочените по-горе</w:t>
      </w:r>
      <w:r w:rsidRPr="00D7133B">
        <w:rPr>
          <w:rFonts w:ascii="Times New Roman" w:eastAsia="Calibri" w:hAnsi="Times New Roman" w:cs="Times New Roman"/>
          <w:sz w:val="24"/>
          <w:szCs w:val="24"/>
        </w:rPr>
        <w:t xml:space="preserve">, съгласно </w:t>
      </w:r>
      <w:r w:rsidRPr="00D7133B">
        <w:rPr>
          <w:rFonts w:ascii="Times New Roman" w:eastAsia="Calibri" w:hAnsi="Times New Roman" w:cs="Times New Roman"/>
          <w:bCs/>
          <w:sz w:val="24"/>
          <w:szCs w:val="24"/>
        </w:rPr>
        <w:t xml:space="preserve">„Приоритети на Министерството на отбраната в областта на военно-патриотичното възпитание и сигурността и отбраната </w:t>
      </w:r>
      <w:r w:rsidRPr="00D7133B">
        <w:rPr>
          <w:rFonts w:ascii="Times New Roman" w:eastAsia="Calibri" w:hAnsi="Times New Roman" w:cs="Times New Roman"/>
          <w:bCs/>
          <w:sz w:val="24"/>
          <w:szCs w:val="24"/>
          <w:lang w:val="ru-RU"/>
        </w:rPr>
        <w:t>(</w:t>
      </w:r>
      <w:r w:rsidR="0023718D">
        <w:rPr>
          <w:rFonts w:ascii="Times New Roman" w:eastAsia="Calibri" w:hAnsi="Times New Roman" w:cs="Times New Roman"/>
          <w:bCs/>
          <w:sz w:val="24"/>
          <w:szCs w:val="24"/>
        </w:rPr>
        <w:t xml:space="preserve">2023 – </w:t>
      </w:r>
      <w:r w:rsidRPr="00D7133B">
        <w:rPr>
          <w:rFonts w:ascii="Times New Roman" w:eastAsia="Calibri" w:hAnsi="Times New Roman" w:cs="Times New Roman"/>
          <w:bCs/>
          <w:sz w:val="24"/>
          <w:szCs w:val="24"/>
        </w:rPr>
        <w:t>2024 г.</w:t>
      </w:r>
      <w:r w:rsidRPr="00D7133B">
        <w:rPr>
          <w:rFonts w:ascii="Times New Roman" w:eastAsia="Calibri" w:hAnsi="Times New Roman" w:cs="Times New Roman"/>
          <w:bCs/>
          <w:sz w:val="24"/>
          <w:szCs w:val="24"/>
          <w:lang w:val="ru-RU"/>
        </w:rPr>
        <w:t>)</w:t>
      </w:r>
      <w:r w:rsidRPr="00D7133B">
        <w:rPr>
          <w:rFonts w:ascii="Times New Roman" w:eastAsia="Calibri" w:hAnsi="Times New Roman" w:cs="Times New Roman"/>
          <w:bCs/>
          <w:sz w:val="24"/>
          <w:szCs w:val="24"/>
        </w:rPr>
        <w:t xml:space="preserve">“ и правилата за сътрудничество на министъра </w:t>
      </w:r>
      <w:r w:rsidRPr="0023718D">
        <w:rPr>
          <w:rFonts w:ascii="Times New Roman" w:eastAsia="Calibri" w:hAnsi="Times New Roman" w:cs="Times New Roman"/>
          <w:bCs/>
          <w:sz w:val="24"/>
          <w:szCs w:val="24"/>
        </w:rPr>
        <w:t>на отбраната с неправителствени организации, създадени като юридически лица за осъществяване на общественополезна дейност.</w:t>
      </w:r>
    </w:p>
    <w:p w14:paraId="784C301A" w14:textId="77777777" w:rsidR="006974D7" w:rsidRPr="0023718D" w:rsidRDefault="006974D7" w:rsidP="0023718D">
      <w:pPr>
        <w:spacing w:after="0" w:line="240" w:lineRule="auto"/>
        <w:jc w:val="both"/>
        <w:rPr>
          <w:rFonts w:ascii="Times New Roman" w:eastAsia="Calibri" w:hAnsi="Times New Roman" w:cs="Times New Roman"/>
          <w:b/>
          <w:i/>
          <w:sz w:val="24"/>
          <w:szCs w:val="24"/>
        </w:rPr>
      </w:pPr>
    </w:p>
    <w:p w14:paraId="1DDE45FD" w14:textId="77777777" w:rsidR="0023718D" w:rsidRPr="0023718D" w:rsidRDefault="0023718D" w:rsidP="0023718D">
      <w:pPr>
        <w:spacing w:after="0" w:line="240" w:lineRule="auto"/>
        <w:jc w:val="center"/>
        <w:rPr>
          <w:rFonts w:ascii="Times New Roman" w:eastAsia="Calibri" w:hAnsi="Times New Roman" w:cs="Times New Roman"/>
          <w:sz w:val="24"/>
          <w:szCs w:val="24"/>
          <w:lang w:val="ru-RU"/>
        </w:rPr>
      </w:pPr>
      <w:r w:rsidRPr="0023718D">
        <w:rPr>
          <w:rFonts w:ascii="Times New Roman" w:eastAsia="Calibri" w:hAnsi="Times New Roman" w:cs="Times New Roman"/>
          <w:b/>
          <w:caps/>
          <w:color w:val="C0504D"/>
          <w:sz w:val="24"/>
          <w:szCs w:val="24"/>
        </w:rPr>
        <w:t xml:space="preserve">Министерство на ОТБРАНАТА </w:t>
      </w:r>
    </w:p>
    <w:p w14:paraId="732FCE27" w14:textId="77777777" w:rsidR="0023718D" w:rsidRPr="0023718D" w:rsidRDefault="0023718D" w:rsidP="0023718D">
      <w:pPr>
        <w:spacing w:after="0" w:line="240" w:lineRule="auto"/>
        <w:jc w:val="both"/>
        <w:rPr>
          <w:rFonts w:ascii="Times New Roman" w:eastAsia="Calibri" w:hAnsi="Times New Roman" w:cs="Times New Roman"/>
          <w:b/>
          <w:i/>
          <w:sz w:val="24"/>
          <w:szCs w:val="24"/>
        </w:rPr>
      </w:pPr>
    </w:p>
    <w:p w14:paraId="0C04A6CE" w14:textId="77777777" w:rsidR="0023718D" w:rsidRDefault="0023718D" w:rsidP="0023718D">
      <w:pPr>
        <w:spacing w:after="0" w:line="240" w:lineRule="auto"/>
        <w:jc w:val="both"/>
        <w:rPr>
          <w:rFonts w:ascii="Times New Roman" w:eastAsia="Times New Roman" w:hAnsi="Times New Roman" w:cs="Times New Roman"/>
          <w:b/>
          <w:sz w:val="24"/>
          <w:szCs w:val="24"/>
          <w:lang w:eastAsia="bg-BG"/>
        </w:rPr>
      </w:pPr>
      <w:r w:rsidRPr="0023718D">
        <w:rPr>
          <w:rFonts w:ascii="Times New Roman" w:eastAsia="Times New Roman" w:hAnsi="Times New Roman" w:cs="Times New Roman"/>
          <w:b/>
          <w:sz w:val="24"/>
          <w:szCs w:val="24"/>
          <w:lang w:eastAsia="bg-BG"/>
        </w:rPr>
        <w:t>2.2.4</w:t>
      </w:r>
      <w:r w:rsidR="006974D7" w:rsidRPr="0023718D">
        <w:rPr>
          <w:rFonts w:ascii="Times New Roman" w:eastAsia="Times New Roman" w:hAnsi="Times New Roman" w:cs="Times New Roman"/>
          <w:b/>
          <w:sz w:val="24"/>
          <w:szCs w:val="24"/>
          <w:lang w:eastAsia="bg-BG"/>
        </w:rPr>
        <w:t xml:space="preserve">. Привличане на военно-патриотичните съюзи в мероприятия </w:t>
      </w:r>
      <w:r>
        <w:rPr>
          <w:rFonts w:ascii="Times New Roman" w:eastAsia="Times New Roman" w:hAnsi="Times New Roman" w:cs="Times New Roman"/>
          <w:b/>
          <w:sz w:val="24"/>
          <w:szCs w:val="24"/>
          <w:lang w:eastAsia="bg-BG"/>
        </w:rPr>
        <w:t>на Министерството на отбраната</w:t>
      </w:r>
    </w:p>
    <w:p w14:paraId="297FF166" w14:textId="77777777" w:rsidR="0023718D" w:rsidRDefault="0023718D" w:rsidP="0023718D">
      <w:pPr>
        <w:spacing w:after="0" w:line="240" w:lineRule="auto"/>
        <w:jc w:val="both"/>
        <w:rPr>
          <w:rFonts w:ascii="Times New Roman" w:eastAsia="Times New Roman" w:hAnsi="Times New Roman" w:cs="Times New Roman"/>
          <w:b/>
          <w:sz w:val="24"/>
          <w:szCs w:val="24"/>
          <w:lang w:eastAsia="bg-BG"/>
        </w:rPr>
      </w:pPr>
    </w:p>
    <w:p w14:paraId="2C5C9140" w14:textId="77777777" w:rsidR="0023718D" w:rsidRPr="0023718D" w:rsidRDefault="0023718D" w:rsidP="0023718D">
      <w:pPr>
        <w:spacing w:after="0"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ab/>
      </w:r>
      <w:r w:rsidRPr="0023718D">
        <w:rPr>
          <w:rFonts w:ascii="Times New Roman" w:eastAsia="Times New Roman" w:hAnsi="Times New Roman" w:cs="Times New Roman"/>
          <w:bCs/>
          <w:sz w:val="24"/>
          <w:szCs w:val="24"/>
        </w:rPr>
        <w:t>Ръководството на Министерство на отбраната привлича председателите и членовете на неправителствените организации със сфера на дейност в сигурността и отбраната, сдруженията на военнослужещи, запасните, резервистите, ветераните от войните, военноинвалидите и военнопострадалите в отбелязването на всички значими дати, чествания и ритуали от протоколния календар на Министерството на отбраната. В допълнение се провеждат отделни срещи с ръководствата на организациите по конкретни теми и въпроси от взаимодействието на МО с НПО и др.</w:t>
      </w:r>
    </w:p>
    <w:p w14:paraId="763D0AC1" w14:textId="77777777" w:rsidR="0023718D" w:rsidRPr="0023718D" w:rsidRDefault="0023718D" w:rsidP="0023718D">
      <w:pPr>
        <w:spacing w:after="0" w:line="240" w:lineRule="auto"/>
        <w:jc w:val="both"/>
        <w:rPr>
          <w:rFonts w:ascii="Times New Roman" w:eastAsia="Times New Roman" w:hAnsi="Times New Roman" w:cs="Times New Roman"/>
          <w:b/>
          <w:i/>
          <w:sz w:val="24"/>
          <w:szCs w:val="24"/>
          <w:lang w:eastAsia="bg-BG"/>
        </w:rPr>
      </w:pPr>
    </w:p>
    <w:p w14:paraId="1ED28B65" w14:textId="77777777" w:rsidR="008231FD" w:rsidRDefault="008231FD" w:rsidP="0023718D">
      <w:pPr>
        <w:spacing w:after="0" w:line="240" w:lineRule="auto"/>
        <w:jc w:val="center"/>
        <w:rPr>
          <w:rFonts w:ascii="Times New Roman" w:eastAsia="Calibri" w:hAnsi="Times New Roman" w:cs="Times New Roman"/>
          <w:b/>
          <w:caps/>
          <w:color w:val="C0504D"/>
          <w:sz w:val="24"/>
          <w:szCs w:val="24"/>
        </w:rPr>
      </w:pPr>
    </w:p>
    <w:p w14:paraId="0E3A7025" w14:textId="77777777" w:rsidR="008231FD" w:rsidRDefault="008231FD" w:rsidP="0023718D">
      <w:pPr>
        <w:spacing w:after="0" w:line="240" w:lineRule="auto"/>
        <w:jc w:val="center"/>
        <w:rPr>
          <w:rFonts w:ascii="Times New Roman" w:eastAsia="Calibri" w:hAnsi="Times New Roman" w:cs="Times New Roman"/>
          <w:b/>
          <w:caps/>
          <w:color w:val="C0504D"/>
          <w:sz w:val="24"/>
          <w:szCs w:val="24"/>
        </w:rPr>
      </w:pPr>
    </w:p>
    <w:p w14:paraId="72ECF5BC" w14:textId="77777777" w:rsidR="008231FD" w:rsidRDefault="008231FD" w:rsidP="0023718D">
      <w:pPr>
        <w:spacing w:after="0" w:line="240" w:lineRule="auto"/>
        <w:jc w:val="center"/>
        <w:rPr>
          <w:rFonts w:ascii="Times New Roman" w:eastAsia="Calibri" w:hAnsi="Times New Roman" w:cs="Times New Roman"/>
          <w:b/>
          <w:caps/>
          <w:color w:val="C0504D"/>
          <w:sz w:val="24"/>
          <w:szCs w:val="24"/>
        </w:rPr>
      </w:pPr>
    </w:p>
    <w:p w14:paraId="079C1347" w14:textId="77777777" w:rsidR="008231FD" w:rsidRDefault="008231FD" w:rsidP="0023718D">
      <w:pPr>
        <w:spacing w:after="0" w:line="240" w:lineRule="auto"/>
        <w:jc w:val="center"/>
        <w:rPr>
          <w:rFonts w:ascii="Times New Roman" w:eastAsia="Calibri" w:hAnsi="Times New Roman" w:cs="Times New Roman"/>
          <w:b/>
          <w:caps/>
          <w:color w:val="C0504D"/>
          <w:sz w:val="24"/>
          <w:szCs w:val="24"/>
        </w:rPr>
      </w:pPr>
    </w:p>
    <w:p w14:paraId="099C4684" w14:textId="77777777" w:rsidR="0023718D" w:rsidRPr="0023718D" w:rsidRDefault="0023718D" w:rsidP="0023718D">
      <w:pPr>
        <w:spacing w:after="0" w:line="240" w:lineRule="auto"/>
        <w:jc w:val="center"/>
        <w:rPr>
          <w:rFonts w:ascii="Times New Roman" w:eastAsia="Calibri" w:hAnsi="Times New Roman" w:cs="Times New Roman"/>
          <w:sz w:val="24"/>
          <w:szCs w:val="24"/>
          <w:lang w:val="ru-RU"/>
        </w:rPr>
      </w:pPr>
      <w:r w:rsidRPr="0023718D">
        <w:rPr>
          <w:rFonts w:ascii="Times New Roman" w:eastAsia="Calibri" w:hAnsi="Times New Roman" w:cs="Times New Roman"/>
          <w:b/>
          <w:caps/>
          <w:color w:val="C0504D"/>
          <w:sz w:val="24"/>
          <w:szCs w:val="24"/>
        </w:rPr>
        <w:lastRenderedPageBreak/>
        <w:t xml:space="preserve">Министерство на ОТБРАНАТА </w:t>
      </w:r>
    </w:p>
    <w:p w14:paraId="4B49E083" w14:textId="77777777" w:rsidR="0023718D" w:rsidRPr="0023718D" w:rsidRDefault="0023718D" w:rsidP="0023718D">
      <w:pPr>
        <w:spacing w:after="0" w:line="240" w:lineRule="auto"/>
        <w:jc w:val="both"/>
        <w:rPr>
          <w:rFonts w:ascii="Times New Roman" w:eastAsia="Times New Roman" w:hAnsi="Times New Roman" w:cs="Times New Roman"/>
          <w:b/>
          <w:i/>
          <w:sz w:val="24"/>
          <w:szCs w:val="24"/>
          <w:lang w:eastAsia="bg-BG"/>
        </w:rPr>
      </w:pPr>
    </w:p>
    <w:p w14:paraId="6C36E205" w14:textId="77777777" w:rsidR="006974D7" w:rsidRDefault="0023718D" w:rsidP="0023718D">
      <w:pPr>
        <w:spacing w:after="0"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2.2.5</w:t>
      </w:r>
      <w:r w:rsidR="006974D7" w:rsidRPr="0023718D">
        <w:rPr>
          <w:rFonts w:ascii="Times New Roman" w:eastAsia="Times New Roman" w:hAnsi="Times New Roman" w:cs="Times New Roman"/>
          <w:b/>
          <w:sz w:val="24"/>
          <w:szCs w:val="24"/>
          <w:lang w:eastAsia="bg-BG"/>
        </w:rPr>
        <w:t>. Предоставяне на помещения на военно-патриотичните съюзи и организации със сфера на дейност в сигурността и отбраната във военни клубове или други подходящи помещения в сгради в управление на Министерството на отбраната или структури на пряко подчинение на министъра на отбраната, съг</w:t>
      </w:r>
      <w:r>
        <w:rPr>
          <w:rFonts w:ascii="Times New Roman" w:eastAsia="Times New Roman" w:hAnsi="Times New Roman" w:cs="Times New Roman"/>
          <w:b/>
          <w:sz w:val="24"/>
          <w:szCs w:val="24"/>
          <w:lang w:eastAsia="bg-BG"/>
        </w:rPr>
        <w:t>ласно изискванията на Наредба №</w:t>
      </w:r>
      <w:r w:rsidR="006974D7" w:rsidRPr="0023718D">
        <w:rPr>
          <w:rFonts w:ascii="Times New Roman" w:eastAsia="Times New Roman" w:hAnsi="Times New Roman" w:cs="Times New Roman"/>
          <w:b/>
          <w:sz w:val="24"/>
          <w:szCs w:val="24"/>
          <w:lang w:eastAsia="bg-BG"/>
        </w:rPr>
        <w:t>Н-12/17.07.2014 г. за условията и реда на предоставяне на финансова или материална помощ и за предоставяне на помещения във военните клубове или сгради в управление на Министерството на отбраната или структурите на пряко подчинение на министъра на отбраната</w:t>
      </w:r>
    </w:p>
    <w:p w14:paraId="1089D141" w14:textId="77777777" w:rsidR="0023718D" w:rsidRPr="0023718D" w:rsidRDefault="0023718D" w:rsidP="0023718D">
      <w:pPr>
        <w:spacing w:after="0" w:line="240" w:lineRule="auto"/>
        <w:jc w:val="both"/>
        <w:rPr>
          <w:rFonts w:ascii="Times New Roman" w:eastAsia="Times New Roman" w:hAnsi="Times New Roman" w:cs="Times New Roman"/>
          <w:b/>
          <w:sz w:val="24"/>
          <w:szCs w:val="24"/>
          <w:lang w:eastAsia="bg-BG"/>
        </w:rPr>
      </w:pPr>
    </w:p>
    <w:p w14:paraId="122D72C6" w14:textId="77777777" w:rsidR="006974D7" w:rsidRDefault="0023718D" w:rsidP="0023718D">
      <w:pPr>
        <w:spacing w:after="0" w:line="240" w:lineRule="auto"/>
        <w:ind w:right="-2"/>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r>
      <w:r w:rsidR="006974D7" w:rsidRPr="0023718D">
        <w:rPr>
          <w:rFonts w:ascii="Times New Roman" w:eastAsia="Times New Roman" w:hAnsi="Times New Roman" w:cs="Times New Roman"/>
          <w:sz w:val="24"/>
          <w:szCs w:val="24"/>
          <w:lang w:eastAsia="bg-BG"/>
        </w:rPr>
        <w:t>За период</w:t>
      </w:r>
      <w:r>
        <w:rPr>
          <w:rFonts w:ascii="Times New Roman" w:eastAsia="Times New Roman" w:hAnsi="Times New Roman" w:cs="Times New Roman"/>
          <w:sz w:val="24"/>
          <w:szCs w:val="24"/>
          <w:lang w:eastAsia="bg-BG"/>
        </w:rPr>
        <w:t>а</w:t>
      </w:r>
      <w:r w:rsidR="006974D7" w:rsidRPr="0023718D">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 xml:space="preserve">2023 – 2024 г. </w:t>
      </w:r>
      <w:r w:rsidR="006974D7" w:rsidRPr="0023718D">
        <w:rPr>
          <w:rFonts w:ascii="Times New Roman" w:eastAsia="Times New Roman" w:hAnsi="Times New Roman" w:cs="Times New Roman"/>
          <w:sz w:val="24"/>
          <w:szCs w:val="24"/>
          <w:lang w:eastAsia="bg-BG"/>
        </w:rPr>
        <w:t xml:space="preserve">Министерство на отбраната </w:t>
      </w:r>
      <w:r>
        <w:rPr>
          <w:rFonts w:ascii="Times New Roman" w:eastAsia="Times New Roman" w:hAnsi="Times New Roman" w:cs="Times New Roman"/>
          <w:sz w:val="24"/>
          <w:szCs w:val="24"/>
          <w:lang w:eastAsia="bg-BG"/>
        </w:rPr>
        <w:t xml:space="preserve">(МО) </w:t>
      </w:r>
      <w:r w:rsidR="006974D7" w:rsidRPr="0023718D">
        <w:rPr>
          <w:rFonts w:ascii="Times New Roman" w:eastAsia="Times New Roman" w:hAnsi="Times New Roman" w:cs="Times New Roman"/>
          <w:sz w:val="24"/>
          <w:szCs w:val="24"/>
          <w:lang w:eastAsia="bg-BG"/>
        </w:rPr>
        <w:t>предостави помещения на неправителствените организации със сфера на дейност в сигурността и отбраната, сдруженията на военнослужещи, запасните, резервистите, ветераните от войните, военноинвалидите и военнопострадалите във военни клубове или в сгради в управление на министерството или структури на пряко подчинение на министъра на отбраната, съг</w:t>
      </w:r>
      <w:r>
        <w:rPr>
          <w:rFonts w:ascii="Times New Roman" w:eastAsia="Times New Roman" w:hAnsi="Times New Roman" w:cs="Times New Roman"/>
          <w:sz w:val="24"/>
          <w:szCs w:val="24"/>
          <w:lang w:eastAsia="bg-BG"/>
        </w:rPr>
        <w:t>ласно изискванията на Наредба №</w:t>
      </w:r>
      <w:r w:rsidR="006974D7" w:rsidRPr="0023718D">
        <w:rPr>
          <w:rFonts w:ascii="Times New Roman" w:eastAsia="Times New Roman" w:hAnsi="Times New Roman" w:cs="Times New Roman"/>
          <w:sz w:val="24"/>
          <w:szCs w:val="24"/>
          <w:lang w:eastAsia="bg-BG"/>
        </w:rPr>
        <w:t xml:space="preserve">Н-12/17.07.2014 г. за условията и реда на предоставяне на финансова или материална помощ и за предоставяне на помещения във военните клубове или в сгради в управление на Министерството на отбраната или структурите на пряко подчинение на министъра на отбраната. </w:t>
      </w:r>
    </w:p>
    <w:p w14:paraId="7498C655" w14:textId="77777777" w:rsidR="006974D7" w:rsidRDefault="0023718D" w:rsidP="0023718D">
      <w:pPr>
        <w:spacing w:after="0" w:line="240" w:lineRule="auto"/>
        <w:ind w:right="-2"/>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t xml:space="preserve">Броят действащи към 31.12.2023 г. договори между </w:t>
      </w:r>
      <w:r w:rsidR="006974D7" w:rsidRPr="0023718D">
        <w:rPr>
          <w:rFonts w:ascii="Times New Roman" w:eastAsia="Times New Roman" w:hAnsi="Times New Roman" w:cs="Times New Roman"/>
          <w:sz w:val="24"/>
          <w:szCs w:val="24"/>
          <w:lang w:eastAsia="bg-BG"/>
        </w:rPr>
        <w:t xml:space="preserve">МО и организации на военнослужещи от запаса и резерва, ветерани от войните, военноинвалиди и военно-пострадали и др. със сфера на дейност в сигурността и отбраната са общо 65, като от тях: </w:t>
      </w:r>
    </w:p>
    <w:p w14:paraId="23FD91C2" w14:textId="77777777" w:rsidR="006974D7" w:rsidRPr="0023718D" w:rsidRDefault="0023718D" w:rsidP="0023718D">
      <w:pPr>
        <w:pStyle w:val="ListParagraph"/>
        <w:numPr>
          <w:ilvl w:val="0"/>
          <w:numId w:val="39"/>
        </w:numPr>
        <w:spacing w:after="0" w:line="240" w:lineRule="auto"/>
        <w:ind w:right="-2"/>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п</w:t>
      </w:r>
      <w:r w:rsidR="006974D7" w:rsidRPr="0023718D">
        <w:rPr>
          <w:rFonts w:ascii="Times New Roman" w:eastAsia="Times New Roman" w:hAnsi="Times New Roman" w:cs="Times New Roman"/>
          <w:sz w:val="24"/>
          <w:szCs w:val="24"/>
        </w:rPr>
        <w:t>омещения в управление на МО – 14</w:t>
      </w:r>
      <w:r>
        <w:rPr>
          <w:rFonts w:ascii="Times New Roman" w:eastAsia="Times New Roman" w:hAnsi="Times New Roman" w:cs="Times New Roman"/>
          <w:sz w:val="24"/>
          <w:szCs w:val="24"/>
        </w:rPr>
        <w:t>;</w:t>
      </w:r>
    </w:p>
    <w:p w14:paraId="51CD8216" w14:textId="77777777" w:rsidR="006974D7" w:rsidRPr="0023718D" w:rsidRDefault="0023718D" w:rsidP="0023718D">
      <w:pPr>
        <w:pStyle w:val="ListParagraph"/>
        <w:numPr>
          <w:ilvl w:val="0"/>
          <w:numId w:val="39"/>
        </w:numPr>
        <w:spacing w:after="0" w:line="240" w:lineRule="auto"/>
        <w:ind w:right="-2"/>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п</w:t>
      </w:r>
      <w:r w:rsidR="006974D7" w:rsidRPr="0023718D">
        <w:rPr>
          <w:rFonts w:ascii="Times New Roman" w:eastAsia="Times New Roman" w:hAnsi="Times New Roman" w:cs="Times New Roman"/>
          <w:sz w:val="24"/>
          <w:szCs w:val="24"/>
        </w:rPr>
        <w:t>омещения в управление на Изпълнителна агенция „Военни клубове и военно-почивно дело“</w:t>
      </w:r>
      <w:r w:rsidR="006974D7" w:rsidRPr="0023718D">
        <w:rPr>
          <w:rFonts w:ascii="Times New Roman" w:eastAsia="Times New Roman" w:hAnsi="Times New Roman" w:cs="Times New Roman"/>
          <w:sz w:val="24"/>
          <w:szCs w:val="24"/>
          <w:lang w:val="ru-RU"/>
        </w:rPr>
        <w:t xml:space="preserve"> (</w:t>
      </w:r>
      <w:r w:rsidR="006974D7" w:rsidRPr="0023718D">
        <w:rPr>
          <w:rFonts w:ascii="Times New Roman" w:eastAsia="Times New Roman" w:hAnsi="Times New Roman" w:cs="Times New Roman"/>
          <w:sz w:val="24"/>
          <w:szCs w:val="24"/>
        </w:rPr>
        <w:t>ИА „ВК и ВПД“</w:t>
      </w:r>
      <w:r w:rsidR="006974D7" w:rsidRPr="0023718D">
        <w:rPr>
          <w:rFonts w:ascii="Times New Roman" w:eastAsia="Times New Roman" w:hAnsi="Times New Roman" w:cs="Times New Roman"/>
          <w:sz w:val="24"/>
          <w:szCs w:val="24"/>
          <w:lang w:val="ru-RU"/>
        </w:rPr>
        <w:t>)</w:t>
      </w:r>
      <w:r w:rsidR="006974D7" w:rsidRPr="0023718D">
        <w:rPr>
          <w:rFonts w:ascii="Times New Roman" w:eastAsia="Times New Roman" w:hAnsi="Times New Roman" w:cs="Times New Roman"/>
          <w:sz w:val="24"/>
          <w:szCs w:val="24"/>
        </w:rPr>
        <w:t xml:space="preserve"> – 51.</w:t>
      </w:r>
    </w:p>
    <w:p w14:paraId="54047230" w14:textId="77777777" w:rsidR="006974D7" w:rsidRDefault="0023718D" w:rsidP="0023718D">
      <w:pPr>
        <w:spacing w:after="0" w:line="240" w:lineRule="auto"/>
        <w:ind w:right="-2"/>
        <w:jc w:val="both"/>
        <w:rPr>
          <w:rFonts w:ascii="Times New Roman" w:eastAsia="Times New Roman" w:hAnsi="Times New Roman" w:cs="Times New Roman"/>
          <w:sz w:val="24"/>
          <w:szCs w:val="24"/>
          <w:lang w:eastAsia="bg-BG"/>
        </w:rPr>
      </w:pPr>
      <w:r>
        <w:rPr>
          <w:rFonts w:ascii="Times New Roman" w:eastAsia="Times New Roman" w:hAnsi="Times New Roman" w:cs="Times New Roman"/>
          <w:bCs/>
          <w:sz w:val="24"/>
          <w:szCs w:val="24"/>
        </w:rPr>
        <w:tab/>
        <w:t xml:space="preserve">Броят действащи </w:t>
      </w:r>
      <w:r w:rsidR="006974D7" w:rsidRPr="0023718D">
        <w:rPr>
          <w:rFonts w:ascii="Times New Roman" w:eastAsia="Times New Roman" w:hAnsi="Times New Roman" w:cs="Times New Roman"/>
          <w:sz w:val="24"/>
          <w:szCs w:val="24"/>
          <w:lang w:eastAsia="bg-BG"/>
        </w:rPr>
        <w:t>към 31.12.2024 г. договори между МО и организации на военнослужещи от запаса и резерва, ветерани от войните, военноинвалиди и военно-пострадали и др. със сфера на дейност в сигурността и отбраната са общо 70, като от тях:</w:t>
      </w:r>
    </w:p>
    <w:p w14:paraId="499D805E" w14:textId="77777777" w:rsidR="006974D7" w:rsidRPr="0023718D" w:rsidRDefault="006974D7" w:rsidP="0023718D">
      <w:pPr>
        <w:pStyle w:val="ListParagraph"/>
        <w:numPr>
          <w:ilvl w:val="0"/>
          <w:numId w:val="40"/>
        </w:numPr>
        <w:spacing w:after="0" w:line="240" w:lineRule="auto"/>
        <w:ind w:right="-2"/>
        <w:jc w:val="both"/>
        <w:rPr>
          <w:rFonts w:ascii="Times New Roman" w:eastAsia="Times New Roman" w:hAnsi="Times New Roman" w:cs="Times New Roman"/>
          <w:bCs/>
          <w:sz w:val="24"/>
          <w:szCs w:val="24"/>
        </w:rPr>
      </w:pPr>
      <w:r w:rsidRPr="0023718D">
        <w:rPr>
          <w:rFonts w:ascii="Times New Roman" w:eastAsia="Times New Roman" w:hAnsi="Times New Roman" w:cs="Times New Roman"/>
          <w:sz w:val="24"/>
          <w:szCs w:val="24"/>
        </w:rPr>
        <w:t>помещения в управление на МО – 17</w:t>
      </w:r>
      <w:r w:rsidR="0023718D">
        <w:rPr>
          <w:rFonts w:ascii="Times New Roman" w:eastAsia="Times New Roman" w:hAnsi="Times New Roman" w:cs="Times New Roman"/>
          <w:sz w:val="24"/>
          <w:szCs w:val="24"/>
        </w:rPr>
        <w:t>;</w:t>
      </w:r>
    </w:p>
    <w:p w14:paraId="3A526353" w14:textId="77777777" w:rsidR="006974D7" w:rsidRPr="0023718D" w:rsidRDefault="006974D7" w:rsidP="0023718D">
      <w:pPr>
        <w:pStyle w:val="ListParagraph"/>
        <w:numPr>
          <w:ilvl w:val="0"/>
          <w:numId w:val="40"/>
        </w:numPr>
        <w:spacing w:after="0" w:line="240" w:lineRule="auto"/>
        <w:ind w:right="-2"/>
        <w:jc w:val="both"/>
        <w:rPr>
          <w:rFonts w:ascii="Times New Roman" w:eastAsia="Times New Roman" w:hAnsi="Times New Roman" w:cs="Times New Roman"/>
          <w:bCs/>
          <w:sz w:val="24"/>
          <w:szCs w:val="24"/>
        </w:rPr>
      </w:pPr>
      <w:r w:rsidRPr="0023718D">
        <w:rPr>
          <w:rFonts w:ascii="Times New Roman" w:eastAsia="Times New Roman" w:hAnsi="Times New Roman" w:cs="Times New Roman"/>
          <w:sz w:val="24"/>
          <w:szCs w:val="24"/>
        </w:rPr>
        <w:t>помещения в управление на ИА „ВК и ВПД“ – 53.</w:t>
      </w:r>
    </w:p>
    <w:p w14:paraId="05B94471" w14:textId="77777777" w:rsidR="006E5C93" w:rsidRPr="006C13DF" w:rsidRDefault="006E5C93" w:rsidP="002B5765">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5D6D2146" w14:textId="77777777" w:rsidTr="00E655FD">
        <w:tc>
          <w:tcPr>
            <w:tcW w:w="9060" w:type="dxa"/>
            <w:shd w:val="clear" w:color="auto" w:fill="EBE453"/>
          </w:tcPr>
          <w:p w14:paraId="2F835BFF"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2.3. Насърчаване на доброволчеството</w:t>
            </w:r>
          </w:p>
        </w:tc>
      </w:tr>
    </w:tbl>
    <w:p w14:paraId="3EA259E4" w14:textId="77777777" w:rsidR="003C14F5" w:rsidRPr="006C13DF" w:rsidRDefault="003C14F5" w:rsidP="00E91E47">
      <w:pPr>
        <w:spacing w:after="0" w:line="240" w:lineRule="auto"/>
        <w:jc w:val="center"/>
        <w:rPr>
          <w:rFonts w:ascii="Times New Roman" w:hAnsi="Times New Roman" w:cs="Times New Roman"/>
          <w:sz w:val="24"/>
          <w:szCs w:val="24"/>
        </w:rPr>
      </w:pPr>
    </w:p>
    <w:p w14:paraId="755F4309" w14:textId="77777777" w:rsidR="0019677E" w:rsidRPr="006C13DF" w:rsidRDefault="00500E24" w:rsidP="0019677E">
      <w:pPr>
        <w:spacing w:after="0" w:line="240" w:lineRule="auto"/>
        <w:jc w:val="center"/>
        <w:rPr>
          <w:rFonts w:ascii="Times New Roman" w:hAnsi="Times New Roman" w:cs="Times New Roman"/>
          <w:b/>
          <w:color w:val="ED7D31" w:themeColor="accent2"/>
          <w:sz w:val="24"/>
          <w:szCs w:val="24"/>
        </w:rPr>
      </w:pPr>
      <w:r w:rsidRPr="006C13DF">
        <w:rPr>
          <w:rFonts w:ascii="Times New Roman" w:eastAsia="Calibri" w:hAnsi="Times New Roman" w:cs="Times New Roman"/>
          <w:b/>
          <w:color w:val="C0504D"/>
          <w:sz w:val="24"/>
          <w:szCs w:val="24"/>
        </w:rPr>
        <w:t>БЪЛГАРСКИ ЧЕРВЕН КРЪСТ</w:t>
      </w:r>
    </w:p>
    <w:p w14:paraId="629BADD9" w14:textId="77777777" w:rsidR="0019677E" w:rsidRPr="006C13DF" w:rsidRDefault="0019677E" w:rsidP="0019677E">
      <w:pPr>
        <w:spacing w:after="0" w:line="240" w:lineRule="auto"/>
        <w:jc w:val="center"/>
        <w:rPr>
          <w:rFonts w:ascii="Times New Roman" w:hAnsi="Times New Roman" w:cs="Times New Roman"/>
          <w:b/>
          <w:color w:val="ED7D31" w:themeColor="accent2"/>
          <w:sz w:val="24"/>
          <w:szCs w:val="24"/>
        </w:rPr>
      </w:pPr>
    </w:p>
    <w:p w14:paraId="09694829" w14:textId="77777777" w:rsidR="0019677E" w:rsidRPr="006C13DF" w:rsidRDefault="0019677E" w:rsidP="0019677E">
      <w:pPr>
        <w:spacing w:after="0" w:line="240" w:lineRule="auto"/>
        <w:jc w:val="both"/>
        <w:rPr>
          <w:rFonts w:ascii="Times New Roman" w:hAnsi="Times New Roman" w:cs="Times New Roman"/>
          <w:b/>
          <w:sz w:val="24"/>
          <w:szCs w:val="24"/>
          <w:lang w:val="ru-RU"/>
        </w:rPr>
      </w:pPr>
      <w:r w:rsidRPr="006C13DF">
        <w:rPr>
          <w:rFonts w:ascii="Times New Roman" w:hAnsi="Times New Roman" w:cs="Times New Roman"/>
          <w:b/>
          <w:sz w:val="24"/>
          <w:szCs w:val="24"/>
        </w:rPr>
        <w:t>2.3.1.</w:t>
      </w:r>
      <w:r w:rsidRPr="006C13DF">
        <w:rPr>
          <w:rFonts w:ascii="Times New Roman" w:eastAsia="Times New Roman" w:hAnsi="Times New Roman" w:cs="Times New Roman"/>
          <w:b/>
          <w:sz w:val="24"/>
          <w:szCs w:val="24"/>
          <w:lang w:val="ru-RU" w:eastAsia="bg-BG"/>
        </w:rPr>
        <w:t xml:space="preserve"> </w:t>
      </w:r>
      <w:r w:rsidRPr="006C13DF">
        <w:rPr>
          <w:rFonts w:ascii="Times New Roman" w:eastAsia="Times New Roman" w:hAnsi="Times New Roman" w:cs="Times New Roman"/>
          <w:b/>
          <w:sz w:val="24"/>
          <w:szCs w:val="24"/>
          <w:lang w:eastAsia="bg-BG"/>
        </w:rPr>
        <w:t>Включване на възрастни доброволци в различни подходящи инициативи и проекти на БЧК</w:t>
      </w:r>
      <w:r w:rsidRPr="006C13DF">
        <w:rPr>
          <w:rFonts w:ascii="Times New Roman" w:hAnsi="Times New Roman" w:cs="Times New Roman"/>
          <w:b/>
          <w:sz w:val="24"/>
          <w:szCs w:val="24"/>
          <w:lang w:val="ru-RU"/>
        </w:rPr>
        <w:t xml:space="preserve"> </w:t>
      </w:r>
    </w:p>
    <w:p w14:paraId="2701F6B5" w14:textId="77777777" w:rsidR="0019677E" w:rsidRPr="006C13DF" w:rsidRDefault="0019677E" w:rsidP="0019677E">
      <w:pPr>
        <w:spacing w:after="0" w:line="240" w:lineRule="auto"/>
        <w:jc w:val="both"/>
        <w:rPr>
          <w:rFonts w:ascii="Times New Roman" w:hAnsi="Times New Roman" w:cs="Times New Roman"/>
          <w:b/>
          <w:sz w:val="24"/>
          <w:szCs w:val="24"/>
          <w:lang w:val="ru-RU"/>
        </w:rPr>
      </w:pPr>
    </w:p>
    <w:p w14:paraId="11623EDF" w14:textId="77777777" w:rsidR="0019677E" w:rsidRPr="006C13DF" w:rsidRDefault="0019677E" w:rsidP="0019677E">
      <w:pPr>
        <w:autoSpaceDE w:val="0"/>
        <w:autoSpaceDN w:val="0"/>
        <w:adjustRightInd w:val="0"/>
        <w:spacing w:after="0" w:line="240" w:lineRule="auto"/>
        <w:contextualSpacing/>
        <w:jc w:val="both"/>
        <w:rPr>
          <w:rFonts w:ascii="Times New Roman" w:hAnsi="Times New Roman" w:cs="Times New Roman"/>
          <w:sz w:val="24"/>
          <w:szCs w:val="24"/>
        </w:rPr>
      </w:pPr>
      <w:r w:rsidRPr="006C13DF">
        <w:rPr>
          <w:rFonts w:ascii="Times New Roman" w:eastAsia="Times New Roman" w:hAnsi="Times New Roman" w:cs="Times New Roman"/>
          <w:sz w:val="24"/>
          <w:szCs w:val="24"/>
          <w:lang w:eastAsia="bg-BG"/>
        </w:rPr>
        <w:tab/>
        <w:t xml:space="preserve">Един от основните приоритетите на БЧК е да създава условия за доброволческа дейност на възрастните хора и подходяща среда за изява на техните способности, умения и опит. Организацията включва </w:t>
      </w:r>
      <w:r w:rsidRPr="00FE23A0">
        <w:rPr>
          <w:rFonts w:ascii="Times New Roman" w:eastAsia="Times New Roman" w:hAnsi="Times New Roman" w:cs="Times New Roman"/>
          <w:sz w:val="24"/>
          <w:szCs w:val="24"/>
          <w:lang w:eastAsia="bg-BG"/>
        </w:rPr>
        <w:t xml:space="preserve">доброволци </w:t>
      </w:r>
      <w:r w:rsidRPr="00FE23A0">
        <w:rPr>
          <w:rFonts w:ascii="Times New Roman" w:eastAsia="Times New Roman" w:hAnsi="Times New Roman" w:cs="Times New Roman"/>
          <w:b/>
          <w:sz w:val="24"/>
          <w:szCs w:val="24"/>
          <w:lang w:eastAsia="bg-BG"/>
        </w:rPr>
        <w:t>над 60 години</w:t>
      </w:r>
      <w:r w:rsidRPr="006C13DF">
        <w:rPr>
          <w:rFonts w:ascii="Times New Roman" w:eastAsia="Times New Roman" w:hAnsi="Times New Roman" w:cs="Times New Roman"/>
          <w:sz w:val="24"/>
          <w:szCs w:val="24"/>
          <w:lang w:eastAsia="bg-BG"/>
        </w:rPr>
        <w:t xml:space="preserve"> във всякакви подходящи за тях инициативи и мероприятия, за които те изявят желание за участие. БЧК стимулира техните прояви </w:t>
      </w:r>
      <w:r w:rsidRPr="006C13DF">
        <w:rPr>
          <w:rFonts w:ascii="Times New Roman" w:hAnsi="Times New Roman" w:cs="Times New Roman"/>
          <w:sz w:val="24"/>
          <w:szCs w:val="24"/>
        </w:rPr>
        <w:t xml:space="preserve">и ги подкрепя в стремежа им да водят достоен, активен, здравословен и самостоятелен начин на живот. През 2023 г. и 2024 г. </w:t>
      </w:r>
      <w:r w:rsidRPr="00FE23A0">
        <w:rPr>
          <w:rFonts w:ascii="Times New Roman" w:hAnsi="Times New Roman" w:cs="Times New Roman"/>
          <w:b/>
          <w:sz w:val="24"/>
          <w:szCs w:val="24"/>
        </w:rPr>
        <w:t xml:space="preserve">общо над 5 000 доброволци </w:t>
      </w:r>
      <w:r w:rsidRPr="00FE23A0">
        <w:rPr>
          <w:rFonts w:ascii="Times New Roman" w:hAnsi="Times New Roman" w:cs="Times New Roman"/>
          <w:sz w:val="24"/>
          <w:szCs w:val="24"/>
        </w:rPr>
        <w:t xml:space="preserve">взимат участие </w:t>
      </w:r>
      <w:r w:rsidRPr="00FE23A0">
        <w:rPr>
          <w:rFonts w:ascii="Times New Roman" w:eastAsia="Times New Roman" w:hAnsi="Times New Roman" w:cs="Times New Roman"/>
          <w:sz w:val="24"/>
          <w:szCs w:val="24"/>
          <w:lang w:eastAsia="bg-BG"/>
        </w:rPr>
        <w:t>в различни инициативи</w:t>
      </w:r>
      <w:r w:rsidRPr="006C13DF">
        <w:rPr>
          <w:rFonts w:ascii="Times New Roman" w:hAnsi="Times New Roman" w:cs="Times New Roman"/>
          <w:sz w:val="24"/>
          <w:szCs w:val="24"/>
        </w:rPr>
        <w:t xml:space="preserve">.  </w:t>
      </w:r>
    </w:p>
    <w:p w14:paraId="01129E93" w14:textId="77777777" w:rsidR="0019677E" w:rsidRPr="006C13DF" w:rsidRDefault="0019677E" w:rsidP="0019677E">
      <w:pPr>
        <w:spacing w:after="0" w:line="240" w:lineRule="auto"/>
        <w:jc w:val="both"/>
        <w:rPr>
          <w:rFonts w:ascii="Times New Roman" w:hAnsi="Times New Roman" w:cs="Times New Roman"/>
          <w:bCs/>
          <w:sz w:val="24"/>
          <w:szCs w:val="24"/>
        </w:rPr>
      </w:pPr>
      <w:r w:rsidRPr="006C13DF">
        <w:rPr>
          <w:rFonts w:ascii="Times New Roman" w:hAnsi="Times New Roman" w:cs="Times New Roman"/>
          <w:sz w:val="24"/>
          <w:szCs w:val="24"/>
        </w:rPr>
        <w:tab/>
        <w:t xml:space="preserve">Най-голям брой възрастни доброволци се включват в изпълнението на  дейностите по </w:t>
      </w:r>
      <w:r w:rsidRPr="00FE23A0">
        <w:rPr>
          <w:rFonts w:ascii="Times New Roman" w:hAnsi="Times New Roman" w:cs="Times New Roman"/>
          <w:b/>
          <w:bCs/>
          <w:sz w:val="24"/>
          <w:szCs w:val="24"/>
        </w:rPr>
        <w:t>Програмата за храни и основно материално подпомагане</w:t>
      </w:r>
      <w:r w:rsidRPr="006C13DF">
        <w:rPr>
          <w:rFonts w:ascii="Times New Roman" w:hAnsi="Times New Roman" w:cs="Times New Roman"/>
          <w:bCs/>
          <w:sz w:val="24"/>
          <w:szCs w:val="24"/>
        </w:rPr>
        <w:t xml:space="preserve"> </w:t>
      </w:r>
      <w:r w:rsidRPr="006C13DF">
        <w:rPr>
          <w:rFonts w:ascii="Times New Roman" w:hAnsi="Times New Roman" w:cs="Times New Roman"/>
          <w:bCs/>
          <w:sz w:val="24"/>
          <w:szCs w:val="24"/>
          <w:lang w:val="en-US"/>
        </w:rPr>
        <w:t>(</w:t>
      </w:r>
      <w:r w:rsidRPr="006C13DF">
        <w:rPr>
          <w:rFonts w:ascii="Times New Roman" w:hAnsi="Times New Roman" w:cs="Times New Roman"/>
          <w:bCs/>
          <w:sz w:val="24"/>
          <w:szCs w:val="24"/>
        </w:rPr>
        <w:t>ПХОМП</w:t>
      </w:r>
      <w:r w:rsidRPr="006C13DF">
        <w:rPr>
          <w:rFonts w:ascii="Times New Roman" w:hAnsi="Times New Roman" w:cs="Times New Roman"/>
          <w:bCs/>
          <w:sz w:val="24"/>
          <w:szCs w:val="24"/>
          <w:lang w:val="en-US"/>
        </w:rPr>
        <w:t>)</w:t>
      </w:r>
      <w:r w:rsidRPr="006C13DF">
        <w:rPr>
          <w:rFonts w:ascii="Times New Roman" w:hAnsi="Times New Roman" w:cs="Times New Roman"/>
          <w:sz w:val="24"/>
          <w:szCs w:val="24"/>
        </w:rPr>
        <w:t xml:space="preserve"> –о</w:t>
      </w:r>
      <w:r w:rsidRPr="006C13DF">
        <w:rPr>
          <w:rFonts w:ascii="Times New Roman" w:hAnsi="Times New Roman" w:cs="Times New Roman"/>
          <w:bCs/>
          <w:sz w:val="24"/>
          <w:szCs w:val="24"/>
        </w:rPr>
        <w:t>перация „Подкрепа“, която се реализира през двете отчетни години – 2023 г. и 2024 г.</w:t>
      </w:r>
      <w:r w:rsidRPr="006C13DF">
        <w:rPr>
          <w:rFonts w:ascii="Times New Roman" w:hAnsi="Times New Roman" w:cs="Times New Roman"/>
          <w:b/>
          <w:bCs/>
          <w:sz w:val="24"/>
          <w:szCs w:val="24"/>
        </w:rPr>
        <w:t xml:space="preserve"> </w:t>
      </w:r>
      <w:r w:rsidRPr="006C13DF">
        <w:rPr>
          <w:rFonts w:ascii="Times New Roman" w:hAnsi="Times New Roman" w:cs="Times New Roman"/>
          <w:sz w:val="24"/>
          <w:szCs w:val="24"/>
        </w:rPr>
        <w:t xml:space="preserve">Общо </w:t>
      </w:r>
      <w:r w:rsidRPr="00FE23A0">
        <w:rPr>
          <w:rFonts w:ascii="Times New Roman" w:hAnsi="Times New Roman" w:cs="Times New Roman"/>
          <w:b/>
          <w:sz w:val="24"/>
          <w:szCs w:val="24"/>
        </w:rPr>
        <w:t>3 655 доброволци</w:t>
      </w:r>
      <w:r w:rsidRPr="006C13DF">
        <w:rPr>
          <w:rFonts w:ascii="Times New Roman" w:hAnsi="Times New Roman" w:cs="Times New Roman"/>
          <w:sz w:val="24"/>
          <w:szCs w:val="24"/>
        </w:rPr>
        <w:t xml:space="preserve"> взимат участие в изпълнението на различните компоненти на Програмата. Те участват при зареждането на над 30 областни склада и 304 раздавателни </w:t>
      </w:r>
      <w:r w:rsidRPr="006C13DF">
        <w:rPr>
          <w:rFonts w:ascii="Times New Roman" w:hAnsi="Times New Roman" w:cs="Times New Roman"/>
          <w:sz w:val="24"/>
          <w:szCs w:val="24"/>
        </w:rPr>
        <w:lastRenderedPageBreak/>
        <w:t>пункта в цялата страна, като са най-активни при раздаването</w:t>
      </w:r>
      <w:r w:rsidR="00506046">
        <w:rPr>
          <w:rFonts w:ascii="Times New Roman" w:hAnsi="Times New Roman" w:cs="Times New Roman"/>
          <w:sz w:val="24"/>
          <w:szCs w:val="24"/>
        </w:rPr>
        <w:t xml:space="preserve"> на</w:t>
      </w:r>
      <w:r w:rsidRPr="006C13DF">
        <w:rPr>
          <w:rFonts w:ascii="Times New Roman" w:hAnsi="Times New Roman" w:cs="Times New Roman"/>
          <w:sz w:val="24"/>
          <w:szCs w:val="24"/>
        </w:rPr>
        <w:t xml:space="preserve"> продукти във временните</w:t>
      </w:r>
      <w:r w:rsidRPr="006C13DF">
        <w:rPr>
          <w:rFonts w:ascii="Times New Roman" w:hAnsi="Times New Roman" w:cs="Times New Roman"/>
          <w:sz w:val="24"/>
          <w:szCs w:val="24"/>
          <w:lang w:val="en-US"/>
        </w:rPr>
        <w:t xml:space="preserve"> </w:t>
      </w:r>
      <w:r w:rsidR="00506046">
        <w:rPr>
          <w:rFonts w:ascii="Times New Roman" w:hAnsi="Times New Roman" w:cs="Times New Roman"/>
          <w:sz w:val="24"/>
          <w:szCs w:val="24"/>
        </w:rPr>
        <w:t xml:space="preserve">пунктове. Освен подкрепа с хранителни продукти, на крайните получатели се разпределят и продукти за хигиенни нужди. </w:t>
      </w:r>
      <w:r w:rsidRPr="006C13DF">
        <w:rPr>
          <w:rFonts w:ascii="Times New Roman" w:hAnsi="Times New Roman" w:cs="Times New Roman"/>
          <w:sz w:val="24"/>
          <w:szCs w:val="24"/>
        </w:rPr>
        <w:t>Извършени са следните дейности: помощ при разтоварването на храните; окомплектоване на пакетите с хранителни продукти; раздаване на хранителните продукти на правоимащите лица; помощ на възрастните хора и трудноподвижните лица да пренесат получената хуманитарна помощ до най-близките спирки на обществения транспорт; оказване на помощ на уязвимите лица със затруднения в четенето и писането, и попълване на анкетите за обратна връзка; раздаване на листовки, съдържащи информация за различни видове съпътстващи мерки. Всички ангажирани доброволци в Програмата са положили общо 202 871 часа доброволен труд.</w:t>
      </w:r>
    </w:p>
    <w:p w14:paraId="425A0B4D" w14:textId="77777777" w:rsidR="00381C85" w:rsidRPr="006C13DF" w:rsidRDefault="0019677E" w:rsidP="0019677E">
      <w:pPr>
        <w:spacing w:after="0" w:line="240" w:lineRule="auto"/>
        <w:jc w:val="both"/>
        <w:rPr>
          <w:rFonts w:ascii="Times New Roman" w:eastAsia="Calibri" w:hAnsi="Times New Roman" w:cs="Times New Roman"/>
          <w:sz w:val="24"/>
          <w:szCs w:val="24"/>
          <w:lang w:val="en-US"/>
        </w:rPr>
      </w:pPr>
      <w:r w:rsidRPr="006C13DF">
        <w:rPr>
          <w:rFonts w:ascii="Times New Roman" w:hAnsi="Times New Roman" w:cs="Times New Roman"/>
          <w:sz w:val="24"/>
          <w:szCs w:val="24"/>
        </w:rPr>
        <w:tab/>
        <w:t>Друга традиционна инициатива с участие на възрастни хора</w:t>
      </w:r>
      <w:r w:rsidRPr="006C13DF">
        <w:rPr>
          <w:rFonts w:ascii="Times New Roman" w:eastAsia="Times New Roman" w:hAnsi="Times New Roman" w:cs="Times New Roman"/>
          <w:b/>
          <w:sz w:val="24"/>
          <w:szCs w:val="24"/>
          <w:lang w:eastAsia="bg-BG"/>
        </w:rPr>
        <w:t xml:space="preserve"> </w:t>
      </w:r>
      <w:r w:rsidRPr="006C13DF">
        <w:rPr>
          <w:rFonts w:ascii="Times New Roman" w:eastAsia="Times New Roman" w:hAnsi="Times New Roman" w:cs="Times New Roman"/>
          <w:sz w:val="24"/>
          <w:szCs w:val="24"/>
          <w:lang w:eastAsia="bg-BG"/>
        </w:rPr>
        <w:t xml:space="preserve">е честването на </w:t>
      </w:r>
      <w:r w:rsidRPr="006C13DF">
        <w:rPr>
          <w:rFonts w:ascii="Times New Roman" w:eastAsia="Times New Roman" w:hAnsi="Times New Roman" w:cs="Times New Roman"/>
          <w:sz w:val="24"/>
          <w:szCs w:val="24"/>
          <w:lang w:val="en-US" w:eastAsia="bg-BG"/>
        </w:rPr>
        <w:t xml:space="preserve"> </w:t>
      </w:r>
      <w:r w:rsidRPr="00FE23A0">
        <w:rPr>
          <w:rFonts w:ascii="Times New Roman" w:eastAsia="Times New Roman" w:hAnsi="Times New Roman" w:cs="Times New Roman"/>
          <w:b/>
          <w:sz w:val="24"/>
          <w:szCs w:val="24"/>
          <w:lang w:eastAsia="bg-BG"/>
        </w:rPr>
        <w:t>Европейския ден за солидарност между поколенията – 29 април</w:t>
      </w:r>
      <w:r w:rsidRPr="006C13DF">
        <w:rPr>
          <w:rFonts w:ascii="Times New Roman" w:eastAsia="Times New Roman" w:hAnsi="Times New Roman" w:cs="Times New Roman"/>
          <w:sz w:val="24"/>
          <w:szCs w:val="24"/>
          <w:lang w:eastAsia="bg-BG"/>
        </w:rPr>
        <w:t>. Организацията отстоява принципа</w:t>
      </w:r>
      <w:r w:rsidRPr="006C13DF">
        <w:rPr>
          <w:rFonts w:ascii="Times New Roman" w:hAnsi="Times New Roman" w:cs="Times New Roman"/>
          <w:sz w:val="24"/>
          <w:szCs w:val="24"/>
        </w:rPr>
        <w:t>, че солидарността между поколенията играе ключова роля в развитието на по-справедливи и устойчиви системи, базирайки се на познанията и опита на по-възрастните, предадени на младите поколения.</w:t>
      </w:r>
      <w:r w:rsidRPr="006C13DF">
        <w:rPr>
          <w:rFonts w:ascii="Times New Roman" w:eastAsia="Calibri" w:hAnsi="Times New Roman" w:cs="Times New Roman"/>
          <w:sz w:val="24"/>
          <w:szCs w:val="24"/>
          <w:lang w:val="en-US"/>
        </w:rPr>
        <w:t xml:space="preserve"> </w:t>
      </w:r>
    </w:p>
    <w:p w14:paraId="13704EA9" w14:textId="77777777" w:rsidR="0019677E" w:rsidRPr="006C13DF" w:rsidRDefault="00381C85" w:rsidP="00381C85">
      <w:pPr>
        <w:spacing w:after="0" w:line="240" w:lineRule="auto"/>
        <w:jc w:val="both"/>
        <w:rPr>
          <w:rFonts w:ascii="Times New Roman" w:eastAsia="Times New Roman" w:hAnsi="Times New Roman" w:cs="Times New Roman"/>
          <w:sz w:val="24"/>
          <w:szCs w:val="24"/>
          <w:lang w:eastAsia="bg-BG"/>
        </w:rPr>
      </w:pPr>
      <w:r w:rsidRPr="006C13DF">
        <w:rPr>
          <w:rFonts w:ascii="Times New Roman" w:eastAsia="Calibri" w:hAnsi="Times New Roman" w:cs="Times New Roman"/>
          <w:sz w:val="24"/>
          <w:szCs w:val="24"/>
          <w:lang w:val="en-US"/>
        </w:rPr>
        <w:tab/>
      </w:r>
      <w:r w:rsidR="0019677E" w:rsidRPr="006C13DF">
        <w:rPr>
          <w:rFonts w:ascii="Times New Roman" w:eastAsia="Calibri" w:hAnsi="Times New Roman" w:cs="Times New Roman"/>
          <w:sz w:val="24"/>
          <w:szCs w:val="24"/>
        </w:rPr>
        <w:t>Ежегодно, п</w:t>
      </w:r>
      <w:r w:rsidR="0019677E" w:rsidRPr="006C13DF">
        <w:rPr>
          <w:rFonts w:ascii="Times New Roman" w:eastAsia="Times New Roman" w:hAnsi="Times New Roman" w:cs="Times New Roman"/>
          <w:sz w:val="24"/>
          <w:szCs w:val="24"/>
          <w:lang w:eastAsia="bg-BG"/>
        </w:rPr>
        <w:t xml:space="preserve">о случай 29 април, БЧК </w:t>
      </w:r>
      <w:r w:rsidR="0019677E" w:rsidRPr="006C13DF">
        <w:rPr>
          <w:rFonts w:ascii="Times New Roman" w:hAnsi="Times New Roman" w:cs="Times New Roman"/>
          <w:sz w:val="24"/>
          <w:szCs w:val="24"/>
        </w:rPr>
        <w:t xml:space="preserve">организира в цялата страна едновременно засаждане на цветя, дръвчета и храсти. </w:t>
      </w:r>
      <w:r w:rsidRPr="006C13DF">
        <w:rPr>
          <w:rFonts w:ascii="Times New Roman" w:hAnsi="Times New Roman" w:cs="Times New Roman"/>
          <w:sz w:val="24"/>
          <w:szCs w:val="24"/>
        </w:rPr>
        <w:t xml:space="preserve">През 2023 г. </w:t>
      </w:r>
      <w:r w:rsidRPr="006C13DF">
        <w:rPr>
          <w:rFonts w:ascii="Times New Roman" w:eastAsia="Times New Roman" w:hAnsi="Times New Roman" w:cs="Times New Roman"/>
          <w:sz w:val="24"/>
          <w:szCs w:val="24"/>
          <w:lang w:eastAsia="bg-BG"/>
        </w:rPr>
        <w:t>и</w:t>
      </w:r>
      <w:r w:rsidR="0019677E" w:rsidRPr="006C13DF">
        <w:rPr>
          <w:rFonts w:ascii="Times New Roman" w:eastAsia="Times New Roman" w:hAnsi="Times New Roman" w:cs="Times New Roman"/>
          <w:sz w:val="24"/>
          <w:szCs w:val="24"/>
          <w:lang w:eastAsia="bg-BG"/>
        </w:rPr>
        <w:t>нициативата се осъществи заедно с доброволци от различни възрасти</w:t>
      </w:r>
      <w:r w:rsidRPr="006C13DF">
        <w:rPr>
          <w:rFonts w:ascii="Times New Roman" w:eastAsia="Times New Roman" w:hAnsi="Times New Roman" w:cs="Times New Roman"/>
          <w:sz w:val="24"/>
          <w:szCs w:val="24"/>
          <w:lang w:eastAsia="bg-BG"/>
        </w:rPr>
        <w:t>,</w:t>
      </w:r>
      <w:r w:rsidR="0019677E" w:rsidRPr="006C13DF">
        <w:rPr>
          <w:rFonts w:ascii="Times New Roman" w:eastAsia="Times New Roman" w:hAnsi="Times New Roman" w:cs="Times New Roman"/>
          <w:sz w:val="24"/>
          <w:szCs w:val="24"/>
          <w:lang w:eastAsia="bg-BG"/>
        </w:rPr>
        <w:t xml:space="preserve"> в която </w:t>
      </w:r>
      <w:r w:rsidRPr="006C13DF">
        <w:rPr>
          <w:rFonts w:ascii="Times New Roman" w:eastAsia="Times New Roman" w:hAnsi="Times New Roman" w:cs="Times New Roman"/>
          <w:sz w:val="24"/>
          <w:szCs w:val="24"/>
          <w:lang w:eastAsia="bg-BG"/>
        </w:rPr>
        <w:t>взимат участие</w:t>
      </w:r>
      <w:r w:rsidR="0019677E" w:rsidRPr="006C13DF">
        <w:rPr>
          <w:rFonts w:ascii="Times New Roman" w:eastAsia="Times New Roman" w:hAnsi="Times New Roman" w:cs="Times New Roman"/>
          <w:sz w:val="24"/>
          <w:szCs w:val="24"/>
          <w:lang w:eastAsia="bg-BG"/>
        </w:rPr>
        <w:t xml:space="preserve"> на</w:t>
      </w:r>
      <w:r w:rsidRPr="006C13DF">
        <w:rPr>
          <w:rFonts w:ascii="Times New Roman" w:eastAsia="Times New Roman" w:hAnsi="Times New Roman" w:cs="Times New Roman"/>
          <w:sz w:val="24"/>
          <w:szCs w:val="24"/>
          <w:lang w:eastAsia="bg-BG"/>
        </w:rPr>
        <w:t>д 100 души от 15 населени места. О</w:t>
      </w:r>
      <w:r w:rsidR="0019677E" w:rsidRPr="006C13DF">
        <w:rPr>
          <w:rFonts w:ascii="Times New Roman" w:hAnsi="Times New Roman" w:cs="Times New Roman"/>
          <w:sz w:val="24"/>
          <w:szCs w:val="24"/>
        </w:rPr>
        <w:t>сновната цел на мероприятието бе да се привлече вниманието на обществото към приемствеността, разбирателството и хуманността, за да живеем по-добре заедно</w:t>
      </w:r>
      <w:r w:rsidR="0019677E" w:rsidRPr="006C13DF">
        <w:rPr>
          <w:rFonts w:ascii="Times New Roman" w:hAnsi="Times New Roman" w:cs="Times New Roman"/>
          <w:sz w:val="24"/>
          <w:szCs w:val="24"/>
          <w:lang w:val="en-US"/>
        </w:rPr>
        <w:t>.</w:t>
      </w:r>
      <w:r w:rsidR="0019677E" w:rsidRPr="006C13DF">
        <w:rPr>
          <w:rFonts w:ascii="Times New Roman" w:hAnsi="Times New Roman" w:cs="Times New Roman"/>
          <w:sz w:val="24"/>
          <w:szCs w:val="24"/>
        </w:rPr>
        <w:t xml:space="preserve"> През 2024 г. участие в мероприятието вз</w:t>
      </w:r>
      <w:r w:rsidRPr="006C13DF">
        <w:rPr>
          <w:rFonts w:ascii="Times New Roman" w:hAnsi="Times New Roman" w:cs="Times New Roman"/>
          <w:sz w:val="24"/>
          <w:szCs w:val="24"/>
        </w:rPr>
        <w:t>имат</w:t>
      </w:r>
      <w:r w:rsidR="0019677E" w:rsidRPr="006C13DF">
        <w:rPr>
          <w:rFonts w:ascii="Times New Roman" w:hAnsi="Times New Roman" w:cs="Times New Roman"/>
          <w:sz w:val="24"/>
          <w:szCs w:val="24"/>
        </w:rPr>
        <w:t xml:space="preserve"> 150 души от 20 населени места. </w:t>
      </w:r>
    </w:p>
    <w:p w14:paraId="5686657C" w14:textId="77777777" w:rsidR="004F0CBA" w:rsidRPr="006C13DF" w:rsidRDefault="004F0CBA" w:rsidP="00E91E47">
      <w:pPr>
        <w:shd w:val="clear" w:color="auto" w:fill="FFFFFF" w:themeFill="background1"/>
        <w:spacing w:after="0" w:line="240" w:lineRule="auto"/>
        <w:ind w:firstLine="709"/>
        <w:jc w:val="both"/>
        <w:rPr>
          <w:rFonts w:ascii="Times New Roman" w:hAnsi="Times New Roman" w:cs="Times New Roman"/>
          <w:color w:val="ED7D31" w:themeColor="accent2"/>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26E6AC64" w14:textId="77777777" w:rsidTr="00E655FD">
        <w:tc>
          <w:tcPr>
            <w:tcW w:w="9060" w:type="dxa"/>
            <w:shd w:val="clear" w:color="auto" w:fill="EBE453"/>
          </w:tcPr>
          <w:p w14:paraId="7CF039CF"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2.4. Насърчаване на ученето през целия живот</w:t>
            </w:r>
          </w:p>
        </w:tc>
      </w:tr>
    </w:tbl>
    <w:p w14:paraId="7A704B45" w14:textId="77777777" w:rsidR="00ED133B" w:rsidRDefault="00ED133B" w:rsidP="00E91E47">
      <w:pPr>
        <w:spacing w:after="0" w:line="240" w:lineRule="auto"/>
        <w:jc w:val="both"/>
        <w:rPr>
          <w:rFonts w:ascii="Times New Roman" w:hAnsi="Times New Roman" w:cs="Times New Roman"/>
          <w:b/>
          <w:sz w:val="24"/>
          <w:szCs w:val="24"/>
        </w:rPr>
      </w:pPr>
    </w:p>
    <w:p w14:paraId="41049931" w14:textId="77777777" w:rsidR="00ED133B" w:rsidRDefault="00ED133B" w:rsidP="00ED133B">
      <w:pPr>
        <w:spacing w:after="0" w:line="240" w:lineRule="auto"/>
        <w:jc w:val="center"/>
        <w:rPr>
          <w:rFonts w:ascii="Times New Roman" w:eastAsia="Calibri" w:hAnsi="Times New Roman" w:cs="Times New Roman"/>
          <w:b/>
          <w:color w:val="C0504D"/>
          <w:sz w:val="24"/>
          <w:szCs w:val="24"/>
        </w:rPr>
      </w:pPr>
      <w:r>
        <w:rPr>
          <w:rFonts w:ascii="Times New Roman" w:eastAsia="Calibri" w:hAnsi="Times New Roman" w:cs="Times New Roman"/>
          <w:b/>
          <w:color w:val="C0504D"/>
          <w:sz w:val="24"/>
          <w:szCs w:val="24"/>
        </w:rPr>
        <w:t>МИНИСТЕРСТВО НА ОБРАЗОВАНИЕТО И НАУКАТА</w:t>
      </w:r>
    </w:p>
    <w:p w14:paraId="6875C1D8" w14:textId="77777777" w:rsidR="00ED133B" w:rsidRDefault="00ED133B" w:rsidP="00ED133B">
      <w:pPr>
        <w:spacing w:after="0" w:line="240" w:lineRule="auto"/>
        <w:jc w:val="center"/>
        <w:rPr>
          <w:rFonts w:ascii="Times New Roman" w:hAnsi="Times New Roman" w:cs="Times New Roman"/>
          <w:b/>
          <w:sz w:val="24"/>
          <w:szCs w:val="24"/>
        </w:rPr>
      </w:pPr>
    </w:p>
    <w:p w14:paraId="089A5B88" w14:textId="77777777" w:rsidR="006E5C93" w:rsidRDefault="00BD0D8F" w:rsidP="00E91E47">
      <w:pPr>
        <w:spacing w:after="0" w:line="240" w:lineRule="auto"/>
        <w:jc w:val="both"/>
        <w:rPr>
          <w:rFonts w:ascii="Times New Roman" w:hAnsi="Times New Roman" w:cs="Times New Roman"/>
          <w:b/>
          <w:sz w:val="24"/>
          <w:szCs w:val="24"/>
        </w:rPr>
      </w:pPr>
      <w:r w:rsidRPr="00A24E77">
        <w:rPr>
          <w:rFonts w:ascii="Times New Roman" w:hAnsi="Times New Roman" w:cs="Times New Roman"/>
          <w:b/>
          <w:sz w:val="24"/>
          <w:szCs w:val="24"/>
        </w:rPr>
        <w:t>2.4.1. Формиране, изпълнение, анализиране и оценяване на политиката за учене през целия живот (УЦЖ)</w:t>
      </w:r>
    </w:p>
    <w:p w14:paraId="24B61EA4" w14:textId="77777777" w:rsidR="00A24E77" w:rsidRDefault="00A24E77" w:rsidP="00E91E47">
      <w:pPr>
        <w:spacing w:after="0" w:line="240" w:lineRule="auto"/>
        <w:jc w:val="both"/>
        <w:rPr>
          <w:rFonts w:ascii="Times New Roman" w:hAnsi="Times New Roman" w:cs="Times New Roman"/>
          <w:b/>
          <w:sz w:val="24"/>
          <w:szCs w:val="24"/>
        </w:rPr>
      </w:pPr>
    </w:p>
    <w:p w14:paraId="79C22FD3" w14:textId="77777777" w:rsidR="00A24E77" w:rsidRDefault="00A24E77" w:rsidP="00A24E77">
      <w:pPr>
        <w:spacing w:after="0" w:line="240" w:lineRule="auto"/>
        <w:ind w:firstLine="720"/>
        <w:jc w:val="both"/>
        <w:rPr>
          <w:rFonts w:ascii="Times New Roman" w:eastAsia="Times New Roman" w:hAnsi="Times New Roman" w:cs="Times New Roman"/>
          <w:bCs/>
          <w:sz w:val="24"/>
          <w:szCs w:val="24"/>
          <w:lang w:eastAsia="bg-BG"/>
        </w:rPr>
      </w:pPr>
      <w:r w:rsidRPr="00A24E77">
        <w:rPr>
          <w:rFonts w:ascii="Times New Roman" w:eastAsia="Times New Roman" w:hAnsi="Times New Roman" w:cs="Times New Roman"/>
          <w:bCs/>
          <w:sz w:val="24"/>
          <w:szCs w:val="24"/>
          <w:lang w:eastAsia="bg-BG"/>
        </w:rPr>
        <w:t>С приемането на Закона за изменение и допълнение на Закона за професионалното образование и обучение (изм. и доп. ДВ. бр.</w:t>
      </w:r>
      <w:r w:rsidR="00006C3B">
        <w:rPr>
          <w:rFonts w:ascii="Times New Roman" w:eastAsia="Times New Roman" w:hAnsi="Times New Roman" w:cs="Times New Roman"/>
          <w:bCs/>
          <w:sz w:val="24"/>
          <w:szCs w:val="24"/>
          <w:lang w:eastAsia="bg-BG"/>
        </w:rPr>
        <w:t xml:space="preserve"> </w:t>
      </w:r>
      <w:r w:rsidRPr="00A24E77">
        <w:rPr>
          <w:rFonts w:ascii="Times New Roman" w:eastAsia="Times New Roman" w:hAnsi="Times New Roman" w:cs="Times New Roman"/>
          <w:bCs/>
          <w:sz w:val="24"/>
          <w:szCs w:val="24"/>
          <w:lang w:eastAsia="bg-BG"/>
        </w:rPr>
        <w:t>27 от 29 март 2024</w:t>
      </w:r>
      <w:r w:rsidR="00006C3B">
        <w:rPr>
          <w:rFonts w:ascii="Times New Roman" w:eastAsia="Times New Roman" w:hAnsi="Times New Roman" w:cs="Times New Roman"/>
          <w:bCs/>
          <w:sz w:val="24"/>
          <w:szCs w:val="24"/>
          <w:lang w:eastAsia="bg-BG"/>
        </w:rPr>
        <w:t xml:space="preserve"> </w:t>
      </w:r>
      <w:r w:rsidRPr="00A24E77">
        <w:rPr>
          <w:rFonts w:ascii="Times New Roman" w:eastAsia="Times New Roman" w:hAnsi="Times New Roman" w:cs="Times New Roman"/>
          <w:bCs/>
          <w:sz w:val="24"/>
          <w:szCs w:val="24"/>
          <w:lang w:eastAsia="bg-BG"/>
        </w:rPr>
        <w:t xml:space="preserve">г.) бяха предприети промени, </w:t>
      </w:r>
      <w:r w:rsidR="00006C3B">
        <w:rPr>
          <w:rFonts w:ascii="Times New Roman" w:eastAsia="Times New Roman" w:hAnsi="Times New Roman" w:cs="Times New Roman"/>
          <w:bCs/>
          <w:sz w:val="24"/>
          <w:szCs w:val="24"/>
          <w:lang w:eastAsia="bg-BG"/>
        </w:rPr>
        <w:t>които целят да се улесни достъпът</w:t>
      </w:r>
      <w:r w:rsidRPr="00A24E77">
        <w:rPr>
          <w:rFonts w:ascii="Times New Roman" w:eastAsia="Times New Roman" w:hAnsi="Times New Roman" w:cs="Times New Roman"/>
          <w:bCs/>
          <w:sz w:val="24"/>
          <w:szCs w:val="24"/>
          <w:lang w:eastAsia="bg-BG"/>
        </w:rPr>
        <w:t xml:space="preserve"> до учене през целия живот и да се насърчи ученето през целия живот. Промените обхващат: </w:t>
      </w:r>
    </w:p>
    <w:p w14:paraId="29B19EF9" w14:textId="77777777" w:rsidR="00A24E77" w:rsidRPr="00A24E77" w:rsidRDefault="00A24E77" w:rsidP="00A24E77">
      <w:pPr>
        <w:pStyle w:val="ListParagraph"/>
        <w:numPr>
          <w:ilvl w:val="0"/>
          <w:numId w:val="36"/>
        </w:numPr>
        <w:spacing w:after="0" w:line="240" w:lineRule="auto"/>
        <w:ind w:left="0" w:firstLine="360"/>
        <w:jc w:val="both"/>
        <w:rPr>
          <w:rFonts w:ascii="Times New Roman" w:eastAsia="Times New Roman" w:hAnsi="Times New Roman" w:cs="Times New Roman"/>
          <w:bCs/>
          <w:sz w:val="24"/>
          <w:szCs w:val="24"/>
          <w:lang w:eastAsia="bg-BG"/>
        </w:rPr>
      </w:pPr>
      <w:r w:rsidRPr="00A24E77">
        <w:rPr>
          <w:rFonts w:ascii="Times New Roman" w:eastAsia="Times New Roman" w:hAnsi="Times New Roman" w:cs="Times New Roman"/>
          <w:sz w:val="24"/>
          <w:szCs w:val="24"/>
          <w:lang w:eastAsia="bg-BG"/>
        </w:rPr>
        <w:t>Въвеждане на възможност за обучение за достигане на Единица резултат от ученето (ЕРУ) в Държавния стандарт за придобиване на квалификация по професия – за лица на възраст над 16 години;</w:t>
      </w:r>
    </w:p>
    <w:p w14:paraId="1E2C90E6" w14:textId="77777777" w:rsidR="00A24E77" w:rsidRPr="00A24E77" w:rsidRDefault="00A24E77" w:rsidP="00A24E77">
      <w:pPr>
        <w:pStyle w:val="ListParagraph"/>
        <w:numPr>
          <w:ilvl w:val="0"/>
          <w:numId w:val="36"/>
        </w:numPr>
        <w:spacing w:after="0" w:line="240" w:lineRule="auto"/>
        <w:ind w:left="0" w:firstLine="360"/>
        <w:jc w:val="both"/>
        <w:rPr>
          <w:rFonts w:ascii="Times New Roman" w:eastAsia="Times New Roman" w:hAnsi="Times New Roman" w:cs="Times New Roman"/>
          <w:bCs/>
          <w:sz w:val="24"/>
          <w:szCs w:val="24"/>
          <w:lang w:eastAsia="bg-BG"/>
        </w:rPr>
      </w:pPr>
      <w:r w:rsidRPr="00A24E77">
        <w:rPr>
          <w:rFonts w:ascii="Times New Roman" w:eastAsia="Times New Roman" w:hAnsi="Times New Roman" w:cs="Times New Roman"/>
          <w:sz w:val="24"/>
          <w:szCs w:val="24"/>
          <w:lang w:eastAsia="bg-BG"/>
        </w:rPr>
        <w:t>Трансфер и натрупване на ЕРУ;</w:t>
      </w:r>
    </w:p>
    <w:p w14:paraId="2EBF843F" w14:textId="77777777" w:rsidR="00A24E77" w:rsidRPr="00A24E77" w:rsidRDefault="00A24E77" w:rsidP="00A24E77">
      <w:pPr>
        <w:pStyle w:val="ListParagraph"/>
        <w:numPr>
          <w:ilvl w:val="0"/>
          <w:numId w:val="36"/>
        </w:numPr>
        <w:spacing w:after="0" w:line="240" w:lineRule="auto"/>
        <w:ind w:left="0" w:firstLine="360"/>
        <w:jc w:val="both"/>
        <w:rPr>
          <w:rFonts w:ascii="Times New Roman" w:eastAsia="Times New Roman" w:hAnsi="Times New Roman" w:cs="Times New Roman"/>
          <w:bCs/>
          <w:sz w:val="24"/>
          <w:szCs w:val="24"/>
          <w:lang w:eastAsia="bg-BG"/>
        </w:rPr>
      </w:pPr>
      <w:r w:rsidRPr="00A24E77">
        <w:rPr>
          <w:rFonts w:ascii="Times New Roman" w:eastAsia="Times New Roman" w:hAnsi="Times New Roman" w:cs="Times New Roman"/>
          <w:sz w:val="24"/>
          <w:szCs w:val="24"/>
          <w:lang w:eastAsia="bg-BG"/>
        </w:rPr>
        <w:t>Възможност за обучение в електронна среда за лица на възраст над 16 години по теория на професията;</w:t>
      </w:r>
    </w:p>
    <w:p w14:paraId="044143AD" w14:textId="77777777" w:rsidR="00A24E77" w:rsidRPr="00A24E77" w:rsidRDefault="00A24E77" w:rsidP="00A24E77">
      <w:pPr>
        <w:pStyle w:val="ListParagraph"/>
        <w:numPr>
          <w:ilvl w:val="0"/>
          <w:numId w:val="36"/>
        </w:numPr>
        <w:spacing w:after="0" w:line="240" w:lineRule="auto"/>
        <w:ind w:left="0" w:firstLine="360"/>
        <w:jc w:val="both"/>
        <w:rPr>
          <w:rFonts w:ascii="Times New Roman" w:eastAsia="Times New Roman" w:hAnsi="Times New Roman" w:cs="Times New Roman"/>
          <w:bCs/>
          <w:sz w:val="24"/>
          <w:szCs w:val="24"/>
          <w:lang w:eastAsia="bg-BG"/>
        </w:rPr>
      </w:pPr>
      <w:r w:rsidRPr="00A24E77">
        <w:rPr>
          <w:rFonts w:ascii="Times New Roman" w:eastAsia="Times New Roman" w:hAnsi="Times New Roman" w:cs="Times New Roman"/>
          <w:sz w:val="24"/>
          <w:szCs w:val="24"/>
          <w:lang w:eastAsia="bg-BG"/>
        </w:rPr>
        <w:t>Дефиниране на възможностите за валидиране на професионални компетентности, съответстващи на знанията, уменията и компетентностите в една Единица резултат от ученето в Държавните образователни стандарти за придобиване на квалификация по професия;</w:t>
      </w:r>
    </w:p>
    <w:p w14:paraId="56CDEEB5" w14:textId="77777777" w:rsidR="00A24E77" w:rsidRPr="00A24E77" w:rsidRDefault="00A24E77" w:rsidP="00A24E77">
      <w:pPr>
        <w:pStyle w:val="ListParagraph"/>
        <w:numPr>
          <w:ilvl w:val="0"/>
          <w:numId w:val="36"/>
        </w:numPr>
        <w:spacing w:after="0" w:line="240" w:lineRule="auto"/>
        <w:ind w:left="0" w:firstLine="360"/>
        <w:jc w:val="both"/>
        <w:rPr>
          <w:rFonts w:ascii="Times New Roman" w:eastAsia="Times New Roman" w:hAnsi="Times New Roman" w:cs="Times New Roman"/>
          <w:bCs/>
          <w:sz w:val="24"/>
          <w:szCs w:val="24"/>
          <w:lang w:eastAsia="bg-BG"/>
        </w:rPr>
      </w:pPr>
      <w:r w:rsidRPr="00A24E77">
        <w:rPr>
          <w:rFonts w:ascii="Times New Roman" w:eastAsia="Times New Roman" w:hAnsi="Times New Roman" w:cs="Times New Roman"/>
          <w:sz w:val="24"/>
          <w:szCs w:val="24"/>
          <w:lang w:eastAsia="bg-BG"/>
        </w:rPr>
        <w:t xml:space="preserve">Намаляване на административната тежест за доставчиците на професионално обучение </w:t>
      </w:r>
      <w:r w:rsidRPr="00A24E77">
        <w:rPr>
          <w:rFonts w:ascii="Times New Roman" w:eastAsia="Times New Roman" w:hAnsi="Times New Roman" w:cs="Times New Roman"/>
          <w:sz w:val="24"/>
          <w:szCs w:val="24"/>
          <w:lang w:val="en-US" w:eastAsia="bg-BG"/>
        </w:rPr>
        <w:t>(</w:t>
      </w:r>
      <w:r w:rsidRPr="00A24E77">
        <w:rPr>
          <w:rFonts w:ascii="Times New Roman" w:eastAsia="Times New Roman" w:hAnsi="Times New Roman" w:cs="Times New Roman"/>
          <w:sz w:val="24"/>
          <w:szCs w:val="24"/>
          <w:lang w:eastAsia="bg-BG"/>
        </w:rPr>
        <w:t>центровете за професионално обучение</w:t>
      </w:r>
      <w:r w:rsidRPr="00A24E77">
        <w:rPr>
          <w:rFonts w:ascii="Times New Roman" w:eastAsia="Times New Roman" w:hAnsi="Times New Roman" w:cs="Times New Roman"/>
          <w:sz w:val="24"/>
          <w:szCs w:val="24"/>
          <w:lang w:val="en-US" w:eastAsia="bg-BG"/>
        </w:rPr>
        <w:t>)</w:t>
      </w:r>
      <w:r w:rsidRPr="00A24E77">
        <w:rPr>
          <w:rFonts w:ascii="Times New Roman" w:eastAsia="Times New Roman" w:hAnsi="Times New Roman" w:cs="Times New Roman"/>
          <w:sz w:val="24"/>
          <w:szCs w:val="24"/>
          <w:lang w:eastAsia="bg-BG"/>
        </w:rPr>
        <w:t xml:space="preserve">. </w:t>
      </w:r>
    </w:p>
    <w:p w14:paraId="354B6BB3" w14:textId="77777777" w:rsidR="00A24E77" w:rsidRPr="00A24E77" w:rsidRDefault="00A24E77" w:rsidP="00A24E77">
      <w:pPr>
        <w:spacing w:after="0" w:line="240" w:lineRule="auto"/>
        <w:jc w:val="both"/>
        <w:rPr>
          <w:rFonts w:ascii="Times New Roman" w:eastAsia="Times New Roman" w:hAnsi="Times New Roman" w:cs="Times New Roman"/>
          <w:sz w:val="24"/>
          <w:szCs w:val="24"/>
          <w:lang w:eastAsia="bg-BG"/>
        </w:rPr>
      </w:pPr>
      <w:r w:rsidRPr="00A24E77">
        <w:rPr>
          <w:rFonts w:ascii="Times New Roman" w:eastAsia="Times New Roman" w:hAnsi="Times New Roman" w:cs="Times New Roman"/>
          <w:sz w:val="24"/>
          <w:szCs w:val="24"/>
          <w:lang w:eastAsia="bg-BG"/>
        </w:rPr>
        <w:tab/>
        <w:t xml:space="preserve">През 2023 г. са проведени две издания на </w:t>
      </w:r>
      <w:r w:rsidRPr="00006C3B">
        <w:rPr>
          <w:rFonts w:ascii="Times New Roman" w:eastAsia="Times New Roman" w:hAnsi="Times New Roman" w:cs="Times New Roman"/>
          <w:b/>
          <w:sz w:val="24"/>
          <w:szCs w:val="24"/>
          <w:lang w:eastAsia="bg-BG"/>
        </w:rPr>
        <w:t>Националните дни на ученето през целия живот</w:t>
      </w:r>
      <w:r w:rsidR="00006C3B">
        <w:rPr>
          <w:rFonts w:ascii="Times New Roman" w:eastAsia="Times New Roman" w:hAnsi="Times New Roman" w:cs="Times New Roman"/>
          <w:sz w:val="24"/>
          <w:szCs w:val="24"/>
          <w:lang w:eastAsia="bg-BG"/>
        </w:rPr>
        <w:t xml:space="preserve"> – в гр. Бургас (26 –</w:t>
      </w:r>
      <w:r w:rsidRPr="00A24E77">
        <w:rPr>
          <w:rFonts w:ascii="Times New Roman" w:eastAsia="Times New Roman" w:hAnsi="Times New Roman" w:cs="Times New Roman"/>
          <w:sz w:val="24"/>
          <w:szCs w:val="24"/>
          <w:lang w:eastAsia="bg-BG"/>
        </w:rPr>
        <w:t xml:space="preserve"> 28.04.</w:t>
      </w:r>
      <w:r w:rsidR="00006C3B">
        <w:rPr>
          <w:rFonts w:ascii="Times New Roman" w:eastAsia="Times New Roman" w:hAnsi="Times New Roman" w:cs="Times New Roman"/>
          <w:sz w:val="24"/>
          <w:szCs w:val="24"/>
          <w:lang w:eastAsia="bg-BG"/>
        </w:rPr>
        <w:t xml:space="preserve">2023 г.) и гр. Стара Загора (20 – </w:t>
      </w:r>
      <w:r w:rsidRPr="00A24E77">
        <w:rPr>
          <w:rFonts w:ascii="Times New Roman" w:eastAsia="Times New Roman" w:hAnsi="Times New Roman" w:cs="Times New Roman"/>
          <w:sz w:val="24"/>
          <w:szCs w:val="24"/>
          <w:lang w:eastAsia="bg-BG"/>
        </w:rPr>
        <w:t>23.11.2023 г.) с включени</w:t>
      </w:r>
      <w:r w:rsidRPr="00A24E77">
        <w:rPr>
          <w:rFonts w:ascii="Calibri" w:eastAsia="Calibri" w:hAnsi="Calibri" w:cs="Times New Roman"/>
        </w:rPr>
        <w:t xml:space="preserve"> </w:t>
      </w:r>
      <w:r w:rsidRPr="00A24E77">
        <w:rPr>
          <w:rFonts w:ascii="Times New Roman" w:eastAsia="Times New Roman" w:hAnsi="Times New Roman" w:cs="Times New Roman"/>
          <w:sz w:val="24"/>
          <w:szCs w:val="24"/>
          <w:lang w:eastAsia="bg-BG"/>
        </w:rPr>
        <w:t>различни дейности – обмен на добри и работещи практики, представяне на политики и проекти за развитие на образованието и обучението, както и успешни модели за развитие на уменията.</w:t>
      </w:r>
    </w:p>
    <w:p w14:paraId="296F729E" w14:textId="77777777" w:rsidR="00A24E77" w:rsidRPr="00A24E77" w:rsidRDefault="00A24E77" w:rsidP="00A24E77">
      <w:pPr>
        <w:spacing w:after="0" w:line="240" w:lineRule="auto"/>
        <w:ind w:firstLine="720"/>
        <w:jc w:val="both"/>
        <w:rPr>
          <w:rFonts w:ascii="Times New Roman" w:eastAsia="Times New Roman" w:hAnsi="Times New Roman" w:cs="Times New Roman"/>
          <w:sz w:val="24"/>
          <w:szCs w:val="24"/>
          <w:lang w:eastAsia="bg-BG"/>
        </w:rPr>
      </w:pPr>
      <w:r w:rsidRPr="00A24E77">
        <w:rPr>
          <w:rFonts w:ascii="Times New Roman" w:eastAsia="Times New Roman" w:hAnsi="Times New Roman" w:cs="Times New Roman"/>
          <w:sz w:val="24"/>
          <w:szCs w:val="24"/>
          <w:lang w:eastAsia="bg-BG"/>
        </w:rPr>
        <w:lastRenderedPageBreak/>
        <w:t>През 2024 г. са осъществени мерки за ефективно прилагане на Европейската референтна рамка за ключовите компетентности за учене през целия живот, Европейската квалификационна рамка за учене през целия живот (УЦЖ). Прилагат се приоритетите на Новата европейска програма за учен</w:t>
      </w:r>
      <w:r w:rsidR="00006C3B">
        <w:rPr>
          <w:rFonts w:ascii="Times New Roman" w:eastAsia="Times New Roman" w:hAnsi="Times New Roman" w:cs="Times New Roman"/>
          <w:sz w:val="24"/>
          <w:szCs w:val="24"/>
          <w:lang w:eastAsia="bg-BG"/>
        </w:rPr>
        <w:t>е на възрастни за периода 2021 –</w:t>
      </w:r>
      <w:r w:rsidRPr="00A24E77">
        <w:rPr>
          <w:rFonts w:ascii="Times New Roman" w:eastAsia="Times New Roman" w:hAnsi="Times New Roman" w:cs="Times New Roman"/>
          <w:sz w:val="24"/>
          <w:szCs w:val="24"/>
          <w:lang w:eastAsia="bg-BG"/>
        </w:rPr>
        <w:t xml:space="preserve"> 2030 г. </w:t>
      </w:r>
    </w:p>
    <w:p w14:paraId="338CE0E7" w14:textId="77777777" w:rsidR="00A24E77" w:rsidRPr="00A24E77" w:rsidRDefault="00A24E77" w:rsidP="00A24E77">
      <w:pPr>
        <w:spacing w:after="0" w:line="240" w:lineRule="auto"/>
        <w:ind w:firstLine="720"/>
        <w:jc w:val="both"/>
        <w:rPr>
          <w:rFonts w:ascii="Times New Roman" w:eastAsia="Times New Roman" w:hAnsi="Times New Roman" w:cs="Times New Roman"/>
          <w:sz w:val="24"/>
          <w:szCs w:val="24"/>
          <w:lang w:eastAsia="bg-BG"/>
        </w:rPr>
      </w:pPr>
      <w:r w:rsidRPr="00A24E77">
        <w:rPr>
          <w:rFonts w:ascii="Times New Roman" w:eastAsia="Times New Roman" w:hAnsi="Times New Roman" w:cs="Times New Roman"/>
          <w:sz w:val="24"/>
          <w:szCs w:val="24"/>
          <w:lang w:eastAsia="bg-BG"/>
        </w:rPr>
        <w:t xml:space="preserve">С цел насърчаване и оказване на подкрепа за ученето през целия живот в началото на 2024 г. Министерството на образованието и науката започна изпълнението на проект № 101144168 – </w:t>
      </w:r>
      <w:proofErr w:type="spellStart"/>
      <w:r w:rsidRPr="00A24E77">
        <w:rPr>
          <w:rFonts w:ascii="Times New Roman" w:eastAsia="Times New Roman" w:hAnsi="Times New Roman" w:cs="Times New Roman"/>
          <w:sz w:val="24"/>
          <w:szCs w:val="24"/>
          <w:lang w:eastAsia="bg-BG"/>
        </w:rPr>
        <w:t>Agenda</w:t>
      </w:r>
      <w:proofErr w:type="spellEnd"/>
      <w:r w:rsidRPr="00A24E77">
        <w:rPr>
          <w:rFonts w:ascii="Times New Roman" w:eastAsia="Times New Roman" w:hAnsi="Times New Roman" w:cs="Times New Roman"/>
          <w:sz w:val="24"/>
          <w:szCs w:val="24"/>
          <w:lang w:eastAsia="bg-BG"/>
        </w:rPr>
        <w:t xml:space="preserve"> 4 </w:t>
      </w:r>
      <w:proofErr w:type="spellStart"/>
      <w:r w:rsidRPr="00A24E77">
        <w:rPr>
          <w:rFonts w:ascii="Times New Roman" w:eastAsia="Times New Roman" w:hAnsi="Times New Roman" w:cs="Times New Roman"/>
          <w:sz w:val="24"/>
          <w:szCs w:val="24"/>
          <w:lang w:eastAsia="bg-BG"/>
        </w:rPr>
        <w:t>Skills</w:t>
      </w:r>
      <w:proofErr w:type="spellEnd"/>
      <w:r w:rsidRPr="00A24E77">
        <w:rPr>
          <w:rFonts w:ascii="Times New Roman" w:eastAsia="Times New Roman" w:hAnsi="Times New Roman" w:cs="Times New Roman"/>
          <w:sz w:val="24"/>
          <w:szCs w:val="24"/>
          <w:lang w:eastAsia="bg-BG"/>
        </w:rPr>
        <w:t xml:space="preserve"> – ERASMUS-EDU-2023-AL-AGENDA-IBA по програма „Еразъм+“. В рамките проектната интервенция е предвидено: проучване на добри практики в системата на заетостта за обучение на възрастни за последваща заетост; посещения в предприятия за популяризиране на валидирането и </w:t>
      </w:r>
      <w:proofErr w:type="spellStart"/>
      <w:r w:rsidRPr="00A24E77">
        <w:rPr>
          <w:rFonts w:ascii="Times New Roman" w:eastAsia="Times New Roman" w:hAnsi="Times New Roman" w:cs="Times New Roman"/>
          <w:sz w:val="24"/>
          <w:szCs w:val="24"/>
          <w:lang w:eastAsia="bg-BG"/>
        </w:rPr>
        <w:t>дуалното</w:t>
      </w:r>
      <w:proofErr w:type="spellEnd"/>
      <w:r w:rsidRPr="00A24E77">
        <w:rPr>
          <w:rFonts w:ascii="Times New Roman" w:eastAsia="Times New Roman" w:hAnsi="Times New Roman" w:cs="Times New Roman"/>
          <w:sz w:val="24"/>
          <w:szCs w:val="24"/>
          <w:lang w:eastAsia="bg-BG"/>
        </w:rPr>
        <w:t xml:space="preserve"> обучение; популяризиране на новите европейски инструменти за насърчаване на ученето на възрастни – индивидуалните сметки за обучение и микроудостоверенията. Проектът се изпълнява съвместно с МТСП. </w:t>
      </w:r>
    </w:p>
    <w:p w14:paraId="3E9CDF07" w14:textId="77777777" w:rsidR="00A24E77" w:rsidRPr="00A24E77" w:rsidRDefault="00A24E77" w:rsidP="00A24E77">
      <w:pPr>
        <w:spacing w:after="0" w:line="240" w:lineRule="auto"/>
        <w:ind w:firstLine="720"/>
        <w:jc w:val="both"/>
        <w:rPr>
          <w:rFonts w:ascii="Times New Roman" w:eastAsia="Times New Roman" w:hAnsi="Times New Roman" w:cs="Times New Roman"/>
          <w:sz w:val="24"/>
          <w:szCs w:val="24"/>
          <w:lang w:eastAsia="bg-BG"/>
        </w:rPr>
      </w:pPr>
      <w:r w:rsidRPr="00A24E77">
        <w:rPr>
          <w:rFonts w:ascii="Times New Roman" w:eastAsia="Times New Roman" w:hAnsi="Times New Roman" w:cs="Times New Roman"/>
          <w:sz w:val="24"/>
          <w:szCs w:val="24"/>
          <w:lang w:eastAsia="bg-BG"/>
        </w:rPr>
        <w:t xml:space="preserve">През м. ноември 2024 г. е проведено едно издание на Националните дни за учене през целия живот. В рамките на събитието са представени политиките за развитие на уменията във всички сектори на системата за образование и наука: от общото образование, през приобщаващото образование и </w:t>
      </w:r>
      <w:proofErr w:type="spellStart"/>
      <w:r w:rsidRPr="00A24E77">
        <w:rPr>
          <w:rFonts w:ascii="Times New Roman" w:eastAsia="Times New Roman" w:hAnsi="Times New Roman" w:cs="Times New Roman"/>
          <w:sz w:val="24"/>
          <w:szCs w:val="24"/>
          <w:lang w:eastAsia="bg-BG"/>
        </w:rPr>
        <w:t>дуалното</w:t>
      </w:r>
      <w:proofErr w:type="spellEnd"/>
      <w:r w:rsidRPr="00A24E77">
        <w:rPr>
          <w:rFonts w:ascii="Times New Roman" w:eastAsia="Times New Roman" w:hAnsi="Times New Roman" w:cs="Times New Roman"/>
          <w:sz w:val="24"/>
          <w:szCs w:val="24"/>
          <w:lang w:eastAsia="bg-BG"/>
        </w:rPr>
        <w:t xml:space="preserve"> професионално образование и обучение до висшето образование и науката. Събитието създаде условия за популяризиране на добри практики за развитие на уменията за учене през целия живот: на работното място и в културни институции и организации </w:t>
      </w:r>
      <w:r w:rsidRPr="00A24E77">
        <w:rPr>
          <w:rFonts w:ascii="Times New Roman" w:eastAsia="Times New Roman" w:hAnsi="Times New Roman" w:cs="Times New Roman"/>
          <w:sz w:val="24"/>
          <w:szCs w:val="24"/>
          <w:lang w:val="en-US" w:eastAsia="bg-BG"/>
        </w:rPr>
        <w:t>(</w:t>
      </w:r>
      <w:r w:rsidRPr="00A24E77">
        <w:rPr>
          <w:rFonts w:ascii="Times New Roman" w:eastAsia="Times New Roman" w:hAnsi="Times New Roman" w:cs="Times New Roman"/>
          <w:sz w:val="24"/>
          <w:szCs w:val="24"/>
          <w:lang w:eastAsia="bg-BG"/>
        </w:rPr>
        <w:t>музеи, читалища и библиотеки</w:t>
      </w:r>
      <w:r w:rsidRPr="00A24E77">
        <w:rPr>
          <w:rFonts w:ascii="Times New Roman" w:eastAsia="Times New Roman" w:hAnsi="Times New Roman" w:cs="Times New Roman"/>
          <w:sz w:val="24"/>
          <w:szCs w:val="24"/>
          <w:lang w:val="en-US" w:eastAsia="bg-BG"/>
        </w:rPr>
        <w:t>)</w:t>
      </w:r>
      <w:r w:rsidRPr="00A24E77">
        <w:rPr>
          <w:rFonts w:ascii="Times New Roman" w:eastAsia="Times New Roman" w:hAnsi="Times New Roman" w:cs="Times New Roman"/>
          <w:sz w:val="24"/>
          <w:szCs w:val="24"/>
          <w:lang w:eastAsia="bg-BG"/>
        </w:rPr>
        <w:t xml:space="preserve">. Специален фокус в добрите практики представиха бюрата по труда като структури на Агенцията по заетостта. </w:t>
      </w:r>
    </w:p>
    <w:p w14:paraId="2324D29B" w14:textId="77777777" w:rsidR="00A24E77" w:rsidRDefault="00A24E77" w:rsidP="00A24E77">
      <w:pPr>
        <w:spacing w:after="0" w:line="240" w:lineRule="auto"/>
        <w:ind w:firstLine="720"/>
        <w:jc w:val="both"/>
        <w:rPr>
          <w:rFonts w:ascii="Times New Roman" w:eastAsia="Calibri" w:hAnsi="Times New Roman" w:cs="Times New Roman"/>
          <w:sz w:val="24"/>
          <w:szCs w:val="24"/>
          <w:lang w:eastAsia="bg-BG"/>
        </w:rPr>
      </w:pPr>
      <w:r w:rsidRPr="00A24E77">
        <w:rPr>
          <w:rFonts w:ascii="Times New Roman" w:eastAsia="Calibri" w:hAnsi="Times New Roman" w:cs="Times New Roman"/>
          <w:sz w:val="24"/>
          <w:szCs w:val="24"/>
          <w:lang w:eastAsia="bg-BG"/>
        </w:rPr>
        <w:t>Натрупаният опит на заинтересованите страни и на професионалистите в България от работата по изпълнението на Националната стратегия за учене през целия живот за периода 2014-2020 г.</w:t>
      </w:r>
      <w:r w:rsidR="00006C3B">
        <w:rPr>
          <w:rFonts w:ascii="Times New Roman" w:eastAsia="Calibri" w:hAnsi="Times New Roman" w:cs="Times New Roman"/>
          <w:sz w:val="24"/>
          <w:szCs w:val="24"/>
          <w:lang w:eastAsia="bg-BG"/>
        </w:rPr>
        <w:t>,</w:t>
      </w:r>
      <w:r w:rsidRPr="00A24E77">
        <w:rPr>
          <w:rFonts w:ascii="Times New Roman" w:eastAsia="Calibri" w:hAnsi="Times New Roman" w:cs="Times New Roman"/>
          <w:sz w:val="24"/>
          <w:szCs w:val="24"/>
          <w:lang w:eastAsia="bg-BG"/>
        </w:rPr>
        <w:t xml:space="preserve"> Европейската програма за учене на възрастни до 2021 г. и националната подкрепа за съдържателното и функционално развитие на Електронната платформа за учене на възрастни в Европа </w:t>
      </w:r>
      <w:r w:rsidRPr="00A24E77">
        <w:rPr>
          <w:rFonts w:ascii="Times New Roman" w:eastAsia="Calibri" w:hAnsi="Times New Roman" w:cs="Times New Roman"/>
          <w:sz w:val="24"/>
          <w:szCs w:val="24"/>
          <w:lang w:val="en-US" w:eastAsia="bg-BG"/>
        </w:rPr>
        <w:t>(</w:t>
      </w:r>
      <w:r w:rsidRPr="00A24E77">
        <w:rPr>
          <w:rFonts w:ascii="Times New Roman" w:eastAsia="Calibri" w:hAnsi="Times New Roman" w:cs="Times New Roman"/>
          <w:sz w:val="24"/>
          <w:szCs w:val="24"/>
          <w:lang w:eastAsia="bg-BG"/>
        </w:rPr>
        <w:t>EPALE</w:t>
      </w:r>
      <w:r w:rsidRPr="00A24E77">
        <w:rPr>
          <w:rFonts w:ascii="Times New Roman" w:eastAsia="Calibri" w:hAnsi="Times New Roman" w:cs="Times New Roman"/>
          <w:sz w:val="24"/>
          <w:szCs w:val="24"/>
          <w:lang w:val="en-US" w:eastAsia="bg-BG"/>
        </w:rPr>
        <w:t>)</w:t>
      </w:r>
      <w:r w:rsidRPr="00A24E77">
        <w:rPr>
          <w:rFonts w:ascii="Times New Roman" w:eastAsia="Calibri" w:hAnsi="Times New Roman" w:cs="Times New Roman"/>
          <w:sz w:val="24"/>
          <w:szCs w:val="24"/>
          <w:lang w:eastAsia="bg-BG"/>
        </w:rPr>
        <w:t xml:space="preserve"> генерираха ценна обществена енергия за първоначално институционализиране и промяна на нагласите за този сектор в обществото. Директно отражение на тези обществени процеси е изпълнението на </w:t>
      </w:r>
      <w:r w:rsidRPr="00006C3B">
        <w:rPr>
          <w:rFonts w:ascii="Times New Roman" w:eastAsia="Calibri" w:hAnsi="Times New Roman" w:cs="Times New Roman"/>
          <w:b/>
          <w:sz w:val="24"/>
          <w:szCs w:val="24"/>
          <w:lang w:eastAsia="bg-BG"/>
        </w:rPr>
        <w:t>Стратегическата рамка за образованието, обучението и ученето в Република България 2021-2030 г</w:t>
      </w:r>
      <w:r w:rsidRPr="00A24E77">
        <w:rPr>
          <w:rFonts w:ascii="Times New Roman" w:eastAsia="Calibri" w:hAnsi="Times New Roman" w:cs="Times New Roman"/>
          <w:sz w:val="24"/>
          <w:szCs w:val="24"/>
          <w:lang w:eastAsia="bg-BG"/>
        </w:rPr>
        <w:t>. Чрез приемането на този основен стратегически документ България се ангажира със следните показатели, свързани с целевата група на възрастните:</w:t>
      </w:r>
    </w:p>
    <w:p w14:paraId="56B04D96" w14:textId="77777777" w:rsidR="00A24E77" w:rsidRPr="00A24E77" w:rsidRDefault="00A24E77" w:rsidP="00A24E77">
      <w:pPr>
        <w:pStyle w:val="ListParagraph"/>
        <w:numPr>
          <w:ilvl w:val="0"/>
          <w:numId w:val="37"/>
        </w:numPr>
        <w:spacing w:after="0" w:line="240" w:lineRule="auto"/>
        <w:ind w:left="0" w:firstLine="360"/>
        <w:jc w:val="both"/>
        <w:rPr>
          <w:rFonts w:ascii="Times New Roman" w:eastAsia="Calibri" w:hAnsi="Times New Roman" w:cs="Times New Roman"/>
          <w:sz w:val="24"/>
          <w:szCs w:val="24"/>
          <w:lang w:eastAsia="bg-BG"/>
        </w:rPr>
      </w:pPr>
      <w:r w:rsidRPr="00A24E77">
        <w:rPr>
          <w:rFonts w:ascii="Times New Roman" w:eastAsia="Times New Roman" w:hAnsi="Times New Roman" w:cs="Times New Roman"/>
          <w:sz w:val="24"/>
          <w:szCs w:val="24"/>
          <w:lang w:eastAsia="bg-BG"/>
        </w:rPr>
        <w:t>Относителен дял на населението (25-64 г.), участващо в образование и обучение е изчислен като съотношение между</w:t>
      </w:r>
      <w:r w:rsidR="00006C3B">
        <w:rPr>
          <w:rFonts w:ascii="Times New Roman" w:eastAsia="Times New Roman" w:hAnsi="Times New Roman" w:cs="Times New Roman"/>
          <w:sz w:val="24"/>
          <w:szCs w:val="24"/>
          <w:lang w:eastAsia="bg-BG"/>
        </w:rPr>
        <w:t xml:space="preserve"> броя на лицата на възраст 25-</w:t>
      </w:r>
      <w:r w:rsidRPr="00A24E77">
        <w:rPr>
          <w:rFonts w:ascii="Times New Roman" w:eastAsia="Times New Roman" w:hAnsi="Times New Roman" w:cs="Times New Roman"/>
          <w:sz w:val="24"/>
          <w:szCs w:val="24"/>
          <w:lang w:eastAsia="bg-BG"/>
        </w:rPr>
        <w:t xml:space="preserve">64 навършени години, участващи в образование или обучение през последните 4 седмици, вкл. наблюдаваната седмица, и населението на същата възраст; Заложена </w:t>
      </w:r>
      <w:r w:rsidR="00006C3B">
        <w:rPr>
          <w:rFonts w:ascii="Times New Roman" w:eastAsia="Times New Roman" w:hAnsi="Times New Roman" w:cs="Times New Roman"/>
          <w:sz w:val="24"/>
          <w:szCs w:val="24"/>
          <w:lang w:eastAsia="bg-BG"/>
        </w:rPr>
        <w:t xml:space="preserve">е </w:t>
      </w:r>
      <w:r w:rsidRPr="00A24E77">
        <w:rPr>
          <w:rFonts w:ascii="Times New Roman" w:eastAsia="Times New Roman" w:hAnsi="Times New Roman" w:cs="Times New Roman"/>
          <w:sz w:val="24"/>
          <w:szCs w:val="24"/>
          <w:lang w:eastAsia="bg-BG"/>
        </w:rPr>
        <w:t xml:space="preserve">целева стойност от 7% през </w:t>
      </w:r>
      <w:r w:rsidR="00006C3B">
        <w:rPr>
          <w:rFonts w:ascii="Times New Roman" w:eastAsia="Times New Roman" w:hAnsi="Times New Roman" w:cs="Times New Roman"/>
          <w:sz w:val="24"/>
          <w:szCs w:val="24"/>
          <w:lang w:eastAsia="bg-BG"/>
        </w:rPr>
        <w:br/>
      </w:r>
      <w:r w:rsidRPr="00A24E77">
        <w:rPr>
          <w:rFonts w:ascii="Times New Roman" w:eastAsia="Times New Roman" w:hAnsi="Times New Roman" w:cs="Times New Roman"/>
          <w:sz w:val="24"/>
          <w:szCs w:val="24"/>
          <w:lang w:eastAsia="bg-BG"/>
        </w:rPr>
        <w:t>2030 г.;</w:t>
      </w:r>
    </w:p>
    <w:p w14:paraId="449D660F" w14:textId="77777777" w:rsidR="00A24E77" w:rsidRPr="00006C3B" w:rsidRDefault="00A24E77" w:rsidP="00006C3B">
      <w:pPr>
        <w:pStyle w:val="ListParagraph"/>
        <w:numPr>
          <w:ilvl w:val="0"/>
          <w:numId w:val="37"/>
        </w:numPr>
        <w:spacing w:after="0" w:line="240" w:lineRule="auto"/>
        <w:ind w:left="0" w:firstLine="360"/>
        <w:jc w:val="both"/>
        <w:rPr>
          <w:rFonts w:ascii="Times New Roman" w:eastAsia="Calibri" w:hAnsi="Times New Roman" w:cs="Times New Roman"/>
          <w:sz w:val="24"/>
          <w:szCs w:val="24"/>
          <w:lang w:eastAsia="bg-BG"/>
        </w:rPr>
      </w:pPr>
      <w:r w:rsidRPr="00A24E77">
        <w:rPr>
          <w:rFonts w:ascii="Times New Roman" w:eastAsia="Times New Roman" w:hAnsi="Times New Roman" w:cs="Times New Roman"/>
          <w:sz w:val="24"/>
          <w:szCs w:val="24"/>
          <w:lang w:eastAsia="bg-BG"/>
        </w:rPr>
        <w:t xml:space="preserve">Отчетната информация по този показател съответно за 2023 </w:t>
      </w:r>
      <w:r w:rsidR="003D3EBB">
        <w:rPr>
          <w:rFonts w:ascii="Times New Roman" w:eastAsia="Times New Roman" w:hAnsi="Times New Roman" w:cs="Times New Roman"/>
          <w:sz w:val="24"/>
          <w:szCs w:val="24"/>
          <w:lang w:eastAsia="bg-BG"/>
        </w:rPr>
        <w:t>година</w:t>
      </w:r>
      <w:r w:rsidR="00006C3B">
        <w:rPr>
          <w:rFonts w:ascii="Times New Roman" w:eastAsia="Times New Roman" w:hAnsi="Times New Roman" w:cs="Times New Roman"/>
          <w:sz w:val="24"/>
          <w:szCs w:val="24"/>
          <w:lang w:eastAsia="bg-BG"/>
        </w:rPr>
        <w:t xml:space="preserve"> е 1,4%, а за 2024</w:t>
      </w:r>
      <w:r w:rsidR="003D3EBB">
        <w:rPr>
          <w:rFonts w:ascii="Times New Roman" w:eastAsia="Times New Roman" w:hAnsi="Times New Roman" w:cs="Times New Roman"/>
          <w:sz w:val="24"/>
          <w:szCs w:val="24"/>
          <w:lang w:eastAsia="bg-BG"/>
        </w:rPr>
        <w:t xml:space="preserve"> година</w:t>
      </w:r>
      <w:r w:rsidR="00006C3B">
        <w:rPr>
          <w:rFonts w:ascii="Times New Roman" w:eastAsia="Times New Roman" w:hAnsi="Times New Roman" w:cs="Times New Roman"/>
          <w:sz w:val="24"/>
          <w:szCs w:val="24"/>
          <w:lang w:eastAsia="bg-BG"/>
        </w:rPr>
        <w:t xml:space="preserve"> –</w:t>
      </w:r>
      <w:r w:rsidRPr="00006C3B">
        <w:rPr>
          <w:rFonts w:ascii="Times New Roman" w:eastAsia="Times New Roman" w:hAnsi="Times New Roman" w:cs="Times New Roman"/>
          <w:sz w:val="24"/>
          <w:szCs w:val="24"/>
          <w:lang w:eastAsia="bg-BG"/>
        </w:rPr>
        <w:t xml:space="preserve"> 1,8%;</w:t>
      </w:r>
    </w:p>
    <w:p w14:paraId="65611CDF" w14:textId="77777777" w:rsidR="00A24E77" w:rsidRPr="00A24E77" w:rsidRDefault="00A24E77" w:rsidP="00A24E77">
      <w:pPr>
        <w:pStyle w:val="ListParagraph"/>
        <w:numPr>
          <w:ilvl w:val="0"/>
          <w:numId w:val="37"/>
        </w:numPr>
        <w:spacing w:after="0" w:line="240" w:lineRule="auto"/>
        <w:ind w:left="0" w:firstLine="360"/>
        <w:jc w:val="both"/>
        <w:rPr>
          <w:rFonts w:ascii="Times New Roman" w:eastAsia="Calibri" w:hAnsi="Times New Roman" w:cs="Times New Roman"/>
          <w:sz w:val="24"/>
          <w:szCs w:val="24"/>
          <w:lang w:eastAsia="bg-BG"/>
        </w:rPr>
      </w:pPr>
      <w:r w:rsidRPr="00A24E77">
        <w:rPr>
          <w:rFonts w:ascii="Times New Roman" w:eastAsia="Times New Roman" w:hAnsi="Times New Roman" w:cs="Times New Roman"/>
          <w:sz w:val="24"/>
          <w:szCs w:val="24"/>
          <w:lang w:eastAsia="bg-BG"/>
        </w:rPr>
        <w:t>Относителен дял на населението (25-64 г.), участващо в образование и обучение е изчислен като съотношение между броя на лицата на възраст</w:t>
      </w:r>
      <w:r w:rsidR="00006C3B">
        <w:rPr>
          <w:rFonts w:ascii="Times New Roman" w:eastAsia="Times New Roman" w:hAnsi="Times New Roman" w:cs="Times New Roman"/>
          <w:sz w:val="24"/>
          <w:szCs w:val="24"/>
          <w:lang w:eastAsia="bg-BG"/>
        </w:rPr>
        <w:t xml:space="preserve"> 25-</w:t>
      </w:r>
      <w:r w:rsidRPr="00A24E77">
        <w:rPr>
          <w:rFonts w:ascii="Times New Roman" w:eastAsia="Times New Roman" w:hAnsi="Times New Roman" w:cs="Times New Roman"/>
          <w:sz w:val="24"/>
          <w:szCs w:val="24"/>
          <w:lang w:eastAsia="bg-BG"/>
        </w:rPr>
        <w:t xml:space="preserve">64 навършени години, участващи в образование или обучение през последните 12 месеца, вкл. наблюдаваната седмица, и населението на същата възраст; Заложена </w:t>
      </w:r>
      <w:r w:rsidR="00006C3B">
        <w:rPr>
          <w:rFonts w:ascii="Times New Roman" w:eastAsia="Times New Roman" w:hAnsi="Times New Roman" w:cs="Times New Roman"/>
          <w:sz w:val="24"/>
          <w:szCs w:val="24"/>
          <w:lang w:eastAsia="bg-BG"/>
        </w:rPr>
        <w:t xml:space="preserve">е </w:t>
      </w:r>
      <w:r w:rsidRPr="00A24E77">
        <w:rPr>
          <w:rFonts w:ascii="Times New Roman" w:eastAsia="Times New Roman" w:hAnsi="Times New Roman" w:cs="Times New Roman"/>
          <w:sz w:val="24"/>
          <w:szCs w:val="24"/>
          <w:lang w:eastAsia="bg-BG"/>
        </w:rPr>
        <w:t xml:space="preserve">целева стойност от 33% през </w:t>
      </w:r>
      <w:r w:rsidR="003D3EBB">
        <w:rPr>
          <w:rFonts w:ascii="Times New Roman" w:eastAsia="Times New Roman" w:hAnsi="Times New Roman" w:cs="Times New Roman"/>
          <w:sz w:val="24"/>
          <w:szCs w:val="24"/>
          <w:lang w:eastAsia="bg-BG"/>
        </w:rPr>
        <w:br/>
        <w:t>2030 година.</w:t>
      </w:r>
      <w:r w:rsidRPr="00A24E77">
        <w:rPr>
          <w:rFonts w:ascii="Times New Roman" w:eastAsia="Times New Roman" w:hAnsi="Times New Roman" w:cs="Times New Roman"/>
          <w:sz w:val="24"/>
          <w:szCs w:val="24"/>
          <w:lang w:eastAsia="bg-BG"/>
        </w:rPr>
        <w:t xml:space="preserve"> </w:t>
      </w:r>
    </w:p>
    <w:p w14:paraId="599D8588" w14:textId="77777777" w:rsidR="00A24E77" w:rsidRPr="00A24E77" w:rsidRDefault="00006C3B" w:rsidP="00A24E77">
      <w:pPr>
        <w:pStyle w:val="ListParagraph"/>
        <w:spacing w:after="0" w:line="240" w:lineRule="auto"/>
        <w:ind w:left="0"/>
        <w:jc w:val="both"/>
        <w:rPr>
          <w:rFonts w:ascii="Times New Roman" w:eastAsia="Calibri" w:hAnsi="Times New Roman" w:cs="Times New Roman"/>
          <w:sz w:val="24"/>
          <w:szCs w:val="24"/>
          <w:lang w:eastAsia="bg-BG"/>
        </w:rPr>
      </w:pPr>
      <w:r>
        <w:rPr>
          <w:rFonts w:ascii="Times New Roman" w:eastAsia="Times New Roman" w:hAnsi="Times New Roman" w:cs="Times New Roman"/>
          <w:sz w:val="24"/>
          <w:szCs w:val="24"/>
          <w:lang w:eastAsia="bg-BG"/>
        </w:rPr>
        <w:tab/>
      </w:r>
      <w:r w:rsidR="00A24E77" w:rsidRPr="00A24E77">
        <w:rPr>
          <w:rFonts w:ascii="Times New Roman" w:eastAsia="Times New Roman" w:hAnsi="Times New Roman" w:cs="Times New Roman"/>
          <w:sz w:val="24"/>
          <w:szCs w:val="24"/>
          <w:lang w:eastAsia="bg-BG"/>
        </w:rPr>
        <w:t>Отчетната информация по този показател както за 2023 г., така и за 2024 г. е 20,6%, предвид последното измерване на този относителен дял за 2022 г. с оглед периода на изследването AES. Следващ цикъл по AES – 2028 г.</w:t>
      </w:r>
    </w:p>
    <w:p w14:paraId="0B18892D" w14:textId="77777777" w:rsidR="00A24E77" w:rsidRPr="00A24E77" w:rsidRDefault="00A24E77" w:rsidP="00A24E77">
      <w:pPr>
        <w:spacing w:after="0" w:line="240" w:lineRule="auto"/>
        <w:jc w:val="both"/>
        <w:rPr>
          <w:rFonts w:ascii="Times New Roman" w:eastAsia="Times New Roman" w:hAnsi="Times New Roman" w:cs="Times New Roman"/>
          <w:sz w:val="24"/>
          <w:szCs w:val="24"/>
          <w:lang w:eastAsia="bg-BG"/>
        </w:rPr>
      </w:pPr>
      <w:r w:rsidRPr="00A24E77">
        <w:rPr>
          <w:rFonts w:ascii="Times New Roman" w:eastAsia="Times New Roman" w:hAnsi="Times New Roman" w:cs="Times New Roman"/>
          <w:sz w:val="24"/>
          <w:szCs w:val="24"/>
          <w:lang w:eastAsia="bg-BG"/>
        </w:rPr>
        <w:tab/>
        <w:t>Финансирането е със средства от бюджета на МОН и по Програма на ЕС в областта на образованието, обучението, младежта и спорта „Еразъм+“.</w:t>
      </w:r>
    </w:p>
    <w:p w14:paraId="475343DC" w14:textId="77777777" w:rsidR="00A24E77" w:rsidRPr="00A24E77" w:rsidRDefault="00A24E77" w:rsidP="00A24E77">
      <w:pPr>
        <w:spacing w:after="0" w:line="240" w:lineRule="auto"/>
        <w:ind w:firstLine="720"/>
        <w:jc w:val="both"/>
        <w:rPr>
          <w:rFonts w:ascii="Times New Roman" w:eastAsia="Times New Roman" w:hAnsi="Times New Roman" w:cs="Times New Roman"/>
          <w:sz w:val="24"/>
          <w:szCs w:val="24"/>
          <w:lang w:eastAsia="bg-BG"/>
        </w:rPr>
      </w:pPr>
      <w:r w:rsidRPr="00A24E77">
        <w:rPr>
          <w:rFonts w:ascii="Times New Roman" w:eastAsia="Times New Roman" w:hAnsi="Times New Roman" w:cs="Times New Roman"/>
          <w:sz w:val="24"/>
          <w:szCs w:val="24"/>
          <w:lang w:eastAsia="bg-BG"/>
        </w:rPr>
        <w:lastRenderedPageBreak/>
        <w:t>Мярката има въздействие на национално ниво.</w:t>
      </w:r>
    </w:p>
    <w:p w14:paraId="605F37D2" w14:textId="77777777" w:rsidR="00ED133B" w:rsidRPr="006C13DF" w:rsidRDefault="00ED133B" w:rsidP="00E91E47">
      <w:pPr>
        <w:spacing w:after="0" w:line="240" w:lineRule="auto"/>
        <w:jc w:val="both"/>
        <w:rPr>
          <w:rFonts w:ascii="Times New Roman" w:hAnsi="Times New Roman" w:cs="Times New Roman"/>
          <w:b/>
          <w:sz w:val="24"/>
          <w:szCs w:val="24"/>
        </w:rPr>
      </w:pPr>
    </w:p>
    <w:p w14:paraId="3FED5884" w14:textId="77777777" w:rsidR="00ED133B" w:rsidRDefault="00ED133B" w:rsidP="00ED133B">
      <w:pPr>
        <w:spacing w:after="0" w:line="240" w:lineRule="auto"/>
        <w:jc w:val="center"/>
        <w:rPr>
          <w:rFonts w:ascii="Times New Roman" w:eastAsia="Calibri" w:hAnsi="Times New Roman" w:cs="Times New Roman"/>
          <w:b/>
          <w:color w:val="C0504D"/>
          <w:sz w:val="24"/>
          <w:szCs w:val="24"/>
        </w:rPr>
      </w:pPr>
      <w:r>
        <w:rPr>
          <w:rFonts w:ascii="Times New Roman" w:eastAsia="Calibri" w:hAnsi="Times New Roman" w:cs="Times New Roman"/>
          <w:b/>
          <w:color w:val="C0504D"/>
          <w:sz w:val="24"/>
          <w:szCs w:val="24"/>
        </w:rPr>
        <w:t>МИНИСТЕРСТВО НА ОБРАЗОВАНИЕТО И НАУКАТА</w:t>
      </w:r>
    </w:p>
    <w:p w14:paraId="0F69A902" w14:textId="77777777" w:rsidR="003C30EA" w:rsidRPr="006C13DF" w:rsidRDefault="003C30EA" w:rsidP="00006C3B">
      <w:pPr>
        <w:spacing w:after="0" w:line="240" w:lineRule="auto"/>
        <w:jc w:val="both"/>
        <w:rPr>
          <w:rFonts w:ascii="Times New Roman" w:eastAsia="Times New Roman" w:hAnsi="Times New Roman" w:cs="Times New Roman"/>
          <w:sz w:val="24"/>
          <w:szCs w:val="24"/>
        </w:rPr>
      </w:pPr>
    </w:p>
    <w:p w14:paraId="6385582A" w14:textId="77777777" w:rsidR="00BD0D8F" w:rsidRDefault="00BD0D8F" w:rsidP="00BD0D8F">
      <w:pPr>
        <w:spacing w:after="0" w:line="240" w:lineRule="auto"/>
        <w:jc w:val="both"/>
        <w:rPr>
          <w:rFonts w:ascii="Times New Roman" w:eastAsia="Times New Roman" w:hAnsi="Times New Roman" w:cs="Times New Roman"/>
          <w:b/>
          <w:sz w:val="24"/>
          <w:szCs w:val="24"/>
        </w:rPr>
      </w:pPr>
      <w:r w:rsidRPr="00006C3B">
        <w:rPr>
          <w:rFonts w:ascii="Times New Roman" w:eastAsia="Times New Roman" w:hAnsi="Times New Roman" w:cs="Times New Roman"/>
          <w:b/>
          <w:sz w:val="24"/>
          <w:szCs w:val="24"/>
        </w:rPr>
        <w:t>2.4.2. Изпълнение на Новата европейска програма за учене на възрастни (НЕПУВ) за периода 2021-2030</w:t>
      </w:r>
      <w:r w:rsidR="006E5C93" w:rsidRPr="006C13DF">
        <w:rPr>
          <w:rFonts w:ascii="Times New Roman" w:eastAsia="Times New Roman" w:hAnsi="Times New Roman" w:cs="Times New Roman"/>
          <w:b/>
          <w:sz w:val="24"/>
          <w:szCs w:val="24"/>
        </w:rPr>
        <w:t xml:space="preserve"> </w:t>
      </w:r>
    </w:p>
    <w:p w14:paraId="0D942412" w14:textId="77777777" w:rsidR="00006C3B" w:rsidRPr="00006C3B" w:rsidRDefault="00006C3B" w:rsidP="00006C3B">
      <w:pPr>
        <w:spacing w:after="0" w:line="240" w:lineRule="auto"/>
        <w:jc w:val="both"/>
        <w:rPr>
          <w:rFonts w:ascii="Times New Roman" w:eastAsia="Times New Roman" w:hAnsi="Times New Roman" w:cs="Times New Roman"/>
          <w:b/>
          <w:sz w:val="24"/>
          <w:szCs w:val="24"/>
        </w:rPr>
      </w:pPr>
    </w:p>
    <w:p w14:paraId="07386DBB" w14:textId="77777777" w:rsidR="00006C3B" w:rsidRPr="00006C3B" w:rsidRDefault="00006C3B" w:rsidP="00006C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006C3B">
        <w:rPr>
          <w:rFonts w:ascii="Times New Roman" w:eastAsia="Times New Roman" w:hAnsi="Times New Roman" w:cs="Times New Roman"/>
          <w:sz w:val="24"/>
          <w:szCs w:val="24"/>
        </w:rPr>
        <w:t>Проект „Програма за уменията“ (</w:t>
      </w:r>
      <w:proofErr w:type="spellStart"/>
      <w:r w:rsidRPr="00006C3B">
        <w:rPr>
          <w:rFonts w:ascii="Times New Roman" w:eastAsia="Times New Roman" w:hAnsi="Times New Roman" w:cs="Times New Roman"/>
          <w:sz w:val="24"/>
          <w:szCs w:val="24"/>
        </w:rPr>
        <w:t>Agenda</w:t>
      </w:r>
      <w:proofErr w:type="spellEnd"/>
      <w:r w:rsidRPr="00006C3B">
        <w:rPr>
          <w:rFonts w:ascii="Times New Roman" w:eastAsia="Times New Roman" w:hAnsi="Times New Roman" w:cs="Times New Roman"/>
          <w:sz w:val="24"/>
          <w:szCs w:val="24"/>
        </w:rPr>
        <w:t xml:space="preserve"> 4 </w:t>
      </w:r>
      <w:proofErr w:type="spellStart"/>
      <w:r w:rsidRPr="00006C3B">
        <w:rPr>
          <w:rFonts w:ascii="Times New Roman" w:eastAsia="Times New Roman" w:hAnsi="Times New Roman" w:cs="Times New Roman"/>
          <w:sz w:val="24"/>
          <w:szCs w:val="24"/>
        </w:rPr>
        <w:t>Skills</w:t>
      </w:r>
      <w:proofErr w:type="spellEnd"/>
      <w:r w:rsidRPr="00006C3B">
        <w:rPr>
          <w:rFonts w:ascii="Times New Roman" w:eastAsia="Times New Roman" w:hAnsi="Times New Roman" w:cs="Times New Roman"/>
          <w:sz w:val="24"/>
          <w:szCs w:val="24"/>
        </w:rPr>
        <w:t>) е финансиран по Програмата на ЕС в областта на образованието младежта и спорта Еразъм+ 2021-2027. Чрез проекта България изпълнява приоритетите на Новата европейска програма за учене на възрастни за периода 20</w:t>
      </w:r>
      <w:r>
        <w:rPr>
          <w:rFonts w:ascii="Times New Roman" w:eastAsia="Times New Roman" w:hAnsi="Times New Roman" w:cs="Times New Roman"/>
          <w:sz w:val="24"/>
          <w:szCs w:val="24"/>
        </w:rPr>
        <w:t>21 –</w:t>
      </w:r>
      <w:r w:rsidRPr="00006C3B">
        <w:rPr>
          <w:rFonts w:ascii="Times New Roman" w:eastAsia="Times New Roman" w:hAnsi="Times New Roman" w:cs="Times New Roman"/>
          <w:sz w:val="24"/>
          <w:szCs w:val="24"/>
        </w:rPr>
        <w:t xml:space="preserve"> 2030 г.</w:t>
      </w:r>
    </w:p>
    <w:p w14:paraId="1AD65256" w14:textId="77777777" w:rsidR="00006C3B" w:rsidRPr="00006C3B" w:rsidRDefault="00006C3B" w:rsidP="00006C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06C3B">
        <w:rPr>
          <w:rFonts w:ascii="Times New Roman" w:eastAsia="Times New Roman" w:hAnsi="Times New Roman" w:cs="Times New Roman"/>
          <w:sz w:val="24"/>
          <w:szCs w:val="24"/>
        </w:rPr>
        <w:t>Проведените през 2024 г. инициативи по проекта, вкл. в партньорство с МТСП</w:t>
      </w:r>
      <w:r>
        <w:rPr>
          <w:rFonts w:ascii="Times New Roman" w:eastAsia="Times New Roman" w:hAnsi="Times New Roman" w:cs="Times New Roman"/>
          <w:sz w:val="24"/>
          <w:szCs w:val="24"/>
        </w:rPr>
        <w:t>,</w:t>
      </w:r>
      <w:r w:rsidRPr="00006C3B">
        <w:rPr>
          <w:rFonts w:ascii="Times New Roman" w:eastAsia="Times New Roman" w:hAnsi="Times New Roman" w:cs="Times New Roman"/>
          <w:sz w:val="24"/>
          <w:szCs w:val="24"/>
        </w:rPr>
        <w:t xml:space="preserve"> са: фокус-група за инди</w:t>
      </w:r>
      <w:r>
        <w:rPr>
          <w:rFonts w:ascii="Times New Roman" w:eastAsia="Times New Roman" w:hAnsi="Times New Roman" w:cs="Times New Roman"/>
          <w:sz w:val="24"/>
          <w:szCs w:val="24"/>
        </w:rPr>
        <w:t>видуалните сметки за обучение; р</w:t>
      </w:r>
      <w:r w:rsidRPr="00006C3B">
        <w:rPr>
          <w:rFonts w:ascii="Times New Roman" w:eastAsia="Times New Roman" w:hAnsi="Times New Roman" w:cs="Times New Roman"/>
          <w:sz w:val="24"/>
          <w:szCs w:val="24"/>
        </w:rPr>
        <w:t>егионално събитие с представители на институциите на пазара на труда, работодатели, социални партньори, местни и регионални власти, проведено на 12 април 2024 г. в гр. София; Първа работна среща на Националния координацион</w:t>
      </w:r>
      <w:r>
        <w:rPr>
          <w:rFonts w:ascii="Times New Roman" w:eastAsia="Times New Roman" w:hAnsi="Times New Roman" w:cs="Times New Roman"/>
          <w:sz w:val="24"/>
          <w:szCs w:val="24"/>
        </w:rPr>
        <w:t>ен съвет, проведена на 28 – 29 май 2024 г. в гр. Пловдив; д</w:t>
      </w:r>
      <w:r w:rsidRPr="00006C3B">
        <w:rPr>
          <w:rFonts w:ascii="Times New Roman" w:eastAsia="Times New Roman" w:hAnsi="Times New Roman" w:cs="Times New Roman"/>
          <w:sz w:val="24"/>
          <w:szCs w:val="24"/>
        </w:rPr>
        <w:t>ва секторни семинара в секторите „Туризъм“ и „Строителство“, проведени съответно на 29.10.</w:t>
      </w:r>
      <w:r>
        <w:rPr>
          <w:rFonts w:ascii="Times New Roman" w:eastAsia="Times New Roman" w:hAnsi="Times New Roman" w:cs="Times New Roman"/>
          <w:sz w:val="24"/>
          <w:szCs w:val="24"/>
        </w:rPr>
        <w:t>2024 г.</w:t>
      </w:r>
      <w:r w:rsidRPr="00006C3B">
        <w:rPr>
          <w:rFonts w:ascii="Times New Roman" w:eastAsia="Times New Roman" w:hAnsi="Times New Roman" w:cs="Times New Roman"/>
          <w:sz w:val="24"/>
          <w:szCs w:val="24"/>
        </w:rPr>
        <w:t xml:space="preserve"> и на 29.09.2024 г. в гр. София; разработена Стратегия за разпро</w:t>
      </w:r>
      <w:r w:rsidR="001468BD">
        <w:rPr>
          <w:rFonts w:ascii="Times New Roman" w:eastAsia="Times New Roman" w:hAnsi="Times New Roman" w:cs="Times New Roman"/>
          <w:sz w:val="24"/>
          <w:szCs w:val="24"/>
        </w:rPr>
        <w:t>странение и комуникационен план;</w:t>
      </w:r>
      <w:r w:rsidRPr="00006C3B">
        <w:rPr>
          <w:rFonts w:ascii="Times New Roman" w:eastAsia="Times New Roman" w:hAnsi="Times New Roman" w:cs="Times New Roman"/>
          <w:sz w:val="24"/>
          <w:szCs w:val="24"/>
        </w:rPr>
        <w:t xml:space="preserve"> </w:t>
      </w:r>
      <w:r w:rsidR="001468BD">
        <w:rPr>
          <w:rFonts w:ascii="Times New Roman" w:eastAsia="Times New Roman" w:hAnsi="Times New Roman" w:cs="Times New Roman"/>
          <w:sz w:val="24"/>
          <w:szCs w:val="24"/>
        </w:rPr>
        <w:t>п</w:t>
      </w:r>
      <w:r w:rsidRPr="00006C3B">
        <w:rPr>
          <w:rFonts w:ascii="Times New Roman" w:eastAsia="Times New Roman" w:hAnsi="Times New Roman" w:cs="Times New Roman"/>
          <w:sz w:val="24"/>
          <w:szCs w:val="24"/>
        </w:rPr>
        <w:t>роведено на 26.09.2024 г. Национално събитие по проекта – ЕС и национални полити</w:t>
      </w:r>
      <w:r w:rsidR="001468BD">
        <w:rPr>
          <w:rFonts w:ascii="Times New Roman" w:eastAsia="Times New Roman" w:hAnsi="Times New Roman" w:cs="Times New Roman"/>
          <w:sz w:val="24"/>
          <w:szCs w:val="24"/>
        </w:rPr>
        <w:t>ки и практики, съвместно с ОИСР.</w:t>
      </w:r>
    </w:p>
    <w:p w14:paraId="2B2177F3" w14:textId="77777777" w:rsidR="00006C3B" w:rsidRPr="00006C3B" w:rsidRDefault="00006C3B" w:rsidP="00006C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06C3B">
        <w:rPr>
          <w:rFonts w:ascii="Times New Roman" w:eastAsia="Times New Roman" w:hAnsi="Times New Roman" w:cs="Times New Roman"/>
          <w:sz w:val="24"/>
          <w:szCs w:val="24"/>
        </w:rPr>
        <w:t>Мярката се финансира със средства по Програма на ЕС в областта на образованието, обучението, младежта и спорта „Еразъм+“ и от бюджета на МОН.</w:t>
      </w:r>
    </w:p>
    <w:p w14:paraId="3E035C6D" w14:textId="77777777" w:rsidR="00006C3B" w:rsidRPr="00006C3B" w:rsidRDefault="00006C3B" w:rsidP="00006C3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06C3B">
        <w:rPr>
          <w:rFonts w:ascii="Times New Roman" w:eastAsia="Times New Roman" w:hAnsi="Times New Roman" w:cs="Times New Roman"/>
          <w:sz w:val="24"/>
          <w:szCs w:val="24"/>
        </w:rPr>
        <w:t>Мярката има въздействие на национално и на регионално ниво.</w:t>
      </w:r>
    </w:p>
    <w:p w14:paraId="21FD8F73" w14:textId="77777777" w:rsidR="00006C3B" w:rsidRPr="006C13DF" w:rsidRDefault="00006C3B" w:rsidP="00BD0D8F">
      <w:pPr>
        <w:spacing w:after="0" w:line="240" w:lineRule="auto"/>
        <w:jc w:val="both"/>
        <w:rPr>
          <w:rFonts w:ascii="Times New Roman" w:eastAsia="Times New Roman" w:hAnsi="Times New Roman" w:cs="Times New Roman"/>
          <w:b/>
          <w:sz w:val="24"/>
          <w:szCs w:val="24"/>
        </w:rPr>
      </w:pPr>
    </w:p>
    <w:p w14:paraId="1774FE0E" w14:textId="77777777" w:rsidR="00ED133B" w:rsidRDefault="00ED133B" w:rsidP="00ED133B">
      <w:pPr>
        <w:spacing w:after="0" w:line="240" w:lineRule="auto"/>
        <w:jc w:val="center"/>
        <w:rPr>
          <w:rFonts w:ascii="Times New Roman" w:eastAsia="Calibri" w:hAnsi="Times New Roman" w:cs="Times New Roman"/>
          <w:b/>
          <w:color w:val="C0504D"/>
          <w:sz w:val="24"/>
          <w:szCs w:val="24"/>
        </w:rPr>
      </w:pPr>
      <w:r>
        <w:rPr>
          <w:rFonts w:ascii="Times New Roman" w:eastAsia="Calibri" w:hAnsi="Times New Roman" w:cs="Times New Roman"/>
          <w:b/>
          <w:color w:val="C0504D"/>
          <w:sz w:val="24"/>
          <w:szCs w:val="24"/>
        </w:rPr>
        <w:t>МИНИСТЕРСТВО НА ОБРАЗОВАНИЕТО И НАУКАТА</w:t>
      </w:r>
    </w:p>
    <w:p w14:paraId="7E43194D" w14:textId="77777777" w:rsidR="00BD0D8F" w:rsidRPr="006C13DF" w:rsidRDefault="00BD0D8F" w:rsidP="00BD0D8F">
      <w:pPr>
        <w:spacing w:after="0" w:line="240" w:lineRule="auto"/>
        <w:jc w:val="both"/>
        <w:rPr>
          <w:rFonts w:ascii="Times New Roman" w:eastAsia="Times New Roman" w:hAnsi="Times New Roman" w:cs="Times New Roman"/>
          <w:b/>
          <w:sz w:val="24"/>
          <w:szCs w:val="24"/>
        </w:rPr>
      </w:pPr>
    </w:p>
    <w:p w14:paraId="6F2EA458" w14:textId="77777777" w:rsidR="00BD0D8F" w:rsidRDefault="00BD0D8F" w:rsidP="00BD0D8F">
      <w:pPr>
        <w:spacing w:after="0" w:line="240" w:lineRule="auto"/>
        <w:jc w:val="both"/>
        <w:rPr>
          <w:rFonts w:ascii="Times New Roman" w:eastAsia="Times New Roman" w:hAnsi="Times New Roman" w:cs="Times New Roman"/>
          <w:b/>
          <w:sz w:val="24"/>
          <w:szCs w:val="24"/>
        </w:rPr>
      </w:pPr>
      <w:r w:rsidRPr="00A24E77">
        <w:rPr>
          <w:rFonts w:ascii="Times New Roman" w:eastAsia="Times New Roman" w:hAnsi="Times New Roman" w:cs="Times New Roman"/>
          <w:b/>
          <w:sz w:val="24"/>
          <w:szCs w:val="24"/>
        </w:rPr>
        <w:t>2.4.3. Национална подкрепа за функциониране на Електронната платформа за учене на възрастни в Европа (EPALE), вкл. с фокус върху Европейската година на уменията -2023г. и за професионализация на персонала</w:t>
      </w:r>
    </w:p>
    <w:p w14:paraId="6B63AA18" w14:textId="77777777" w:rsidR="00A24E77" w:rsidRDefault="00A24E77" w:rsidP="00BD0D8F">
      <w:pPr>
        <w:spacing w:after="0" w:line="240" w:lineRule="auto"/>
        <w:jc w:val="both"/>
        <w:rPr>
          <w:rFonts w:ascii="Times New Roman" w:eastAsia="Times New Roman" w:hAnsi="Times New Roman" w:cs="Times New Roman"/>
          <w:b/>
          <w:sz w:val="24"/>
          <w:szCs w:val="24"/>
        </w:rPr>
      </w:pPr>
    </w:p>
    <w:p w14:paraId="69814ABC"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A24E77">
        <w:rPr>
          <w:rFonts w:ascii="Times New Roman" w:eastAsia="Times New Roman" w:hAnsi="Times New Roman" w:cs="Times New Roman"/>
          <w:sz w:val="24"/>
          <w:szCs w:val="24"/>
        </w:rPr>
        <w:t xml:space="preserve">От края на 2021 г. чрез Министерството на образованието и науката България е пълноправен член на Европейската мрежа за основни умения (EBSN). Заедно с функциониращата мрежа EPALE BG, която включва институции и организации от България, </w:t>
      </w:r>
      <w:r w:rsidRPr="00A24E77">
        <w:rPr>
          <w:rFonts w:ascii="Times New Roman" w:eastAsia="Times New Roman" w:hAnsi="Times New Roman" w:cs="Times New Roman"/>
          <w:sz w:val="24"/>
          <w:szCs w:val="24"/>
          <w:lang w:val="en-US"/>
        </w:rPr>
        <w:t xml:space="preserve">EBSN </w:t>
      </w:r>
      <w:r w:rsidRPr="00A24E77">
        <w:rPr>
          <w:rFonts w:ascii="Times New Roman" w:eastAsia="Times New Roman" w:hAnsi="Times New Roman" w:cs="Times New Roman"/>
          <w:sz w:val="24"/>
          <w:szCs w:val="24"/>
        </w:rPr>
        <w:t xml:space="preserve">разширява възможностите в национален контекст за свързване с други институции и организации-членки на EBSN. Дейността на </w:t>
      </w:r>
      <w:r w:rsidRPr="00A24E77">
        <w:rPr>
          <w:rFonts w:ascii="Times New Roman" w:eastAsia="Times New Roman" w:hAnsi="Times New Roman" w:cs="Times New Roman"/>
          <w:sz w:val="24"/>
          <w:szCs w:val="24"/>
          <w:lang w:val="en-US"/>
        </w:rPr>
        <w:t>EBSN</w:t>
      </w:r>
      <w:r w:rsidRPr="00A24E77">
        <w:rPr>
          <w:rFonts w:ascii="Times New Roman" w:eastAsia="Times New Roman" w:hAnsi="Times New Roman" w:cs="Times New Roman"/>
          <w:sz w:val="24"/>
          <w:szCs w:val="24"/>
        </w:rPr>
        <w:t xml:space="preserve"> е свързана с основните умения на възрастните: настоящи и бъдещи.</w:t>
      </w:r>
      <w:r w:rsidRPr="00A24E77">
        <w:rPr>
          <w:rFonts w:ascii="Times New Roman" w:eastAsia="Times New Roman" w:hAnsi="Times New Roman" w:cs="Times New Roman"/>
          <w:sz w:val="24"/>
          <w:szCs w:val="24"/>
          <w:lang w:val="en-US"/>
        </w:rPr>
        <w:t xml:space="preserve"> </w:t>
      </w:r>
      <w:r w:rsidRPr="00A24E77">
        <w:rPr>
          <w:rFonts w:ascii="Times New Roman" w:eastAsia="Times New Roman" w:hAnsi="Times New Roman" w:cs="Times New Roman"/>
          <w:sz w:val="24"/>
          <w:szCs w:val="24"/>
        </w:rPr>
        <w:t xml:space="preserve">EPALE BG е част от Електронната платформа за учене на възрастни в Европа (EPALE). Нейната цел е насърчаване на повече и по-добри възможности за учене за всички възрастни, като подкрепя и укрепва професиите в обучението за възрастни. Тя дава възможност на членовете да се свързват с и да се учат от колегите си в цяла Европа, чрез публикациите в своя блог, чрез форумите, </w:t>
      </w:r>
      <w:proofErr w:type="spellStart"/>
      <w:r w:rsidRPr="00A24E77">
        <w:rPr>
          <w:rFonts w:ascii="Times New Roman" w:eastAsia="Times New Roman" w:hAnsi="Times New Roman" w:cs="Times New Roman"/>
          <w:sz w:val="24"/>
          <w:szCs w:val="24"/>
        </w:rPr>
        <w:t>подкасти</w:t>
      </w:r>
      <w:proofErr w:type="spellEnd"/>
      <w:r w:rsidRPr="00A24E77">
        <w:rPr>
          <w:rFonts w:ascii="Times New Roman" w:eastAsia="Times New Roman" w:hAnsi="Times New Roman" w:cs="Times New Roman"/>
          <w:sz w:val="24"/>
          <w:szCs w:val="24"/>
        </w:rPr>
        <w:t>, инструмента за търсене на партньори, допълнени с физически срещи.</w:t>
      </w:r>
    </w:p>
    <w:p w14:paraId="201CFD6B"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sidRPr="00A24E77">
        <w:rPr>
          <w:rFonts w:ascii="Times New Roman" w:eastAsia="Times New Roman" w:hAnsi="Times New Roman" w:cs="Times New Roman"/>
          <w:sz w:val="24"/>
          <w:szCs w:val="24"/>
        </w:rPr>
        <w:tab/>
        <w:t>Електронната платформа за учене на възрастни в Европа (EPALE) активно се промотира в рамките на всички събития, свързани с изпълнението на политиките за учене през целия живот, събитията, включени в графика на националния координатор за учене на възрастни и по време на основното събитие за учене през целия живот в България: Дните за учене през целия живот.</w:t>
      </w:r>
    </w:p>
    <w:p w14:paraId="1332B3A9"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sidRPr="00A24E77">
        <w:rPr>
          <w:rFonts w:ascii="Times New Roman" w:eastAsia="Times New Roman" w:hAnsi="Times New Roman" w:cs="Times New Roman"/>
          <w:sz w:val="24"/>
          <w:szCs w:val="24"/>
        </w:rPr>
        <w:tab/>
        <w:t xml:space="preserve">През 2024 г. е подготвено и сключено Споразумение № 101196922 – NSSEPALEBG между МОН и Европейската изпълнителна агенция за образование и култура към Европейската комисия. Въз основа на Споразумението започна изпълнението на проект № 101196922 – ERASMUS-EDU-2024-EPALE-IBA „Електронна </w:t>
      </w:r>
      <w:r w:rsidRPr="00A24E77">
        <w:rPr>
          <w:rFonts w:ascii="Times New Roman" w:eastAsia="Times New Roman" w:hAnsi="Times New Roman" w:cs="Times New Roman"/>
          <w:sz w:val="24"/>
          <w:szCs w:val="24"/>
        </w:rPr>
        <w:lastRenderedPageBreak/>
        <w:t>платформа за учене на възрастни в Европа – Национални звена за подкрепа България (EPALE NSS)“. Проектът ще се изпълнява в рамките на 24 месеца, считано от 1 януари 2025 г. до 31 декември 2026 година. През този двугодишен период активният живот на възрастните хора отново ще имат запазена територия в Платформата. Финансирането е със средства от бюджета на МОН и по Програма на ЕС в областта на образованието, обучението, младежта и спорта „Еразъм+“.</w:t>
      </w:r>
    </w:p>
    <w:p w14:paraId="1B23204E"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sidRPr="00A24E77">
        <w:rPr>
          <w:rFonts w:ascii="Times New Roman" w:eastAsia="Times New Roman" w:hAnsi="Times New Roman" w:cs="Times New Roman"/>
          <w:sz w:val="24"/>
          <w:szCs w:val="24"/>
        </w:rPr>
        <w:tab/>
        <w:t>Чрез функционалното и съдържателно развитие на EPALE Министерството на образованието и науката създава условия за разрешаване на едно от основните национални предизвикателства в сектора на учене на възрастни – професионализацията на персонала. Тя е определена като приоритет и в Европейска програма за учене на възрастни 2021-2030 г. EPALE съдейства за изпълнението на Стратегическа рамка за развитие на образованието, обучението и ученето в РБ (2021 – 2030)</w:t>
      </w:r>
      <w:r w:rsidRPr="00A24E77">
        <w:rPr>
          <w:rFonts w:ascii="Times New Roman" w:eastAsia="Times New Roman" w:hAnsi="Times New Roman" w:cs="Times New Roman"/>
          <w:sz w:val="24"/>
          <w:szCs w:val="24"/>
          <w:lang w:val="en-US"/>
        </w:rPr>
        <w:t xml:space="preserve"> </w:t>
      </w:r>
      <w:r w:rsidRPr="00A24E77">
        <w:rPr>
          <w:rFonts w:ascii="Times New Roman" w:eastAsia="Times New Roman" w:hAnsi="Times New Roman" w:cs="Times New Roman"/>
          <w:sz w:val="24"/>
          <w:szCs w:val="24"/>
        </w:rPr>
        <w:t xml:space="preserve">Тя е част и от националната стратегическа рамка в Националния план за възстановяване и устойчивост </w:t>
      </w:r>
      <w:r w:rsidRPr="00A24E77">
        <w:rPr>
          <w:rFonts w:ascii="Times New Roman" w:eastAsia="Times New Roman" w:hAnsi="Times New Roman" w:cs="Times New Roman"/>
          <w:sz w:val="24"/>
          <w:szCs w:val="24"/>
          <w:lang w:val="en-US"/>
        </w:rPr>
        <w:t>(</w:t>
      </w:r>
      <w:r w:rsidRPr="00A24E77">
        <w:rPr>
          <w:rFonts w:ascii="Times New Roman" w:eastAsia="Times New Roman" w:hAnsi="Times New Roman" w:cs="Times New Roman"/>
          <w:sz w:val="24"/>
          <w:szCs w:val="24"/>
        </w:rPr>
        <w:t>НПВУ</w:t>
      </w:r>
      <w:r w:rsidRPr="00A24E77">
        <w:rPr>
          <w:rFonts w:ascii="Times New Roman" w:eastAsia="Times New Roman" w:hAnsi="Times New Roman" w:cs="Times New Roman"/>
          <w:sz w:val="24"/>
          <w:szCs w:val="24"/>
          <w:lang w:val="en-US"/>
        </w:rPr>
        <w:t>)</w:t>
      </w:r>
      <w:r w:rsidRPr="00A24E77">
        <w:rPr>
          <w:rFonts w:ascii="Times New Roman" w:eastAsia="Times New Roman" w:hAnsi="Times New Roman" w:cs="Times New Roman"/>
          <w:sz w:val="24"/>
          <w:szCs w:val="24"/>
        </w:rPr>
        <w:t>. По конкретно Платформата ще има преки и косвени приноси към следните цели и групи мерки/дейности от Стратегическа рамка: 1.2. от приоритетна област 1 Ранно детско развитие; 8.1. и 8.2. от приоритетна област 8 Учене през целия живот и 9.1. от приоритетна област 9 Ефикасно управление и участие в мрежи.</w:t>
      </w:r>
    </w:p>
    <w:p w14:paraId="2D9B15DF"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A24E77">
        <w:rPr>
          <w:rFonts w:ascii="Times New Roman" w:eastAsia="Times New Roman" w:hAnsi="Times New Roman" w:cs="Times New Roman"/>
          <w:sz w:val="24"/>
          <w:szCs w:val="24"/>
        </w:rPr>
        <w:t>Чрез интерактивното пространство на EPALE ще продължат да функционират създадените мрежи: EPALE BG с близо 700 институции и организации, мрежата от посланици в 28-те области на страната, както и взаимодействието на България чрез Министерството на образованието и науката в Европейската мрежа за основни умения (EBSN).</w:t>
      </w:r>
    </w:p>
    <w:p w14:paraId="31A2D511"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A24E77">
        <w:rPr>
          <w:rFonts w:ascii="Times New Roman" w:eastAsia="Times New Roman" w:hAnsi="Times New Roman" w:cs="Times New Roman"/>
          <w:sz w:val="24"/>
          <w:szCs w:val="24"/>
        </w:rPr>
        <w:t xml:space="preserve">За 2024 г. </w:t>
      </w:r>
      <w:r w:rsidRPr="001468BD">
        <w:rPr>
          <w:rFonts w:ascii="Times New Roman" w:eastAsia="Times New Roman" w:hAnsi="Times New Roman" w:cs="Times New Roman"/>
          <w:b/>
          <w:sz w:val="24"/>
          <w:szCs w:val="24"/>
        </w:rPr>
        <w:t>регистрираните потребители на Платформата са 1523 души</w:t>
      </w:r>
      <w:r w:rsidRPr="00A24E77">
        <w:rPr>
          <w:rFonts w:ascii="Times New Roman" w:eastAsia="Times New Roman" w:hAnsi="Times New Roman" w:cs="Times New Roman"/>
          <w:sz w:val="24"/>
          <w:szCs w:val="24"/>
        </w:rPr>
        <w:t xml:space="preserve">. Публикувано е съдържание на EPALE в целия обхват на неговите категории </w:t>
      </w:r>
      <w:r w:rsidRPr="00A24E77">
        <w:rPr>
          <w:rFonts w:ascii="Times New Roman" w:eastAsia="Times New Roman" w:hAnsi="Times New Roman" w:cs="Times New Roman"/>
          <w:sz w:val="24"/>
          <w:szCs w:val="24"/>
          <w:lang w:val="en-US"/>
        </w:rPr>
        <w:t>(</w:t>
      </w:r>
      <w:r w:rsidRPr="00A24E77">
        <w:rPr>
          <w:rFonts w:ascii="Times New Roman" w:eastAsia="Times New Roman" w:hAnsi="Times New Roman" w:cs="Times New Roman"/>
          <w:sz w:val="24"/>
          <w:szCs w:val="24"/>
        </w:rPr>
        <w:t>новини, събития, блогове, аналитични ресурси и др.</w:t>
      </w:r>
      <w:r w:rsidR="001468BD">
        <w:rPr>
          <w:rFonts w:ascii="Times New Roman" w:eastAsia="Times New Roman" w:hAnsi="Times New Roman" w:cs="Times New Roman"/>
          <w:sz w:val="24"/>
          <w:szCs w:val="24"/>
          <w:lang w:val="en-US"/>
        </w:rPr>
        <w:t xml:space="preserve">) </w:t>
      </w:r>
      <w:r w:rsidR="001468BD">
        <w:rPr>
          <w:rFonts w:ascii="Times New Roman" w:eastAsia="Times New Roman" w:hAnsi="Times New Roman" w:cs="Times New Roman"/>
          <w:sz w:val="24"/>
          <w:szCs w:val="24"/>
        </w:rPr>
        <w:t>–</w:t>
      </w:r>
      <w:r w:rsidRPr="00A24E77">
        <w:rPr>
          <w:rFonts w:ascii="Times New Roman" w:eastAsia="Times New Roman" w:hAnsi="Times New Roman" w:cs="Times New Roman"/>
          <w:sz w:val="24"/>
          <w:szCs w:val="24"/>
        </w:rPr>
        <w:t xml:space="preserve"> общо 350 публикувани ресурса. 12 са преведените на български език бюлетини на </w:t>
      </w:r>
      <w:r w:rsidRPr="00A24E77">
        <w:rPr>
          <w:rFonts w:ascii="Times New Roman" w:eastAsia="Times New Roman" w:hAnsi="Times New Roman" w:cs="Times New Roman"/>
          <w:sz w:val="24"/>
          <w:szCs w:val="24"/>
          <w:lang w:val="en-US"/>
        </w:rPr>
        <w:t>EPALE</w:t>
      </w:r>
      <w:r w:rsidR="001468BD">
        <w:rPr>
          <w:rFonts w:ascii="Times New Roman" w:eastAsia="Times New Roman" w:hAnsi="Times New Roman" w:cs="Times New Roman"/>
          <w:sz w:val="24"/>
          <w:szCs w:val="24"/>
        </w:rPr>
        <w:t xml:space="preserve">. </w:t>
      </w:r>
      <w:r w:rsidRPr="00A24E77">
        <w:rPr>
          <w:rFonts w:ascii="Times New Roman" w:eastAsia="Times New Roman" w:hAnsi="Times New Roman" w:cs="Times New Roman"/>
          <w:sz w:val="24"/>
          <w:szCs w:val="24"/>
        </w:rPr>
        <w:t xml:space="preserve">1854 са последователите и харесванията на страниците на EPALE-България във </w:t>
      </w:r>
      <w:proofErr w:type="spellStart"/>
      <w:r w:rsidRPr="00A24E77">
        <w:rPr>
          <w:rFonts w:ascii="Times New Roman" w:eastAsia="Times New Roman" w:hAnsi="Times New Roman" w:cs="Times New Roman"/>
          <w:sz w:val="24"/>
          <w:szCs w:val="24"/>
        </w:rPr>
        <w:t>Facebook</w:t>
      </w:r>
      <w:proofErr w:type="spellEnd"/>
      <w:r w:rsidRPr="00A24E77">
        <w:rPr>
          <w:rFonts w:ascii="Times New Roman" w:eastAsia="Times New Roman" w:hAnsi="Times New Roman" w:cs="Times New Roman"/>
          <w:sz w:val="24"/>
          <w:szCs w:val="24"/>
        </w:rPr>
        <w:t>.</w:t>
      </w:r>
    </w:p>
    <w:p w14:paraId="4ED4CAD6"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24E77">
        <w:rPr>
          <w:rFonts w:ascii="Times New Roman" w:eastAsia="Times New Roman" w:hAnsi="Times New Roman" w:cs="Times New Roman"/>
          <w:sz w:val="24"/>
          <w:szCs w:val="24"/>
        </w:rPr>
        <w:t>Мярката се финансира със средства по Програма на ЕС в областта на образованието, обучението, младежта и спорта „Еразъм+“ и от бюджета на МОН.</w:t>
      </w:r>
    </w:p>
    <w:p w14:paraId="54764F87"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24E77">
        <w:rPr>
          <w:rFonts w:ascii="Times New Roman" w:eastAsia="Times New Roman" w:hAnsi="Times New Roman" w:cs="Times New Roman"/>
          <w:sz w:val="24"/>
          <w:szCs w:val="24"/>
        </w:rPr>
        <w:t>Мярката има въздействие на всички нива на управление: национално областно и местно.</w:t>
      </w:r>
    </w:p>
    <w:p w14:paraId="59D5DB70"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24E77">
        <w:rPr>
          <w:rFonts w:ascii="Times New Roman" w:eastAsia="Times New Roman" w:hAnsi="Times New Roman" w:cs="Times New Roman"/>
          <w:sz w:val="24"/>
          <w:szCs w:val="24"/>
        </w:rPr>
        <w:t xml:space="preserve">Всички продукти и услуги в изпълнение на Работната програма на Националното звено за подкрепа (НЗП) са достъпни в интерактивното пространство на Електронната платформа за учене на възрастни в Европа (EPALE) </w:t>
      </w:r>
      <w:hyperlink r:id="rId12" w:history="1">
        <w:r w:rsidR="00F6349A" w:rsidRPr="00A255E1">
          <w:rPr>
            <w:rStyle w:val="Hyperlink"/>
            <w:rFonts w:ascii="Times New Roman" w:eastAsia="Times New Roman" w:hAnsi="Times New Roman" w:cs="Times New Roman"/>
            <w:sz w:val="24"/>
            <w:szCs w:val="24"/>
          </w:rPr>
          <w:t>https://epale.ec.europa.eu/en</w:t>
        </w:r>
      </w:hyperlink>
      <w:r w:rsidRPr="001468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C503904" w14:textId="77777777" w:rsidR="00A24E77" w:rsidRPr="00A24E77" w:rsidRDefault="00A24E77" w:rsidP="00A24E77">
      <w:pPr>
        <w:spacing w:after="0" w:line="240" w:lineRule="auto"/>
        <w:jc w:val="both"/>
        <w:rPr>
          <w:rFonts w:ascii="Times New Roman" w:eastAsia="Times New Roman" w:hAnsi="Times New Roman" w:cs="Times New Roman"/>
          <w:sz w:val="24"/>
          <w:szCs w:val="24"/>
        </w:rPr>
      </w:pPr>
      <w:r w:rsidRPr="00A24E77">
        <w:rPr>
          <w:rFonts w:ascii="Times New Roman" w:eastAsia="Times New Roman" w:hAnsi="Times New Roman" w:cs="Times New Roman"/>
          <w:sz w:val="24"/>
          <w:szCs w:val="24"/>
        </w:rPr>
        <w:tab/>
        <w:t>Мярката се финансира със средства по Програма на ЕС в областта на образованието, обучението, младежта и спорта „Еразъм+“ и от бюджета на МОН.</w:t>
      </w:r>
    </w:p>
    <w:p w14:paraId="2CA84CC9" w14:textId="77777777" w:rsidR="00055B6E" w:rsidRPr="006C13DF" w:rsidRDefault="00055B6E" w:rsidP="00A24E77">
      <w:pPr>
        <w:spacing w:after="0" w:line="240" w:lineRule="auto"/>
        <w:jc w:val="both"/>
        <w:rPr>
          <w:rFonts w:ascii="Times New Roman" w:eastAsia="Calibri" w:hAnsi="Times New Roman" w:cs="Times New Roman"/>
          <w:b/>
          <w:color w:val="C0504D"/>
          <w:sz w:val="24"/>
          <w:szCs w:val="24"/>
        </w:rPr>
      </w:pPr>
    </w:p>
    <w:p w14:paraId="4F967816" w14:textId="77777777" w:rsidR="00055B6E" w:rsidRPr="006C13DF" w:rsidRDefault="00055B6E" w:rsidP="00055B6E">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ИНСТИТУТ ПО ФИЛОСОФИЯ И СОЦИОЛОГИЯ – БАН</w:t>
      </w:r>
    </w:p>
    <w:p w14:paraId="5A89BF41" w14:textId="77777777" w:rsidR="00055B6E" w:rsidRPr="006C13DF" w:rsidRDefault="00055B6E" w:rsidP="00BD0D8F">
      <w:pPr>
        <w:spacing w:after="0" w:line="240" w:lineRule="auto"/>
        <w:jc w:val="both"/>
        <w:rPr>
          <w:rFonts w:ascii="Times New Roman" w:eastAsia="Times New Roman" w:hAnsi="Times New Roman" w:cs="Times New Roman"/>
          <w:b/>
          <w:i/>
          <w:sz w:val="24"/>
          <w:szCs w:val="24"/>
        </w:rPr>
      </w:pPr>
    </w:p>
    <w:p w14:paraId="717B0397" w14:textId="77777777" w:rsidR="00BD0D8F" w:rsidRPr="006C13DF" w:rsidRDefault="00BD0D8F" w:rsidP="002102B2">
      <w:pPr>
        <w:spacing w:after="0" w:line="240" w:lineRule="auto"/>
        <w:jc w:val="both"/>
        <w:rPr>
          <w:rFonts w:ascii="Times New Roman" w:eastAsia="Times New Roman" w:hAnsi="Times New Roman" w:cs="Times New Roman"/>
          <w:b/>
          <w:sz w:val="24"/>
          <w:szCs w:val="24"/>
        </w:rPr>
      </w:pPr>
      <w:r w:rsidRPr="006C13DF">
        <w:rPr>
          <w:rFonts w:ascii="Times New Roman" w:eastAsia="Times New Roman" w:hAnsi="Times New Roman" w:cs="Times New Roman"/>
          <w:b/>
          <w:sz w:val="24"/>
          <w:szCs w:val="24"/>
        </w:rPr>
        <w:t xml:space="preserve">2.4.4. Проект „Динамика на неравенствата във висшето образование и обучението за възрастни: Сравнителен анализ на социалната справедливост“ – </w:t>
      </w:r>
      <w:proofErr w:type="spellStart"/>
      <w:r w:rsidRPr="006C13DF">
        <w:rPr>
          <w:rFonts w:ascii="Times New Roman" w:eastAsia="Times New Roman" w:hAnsi="Times New Roman" w:cs="Times New Roman"/>
          <w:b/>
          <w:sz w:val="24"/>
          <w:szCs w:val="24"/>
        </w:rPr>
        <w:t>JustEdu</w:t>
      </w:r>
      <w:proofErr w:type="spellEnd"/>
      <w:r w:rsidRPr="006C13DF">
        <w:rPr>
          <w:rFonts w:ascii="Times New Roman" w:eastAsia="Times New Roman" w:hAnsi="Times New Roman" w:cs="Times New Roman"/>
          <w:b/>
          <w:sz w:val="24"/>
          <w:szCs w:val="24"/>
        </w:rPr>
        <w:t xml:space="preserve"> – 2020-2024,</w:t>
      </w:r>
      <w:r w:rsidR="00055B6E" w:rsidRPr="006C13DF">
        <w:rPr>
          <w:rFonts w:ascii="Times New Roman" w:eastAsia="Times New Roman" w:hAnsi="Times New Roman" w:cs="Times New Roman"/>
          <w:b/>
          <w:sz w:val="24"/>
          <w:szCs w:val="24"/>
        </w:rPr>
        <w:t xml:space="preserve"> </w:t>
      </w:r>
      <w:r w:rsidRPr="006C13DF">
        <w:rPr>
          <w:rFonts w:ascii="Times New Roman" w:eastAsia="Times New Roman" w:hAnsi="Times New Roman" w:cs="Times New Roman"/>
          <w:b/>
          <w:sz w:val="24"/>
          <w:szCs w:val="24"/>
        </w:rPr>
        <w:t xml:space="preserve">сайт: </w:t>
      </w:r>
      <w:hyperlink r:id="rId13" w:history="1">
        <w:r w:rsidR="00055B6E" w:rsidRPr="006C13DF">
          <w:rPr>
            <w:rStyle w:val="Hyperlink"/>
            <w:rFonts w:ascii="Times New Roman" w:eastAsia="Times New Roman" w:hAnsi="Times New Roman" w:cs="Times New Roman"/>
            <w:b/>
            <w:sz w:val="24"/>
            <w:szCs w:val="24"/>
          </w:rPr>
          <w:t>https://justedu2020.eu/</w:t>
        </w:r>
      </w:hyperlink>
    </w:p>
    <w:p w14:paraId="1745B60A" w14:textId="77777777" w:rsidR="00055B6E" w:rsidRPr="006C13DF" w:rsidRDefault="00055B6E" w:rsidP="002102B2">
      <w:pPr>
        <w:spacing w:after="0" w:line="240" w:lineRule="auto"/>
        <w:jc w:val="both"/>
        <w:rPr>
          <w:rFonts w:ascii="Times New Roman" w:eastAsia="Times New Roman" w:hAnsi="Times New Roman" w:cs="Times New Roman"/>
          <w:sz w:val="24"/>
          <w:szCs w:val="24"/>
        </w:rPr>
      </w:pPr>
    </w:p>
    <w:p w14:paraId="68654C9C" w14:textId="77777777" w:rsidR="00055B6E" w:rsidRPr="006C13DF" w:rsidRDefault="00055B6E" w:rsidP="002102B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Екип на ИФС – БАН е работил по проект „Динамика на неравенствата във висшето образование и обучението за възрастни: Сравнителен анализ на социалната справедливост“</w:t>
      </w:r>
      <w:r w:rsidRPr="006C13DF">
        <w:rPr>
          <w:rFonts w:ascii="Times New Roman" w:hAnsi="Times New Roman" w:cs="Times New Roman"/>
          <w:sz w:val="24"/>
          <w:szCs w:val="24"/>
          <w:lang w:val="ru-RU"/>
        </w:rPr>
        <w:t xml:space="preserve"> – </w:t>
      </w:r>
      <w:proofErr w:type="spellStart"/>
      <w:r w:rsidRPr="006C13DF">
        <w:rPr>
          <w:rFonts w:ascii="Times New Roman" w:hAnsi="Times New Roman" w:cs="Times New Roman"/>
          <w:sz w:val="24"/>
          <w:szCs w:val="24"/>
          <w:lang w:val="en-US"/>
        </w:rPr>
        <w:t>JustEdu</w:t>
      </w:r>
      <w:proofErr w:type="spellEnd"/>
      <w:r w:rsidRPr="006C13DF">
        <w:rPr>
          <w:rFonts w:ascii="Times New Roman" w:hAnsi="Times New Roman" w:cs="Times New Roman"/>
          <w:sz w:val="24"/>
          <w:szCs w:val="24"/>
        </w:rPr>
        <w:t>. Проектъ</w:t>
      </w:r>
      <w:r w:rsidR="00ED133B">
        <w:rPr>
          <w:rFonts w:ascii="Times New Roman" w:hAnsi="Times New Roman" w:cs="Times New Roman"/>
          <w:sz w:val="24"/>
          <w:szCs w:val="24"/>
        </w:rPr>
        <w:t xml:space="preserve">т е със срок на изпълнение 2020 – </w:t>
      </w:r>
      <w:r w:rsidRPr="006C13DF">
        <w:rPr>
          <w:rFonts w:ascii="Times New Roman" w:hAnsi="Times New Roman" w:cs="Times New Roman"/>
          <w:sz w:val="24"/>
          <w:szCs w:val="24"/>
        </w:rPr>
        <w:t xml:space="preserve">2024 г. и се финансира от Национална програма „Вихрен“. За периода 2023 </w:t>
      </w:r>
      <w:r w:rsidR="00CE3A88" w:rsidRPr="006C13DF">
        <w:rPr>
          <w:rFonts w:ascii="Times New Roman" w:hAnsi="Times New Roman" w:cs="Times New Roman"/>
          <w:sz w:val="24"/>
          <w:szCs w:val="24"/>
        </w:rPr>
        <w:t>–</w:t>
      </w:r>
      <w:r w:rsidRPr="006C13DF">
        <w:rPr>
          <w:rFonts w:ascii="Times New Roman" w:hAnsi="Times New Roman" w:cs="Times New Roman"/>
          <w:sz w:val="24"/>
          <w:szCs w:val="24"/>
        </w:rPr>
        <w:t xml:space="preserve"> 2024 г. няма постъпило финансиране. Работи се със средствата, постъпили през 2022 г. в размер на 264 550 лв.</w:t>
      </w:r>
    </w:p>
    <w:p w14:paraId="1138F89B" w14:textId="77777777" w:rsidR="00055B6E" w:rsidRPr="006C13DF" w:rsidRDefault="00CE3A88" w:rsidP="002102B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055B6E" w:rsidRPr="006C13DF">
        <w:rPr>
          <w:rFonts w:ascii="Times New Roman" w:hAnsi="Times New Roman" w:cs="Times New Roman"/>
          <w:sz w:val="24"/>
          <w:szCs w:val="24"/>
        </w:rPr>
        <w:t>В рамките на проекта пре</w:t>
      </w:r>
      <w:r w:rsidR="00ED133B">
        <w:rPr>
          <w:rFonts w:ascii="Times New Roman" w:hAnsi="Times New Roman" w:cs="Times New Roman"/>
          <w:sz w:val="24"/>
          <w:szCs w:val="24"/>
        </w:rPr>
        <w:t>з периода 2023</w:t>
      </w:r>
      <w:r w:rsidR="00055B6E" w:rsidRPr="006C13DF">
        <w:rPr>
          <w:rFonts w:ascii="Times New Roman" w:hAnsi="Times New Roman" w:cs="Times New Roman"/>
          <w:sz w:val="24"/>
          <w:szCs w:val="24"/>
        </w:rPr>
        <w:t xml:space="preserve"> – 2024 г. са публикувани статии в престижни международни издания и са изнесени са доклади на национални и международни форуми.</w:t>
      </w:r>
    </w:p>
    <w:p w14:paraId="51A6166B" w14:textId="77777777" w:rsidR="00ED133B" w:rsidRPr="00ED133B" w:rsidRDefault="00ED133B" w:rsidP="00ED1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055B6E" w:rsidRPr="006C13DF">
        <w:rPr>
          <w:rFonts w:ascii="Times New Roman" w:hAnsi="Times New Roman" w:cs="Times New Roman"/>
          <w:b/>
          <w:sz w:val="24"/>
          <w:szCs w:val="24"/>
        </w:rPr>
        <w:t>Основни резултати от проекта:</w:t>
      </w:r>
    </w:p>
    <w:p w14:paraId="6BB6E4FB" w14:textId="77777777" w:rsidR="00055B6E" w:rsidRPr="006C13DF" w:rsidRDefault="00055B6E" w:rsidP="00554703">
      <w:pPr>
        <w:pStyle w:val="ListParagraph"/>
        <w:numPr>
          <w:ilvl w:val="0"/>
          <w:numId w:val="4"/>
        </w:numPr>
        <w:spacing w:after="0" w:line="240" w:lineRule="auto"/>
        <w:ind w:left="0" w:firstLine="360"/>
        <w:jc w:val="both"/>
        <w:rPr>
          <w:rFonts w:ascii="Times New Roman" w:hAnsi="Times New Roman" w:cs="Times New Roman"/>
          <w:b/>
          <w:sz w:val="24"/>
          <w:szCs w:val="24"/>
        </w:rPr>
      </w:pPr>
      <w:r w:rsidRPr="006C13DF">
        <w:rPr>
          <w:rFonts w:ascii="Times New Roman" w:hAnsi="Times New Roman" w:cs="Times New Roman"/>
          <w:sz w:val="24"/>
          <w:szCs w:val="24"/>
        </w:rPr>
        <w:t>Изграден е капацитет за анализ на политики в сфер</w:t>
      </w:r>
      <w:r w:rsidR="00CE3A88" w:rsidRPr="006C13DF">
        <w:rPr>
          <w:rFonts w:ascii="Times New Roman" w:hAnsi="Times New Roman" w:cs="Times New Roman"/>
          <w:sz w:val="24"/>
          <w:szCs w:val="24"/>
        </w:rPr>
        <w:t>ата на ученето през целия живот;</w:t>
      </w:r>
    </w:p>
    <w:p w14:paraId="627B506A" w14:textId="77777777" w:rsidR="00055B6E" w:rsidRPr="006C13DF" w:rsidRDefault="00055B6E" w:rsidP="00554703">
      <w:pPr>
        <w:pStyle w:val="ListParagraph"/>
        <w:numPr>
          <w:ilvl w:val="0"/>
          <w:numId w:val="4"/>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Изграден е капацитет за анализ на данни от международни сравнителни изследвания, свързани с ученето през целия живот.</w:t>
      </w:r>
    </w:p>
    <w:p w14:paraId="2FC8ED9E" w14:textId="77777777" w:rsidR="00055B6E" w:rsidRPr="006C13DF" w:rsidRDefault="00ED133B" w:rsidP="002102B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055B6E" w:rsidRPr="006C13DF">
        <w:rPr>
          <w:rFonts w:ascii="Times New Roman" w:hAnsi="Times New Roman" w:cs="Times New Roman"/>
          <w:b/>
          <w:sz w:val="24"/>
          <w:szCs w:val="24"/>
        </w:rPr>
        <w:t>Въздействие на проекта</w:t>
      </w:r>
      <w:r w:rsidR="00055B6E" w:rsidRPr="006C13DF">
        <w:rPr>
          <w:rFonts w:ascii="Times New Roman" w:hAnsi="Times New Roman" w:cs="Times New Roman"/>
          <w:sz w:val="24"/>
          <w:szCs w:val="24"/>
        </w:rPr>
        <w:t xml:space="preserve"> –</w:t>
      </w:r>
      <w:r w:rsidR="00055B6E" w:rsidRPr="006C13DF">
        <w:rPr>
          <w:rFonts w:ascii="Times New Roman" w:hAnsi="Times New Roman" w:cs="Times New Roman"/>
          <w:b/>
          <w:sz w:val="24"/>
          <w:szCs w:val="24"/>
        </w:rPr>
        <w:t xml:space="preserve"> </w:t>
      </w:r>
      <w:r w:rsidR="00055B6E" w:rsidRPr="006C13DF">
        <w:rPr>
          <w:rFonts w:ascii="Times New Roman" w:hAnsi="Times New Roman" w:cs="Times New Roman"/>
          <w:sz w:val="24"/>
          <w:szCs w:val="24"/>
        </w:rPr>
        <w:t>резултатите от проекта имат пряко въздействие на различни нива:</w:t>
      </w:r>
    </w:p>
    <w:p w14:paraId="4A508A95" w14:textId="77777777" w:rsidR="00055B6E" w:rsidRDefault="00055B6E" w:rsidP="00554703">
      <w:pPr>
        <w:pStyle w:val="ListParagraph"/>
        <w:numPr>
          <w:ilvl w:val="0"/>
          <w:numId w:val="4"/>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На </w:t>
      </w:r>
      <w:r w:rsidRPr="00ED133B">
        <w:rPr>
          <w:rFonts w:ascii="Times New Roman" w:hAnsi="Times New Roman" w:cs="Times New Roman"/>
          <w:sz w:val="24"/>
          <w:szCs w:val="24"/>
        </w:rPr>
        <w:t>национално ниво</w:t>
      </w:r>
      <w:r w:rsidRPr="006C13DF">
        <w:rPr>
          <w:rFonts w:ascii="Times New Roman" w:hAnsi="Times New Roman" w:cs="Times New Roman"/>
          <w:sz w:val="24"/>
          <w:szCs w:val="24"/>
        </w:rPr>
        <w:t xml:space="preserve"> – анализирани са факторите и политиките, влияещи върху участието в учене през целия ж</w:t>
      </w:r>
      <w:r w:rsidR="00CE3A88" w:rsidRPr="006C13DF">
        <w:rPr>
          <w:rFonts w:ascii="Times New Roman" w:hAnsi="Times New Roman" w:cs="Times New Roman"/>
          <w:sz w:val="24"/>
          <w:szCs w:val="24"/>
        </w:rPr>
        <w:t>ивот и образование за възрастни;</w:t>
      </w:r>
    </w:p>
    <w:p w14:paraId="0EE15B36" w14:textId="77777777" w:rsidR="00055B6E" w:rsidRPr="00ED133B" w:rsidRDefault="00055B6E" w:rsidP="00554703">
      <w:pPr>
        <w:pStyle w:val="ListParagraph"/>
        <w:numPr>
          <w:ilvl w:val="0"/>
          <w:numId w:val="4"/>
        </w:numPr>
        <w:spacing w:after="0" w:line="240" w:lineRule="auto"/>
        <w:ind w:left="0" w:firstLine="360"/>
        <w:jc w:val="both"/>
        <w:rPr>
          <w:rFonts w:ascii="Times New Roman" w:hAnsi="Times New Roman" w:cs="Times New Roman"/>
          <w:sz w:val="24"/>
          <w:szCs w:val="24"/>
        </w:rPr>
      </w:pPr>
      <w:r w:rsidRPr="00ED133B">
        <w:rPr>
          <w:rFonts w:ascii="Times New Roman" w:hAnsi="Times New Roman" w:cs="Times New Roman"/>
          <w:sz w:val="24"/>
          <w:szCs w:val="24"/>
        </w:rPr>
        <w:t xml:space="preserve">В </w:t>
      </w:r>
      <w:r w:rsidRPr="00ED133B">
        <w:rPr>
          <w:rFonts w:ascii="Times New Roman" w:hAnsi="Times New Roman" w:cs="Times New Roman"/>
          <w:b/>
          <w:sz w:val="24"/>
          <w:szCs w:val="24"/>
        </w:rPr>
        <w:t>международен сравнителен план</w:t>
      </w:r>
      <w:r w:rsidRPr="00ED133B">
        <w:rPr>
          <w:rFonts w:ascii="Times New Roman" w:hAnsi="Times New Roman" w:cs="Times New Roman"/>
          <w:sz w:val="24"/>
          <w:szCs w:val="24"/>
        </w:rPr>
        <w:t xml:space="preserve"> – направен е сравнителен анализ на участието в учене през целия живот и образование за възрастни, както и на обуславящите го фактори и политики, в различните европейски страни.</w:t>
      </w:r>
    </w:p>
    <w:p w14:paraId="7674DB5D" w14:textId="77777777" w:rsidR="00055B6E" w:rsidRPr="006C13DF" w:rsidRDefault="00ED133B" w:rsidP="002102B2">
      <w:pPr>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rPr>
        <w:tab/>
      </w:r>
      <w:r w:rsidR="00055B6E" w:rsidRPr="006C13DF">
        <w:rPr>
          <w:rFonts w:ascii="Times New Roman" w:hAnsi="Times New Roman" w:cs="Times New Roman"/>
          <w:sz w:val="24"/>
          <w:szCs w:val="24"/>
          <w:lang w:val="ru-RU"/>
        </w:rPr>
        <w:t xml:space="preserve">Сайт на проекта: </w:t>
      </w:r>
      <w:hyperlink r:id="rId14" w:history="1">
        <w:r w:rsidR="00055B6E" w:rsidRPr="006C13DF">
          <w:rPr>
            <w:rStyle w:val="Hyperlink"/>
            <w:rFonts w:ascii="Times New Roman" w:hAnsi="Times New Roman" w:cs="Times New Roman"/>
            <w:sz w:val="24"/>
            <w:szCs w:val="24"/>
            <w:lang w:val="ru-RU"/>
          </w:rPr>
          <w:t>https://justedu2020.eu/</w:t>
        </w:r>
      </w:hyperlink>
      <w:r w:rsidR="00CE3A88" w:rsidRPr="006C13DF">
        <w:rPr>
          <w:rStyle w:val="Hyperlink"/>
          <w:rFonts w:ascii="Times New Roman" w:hAnsi="Times New Roman" w:cs="Times New Roman"/>
          <w:color w:val="auto"/>
          <w:sz w:val="24"/>
          <w:szCs w:val="24"/>
          <w:u w:val="none"/>
          <w:lang w:val="ru-RU"/>
        </w:rPr>
        <w:t>.</w:t>
      </w:r>
    </w:p>
    <w:p w14:paraId="7C107A30" w14:textId="77777777" w:rsidR="001A5B80" w:rsidRPr="006C13DF" w:rsidRDefault="001A5B80" w:rsidP="00BD0D8F">
      <w:pPr>
        <w:spacing w:after="0" w:line="240" w:lineRule="auto"/>
        <w:jc w:val="both"/>
        <w:rPr>
          <w:rFonts w:ascii="Times New Roman" w:hAnsi="Times New Roman" w:cs="Times New Roman"/>
          <w:b/>
          <w:color w:val="ED7D31" w:themeColor="accent2"/>
          <w:sz w:val="24"/>
          <w:szCs w:val="24"/>
        </w:rPr>
      </w:pPr>
    </w:p>
    <w:p w14:paraId="1F2C89F0" w14:textId="77777777" w:rsidR="00381C85" w:rsidRPr="006C13DF" w:rsidRDefault="00381C85" w:rsidP="00381C85">
      <w:pPr>
        <w:spacing w:after="0" w:line="240" w:lineRule="auto"/>
        <w:jc w:val="center"/>
        <w:rPr>
          <w:rFonts w:ascii="Times New Roman" w:hAnsi="Times New Roman" w:cs="Times New Roman"/>
          <w:b/>
          <w:color w:val="ED7D31" w:themeColor="accent2"/>
          <w:sz w:val="24"/>
          <w:szCs w:val="24"/>
        </w:rPr>
      </w:pPr>
      <w:r w:rsidRPr="006C13DF">
        <w:rPr>
          <w:rFonts w:ascii="Times New Roman" w:eastAsia="Calibri" w:hAnsi="Times New Roman" w:cs="Times New Roman"/>
          <w:b/>
          <w:color w:val="C0504D"/>
          <w:sz w:val="24"/>
          <w:szCs w:val="24"/>
        </w:rPr>
        <w:t>БЪЛГАРСКИ ЧЕРВЕН КРЪСТ</w:t>
      </w:r>
    </w:p>
    <w:p w14:paraId="0AB47177" w14:textId="77777777" w:rsidR="006E5C93" w:rsidRPr="006C13DF" w:rsidRDefault="006E5C93" w:rsidP="00BD0D8F">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r>
    </w:p>
    <w:p w14:paraId="47719B53" w14:textId="77777777" w:rsidR="00381C85" w:rsidRDefault="00381C85" w:rsidP="00381C85">
      <w:pPr>
        <w:spacing w:after="0" w:line="240" w:lineRule="auto"/>
        <w:jc w:val="both"/>
        <w:rPr>
          <w:rFonts w:ascii="Times New Roman" w:eastAsia="Calibri" w:hAnsi="Times New Roman" w:cs="Times New Roman"/>
          <w:b/>
          <w:sz w:val="24"/>
          <w:szCs w:val="24"/>
        </w:rPr>
      </w:pPr>
      <w:r w:rsidRPr="006C13DF">
        <w:rPr>
          <w:rFonts w:ascii="Times New Roman" w:eastAsia="Calibri" w:hAnsi="Times New Roman" w:cs="Times New Roman"/>
          <w:b/>
          <w:sz w:val="24"/>
          <w:szCs w:val="24"/>
        </w:rPr>
        <w:t>2.4.5. Включване на бежанци на възраст 55+ в курсове</w:t>
      </w:r>
      <w:r w:rsidR="00ED133B">
        <w:rPr>
          <w:rFonts w:ascii="Times New Roman" w:eastAsia="Calibri" w:hAnsi="Times New Roman" w:cs="Times New Roman"/>
          <w:b/>
          <w:sz w:val="24"/>
          <w:szCs w:val="24"/>
        </w:rPr>
        <w:t xml:space="preserve"> за изучаване на български език</w:t>
      </w:r>
    </w:p>
    <w:p w14:paraId="6C60A8B9" w14:textId="77777777" w:rsidR="00ED133B" w:rsidRPr="006C13DF" w:rsidRDefault="00ED133B" w:rsidP="00381C85">
      <w:pPr>
        <w:spacing w:after="0" w:line="240" w:lineRule="auto"/>
        <w:jc w:val="both"/>
        <w:rPr>
          <w:rFonts w:ascii="Times New Roman" w:eastAsia="Calibri" w:hAnsi="Times New Roman" w:cs="Times New Roman"/>
          <w:b/>
          <w:sz w:val="24"/>
          <w:szCs w:val="24"/>
        </w:rPr>
      </w:pPr>
    </w:p>
    <w:p w14:paraId="5335BEC9" w14:textId="77777777" w:rsidR="00381C85" w:rsidRPr="006C13DF" w:rsidRDefault="00381C85" w:rsidP="00381C85">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t>От 2014 година насам Бежанско-мигрантската служба на Българския Червен кръст организира курсове за изучаване на български език, с цел по-лесната интеграция на търсещите и получили международна или временна закрила в България.</w:t>
      </w:r>
    </w:p>
    <w:p w14:paraId="4FE50F58" w14:textId="77777777" w:rsidR="00381C85" w:rsidRPr="006C13DF" w:rsidRDefault="00381C85" w:rsidP="00381C85">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t xml:space="preserve">През 2023 г. са организирани общо </w:t>
      </w:r>
      <w:r w:rsidRPr="00ED133B">
        <w:rPr>
          <w:rFonts w:ascii="Times New Roman" w:eastAsia="Calibri" w:hAnsi="Times New Roman" w:cs="Times New Roman"/>
          <w:sz w:val="24"/>
          <w:szCs w:val="24"/>
        </w:rPr>
        <w:t xml:space="preserve">55 курса по български език: </w:t>
      </w:r>
      <w:r w:rsidRPr="00ED133B">
        <w:rPr>
          <w:rFonts w:ascii="Times New Roman" w:eastAsia="Calibri" w:hAnsi="Times New Roman" w:cs="Times New Roman"/>
          <w:b/>
          <w:sz w:val="24"/>
          <w:szCs w:val="24"/>
        </w:rPr>
        <w:t>61 лица</w:t>
      </w:r>
      <w:r w:rsidRPr="006C13DF">
        <w:rPr>
          <w:rFonts w:ascii="Times New Roman" w:eastAsia="Calibri" w:hAnsi="Times New Roman" w:cs="Times New Roman"/>
          <w:sz w:val="24"/>
          <w:szCs w:val="24"/>
        </w:rPr>
        <w:t xml:space="preserve"> </w:t>
      </w:r>
      <w:r w:rsidRPr="00ED133B">
        <w:rPr>
          <w:rFonts w:ascii="Times New Roman" w:eastAsia="Calibri" w:hAnsi="Times New Roman" w:cs="Times New Roman"/>
          <w:b/>
          <w:sz w:val="24"/>
          <w:szCs w:val="24"/>
        </w:rPr>
        <w:t xml:space="preserve">от общо </w:t>
      </w:r>
      <w:r w:rsidRPr="00ED133B">
        <w:rPr>
          <w:rFonts w:ascii="Times New Roman" w:eastAsia="Calibri" w:hAnsi="Times New Roman" w:cs="Times New Roman"/>
          <w:b/>
          <w:sz w:val="24"/>
          <w:szCs w:val="24"/>
          <w:lang w:val="en-US"/>
        </w:rPr>
        <w:t>974</w:t>
      </w:r>
      <w:r w:rsidRPr="00ED133B">
        <w:rPr>
          <w:rFonts w:ascii="Times New Roman" w:eastAsia="Calibri" w:hAnsi="Times New Roman" w:cs="Times New Roman"/>
          <w:b/>
          <w:sz w:val="24"/>
          <w:szCs w:val="24"/>
        </w:rPr>
        <w:t xml:space="preserve"> от преминалите успешно обучение по български език са на възраст над 55 години</w:t>
      </w:r>
      <w:r w:rsidRPr="006C13DF">
        <w:rPr>
          <w:rFonts w:ascii="Times New Roman" w:eastAsia="Calibri" w:hAnsi="Times New Roman" w:cs="Times New Roman"/>
          <w:sz w:val="24"/>
          <w:szCs w:val="24"/>
        </w:rPr>
        <w:t>.</w:t>
      </w:r>
    </w:p>
    <w:p w14:paraId="218A7325" w14:textId="77777777" w:rsidR="00381C85" w:rsidRPr="006C13DF" w:rsidRDefault="00381C85" w:rsidP="00381C85">
      <w:pPr>
        <w:spacing w:after="0" w:line="240" w:lineRule="auto"/>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ab/>
        <w:t xml:space="preserve">През 2024 г., поради големия интерес към курсовете по български език и необходимостта от интеграция на бежанците чрез обучение, се наложи да бъдат организирани повече курсове по български език. Бежанско-мигрантската служба на БЧК организира общо 60 курса, </w:t>
      </w:r>
      <w:r w:rsidR="00163749" w:rsidRPr="006C13DF">
        <w:rPr>
          <w:rFonts w:ascii="Times New Roman" w:eastAsia="Calibri" w:hAnsi="Times New Roman" w:cs="Times New Roman"/>
          <w:sz w:val="24"/>
          <w:szCs w:val="24"/>
        </w:rPr>
        <w:t xml:space="preserve">като </w:t>
      </w:r>
      <w:r w:rsidRPr="006C13DF">
        <w:rPr>
          <w:rFonts w:ascii="Times New Roman" w:eastAsia="Calibri" w:hAnsi="Times New Roman" w:cs="Times New Roman"/>
          <w:sz w:val="24"/>
          <w:szCs w:val="24"/>
        </w:rPr>
        <w:t xml:space="preserve">общо </w:t>
      </w:r>
      <w:r w:rsidRPr="00ED133B">
        <w:rPr>
          <w:rFonts w:ascii="Times New Roman" w:eastAsia="Calibri" w:hAnsi="Times New Roman" w:cs="Times New Roman"/>
          <w:b/>
          <w:sz w:val="24"/>
          <w:szCs w:val="24"/>
        </w:rPr>
        <w:t xml:space="preserve">74 души на </w:t>
      </w:r>
      <w:r w:rsidR="00163749" w:rsidRPr="00ED133B">
        <w:rPr>
          <w:rFonts w:ascii="Times New Roman" w:eastAsia="Calibri" w:hAnsi="Times New Roman" w:cs="Times New Roman"/>
          <w:b/>
          <w:sz w:val="24"/>
          <w:szCs w:val="24"/>
        </w:rPr>
        <w:t xml:space="preserve">възраст </w:t>
      </w:r>
      <w:r w:rsidRPr="00ED133B">
        <w:rPr>
          <w:rFonts w:ascii="Times New Roman" w:eastAsia="Calibri" w:hAnsi="Times New Roman" w:cs="Times New Roman"/>
          <w:b/>
          <w:sz w:val="24"/>
          <w:szCs w:val="24"/>
        </w:rPr>
        <w:t>55+ години</w:t>
      </w:r>
      <w:r w:rsidRPr="006C13DF">
        <w:rPr>
          <w:rFonts w:ascii="Times New Roman" w:eastAsia="Calibri" w:hAnsi="Times New Roman" w:cs="Times New Roman"/>
          <w:sz w:val="24"/>
          <w:szCs w:val="24"/>
        </w:rPr>
        <w:t xml:space="preserve"> успешно завършиха организираното езиково обучение.</w:t>
      </w:r>
    </w:p>
    <w:p w14:paraId="5770138E" w14:textId="77777777" w:rsidR="002D596B" w:rsidRPr="00ED133B" w:rsidRDefault="002D596B" w:rsidP="00E91E47">
      <w:pPr>
        <w:spacing w:after="0" w:line="240" w:lineRule="auto"/>
        <w:jc w:val="both"/>
        <w:rPr>
          <w:rFonts w:ascii="Times New Roman" w:eastAsia="Times New Roman" w:hAnsi="Times New Roman" w:cs="Times New Roman"/>
          <w:sz w:val="24"/>
          <w:szCs w:val="24"/>
          <w:lang w:eastAsia="bg-BG"/>
        </w:rPr>
      </w:pPr>
    </w:p>
    <w:p w14:paraId="01AB0282" w14:textId="77777777" w:rsidR="002D596B" w:rsidRPr="006C13DF" w:rsidRDefault="002D596B" w:rsidP="00ED133B">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188BF97D" w14:textId="77777777" w:rsidR="002D596B" w:rsidRPr="006C13DF" w:rsidRDefault="002D596B" w:rsidP="00ED133B">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„БДЖ – Пътнически превози“ ЕООД и „БДЖ – Товарни превози“ ЕООД</w:t>
      </w:r>
    </w:p>
    <w:p w14:paraId="4CEEF618" w14:textId="77777777" w:rsidR="002D596B" w:rsidRPr="006C13DF" w:rsidRDefault="002D596B" w:rsidP="002D596B">
      <w:pPr>
        <w:spacing w:after="0" w:line="240" w:lineRule="auto"/>
        <w:ind w:left="720"/>
        <w:jc w:val="center"/>
        <w:rPr>
          <w:rFonts w:ascii="Times New Roman" w:eastAsia="Calibri" w:hAnsi="Times New Roman" w:cs="Times New Roman"/>
          <w:b/>
          <w:caps/>
          <w:color w:val="C0504D"/>
          <w:sz w:val="24"/>
          <w:szCs w:val="24"/>
        </w:rPr>
      </w:pPr>
    </w:p>
    <w:p w14:paraId="0663E4B8" w14:textId="77777777" w:rsidR="002D596B" w:rsidRPr="006C13DF" w:rsidRDefault="002D596B" w:rsidP="002D596B">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2.4.6. Провеждане на обучения/курсове за квалификация и преквалификация на всички работници и служители на дружеството, независимо от тяхната възраст</w:t>
      </w:r>
    </w:p>
    <w:p w14:paraId="414A0CD5" w14:textId="77777777" w:rsidR="002D596B" w:rsidRPr="006C13DF" w:rsidRDefault="002D596B" w:rsidP="002D596B">
      <w:pPr>
        <w:spacing w:after="0" w:line="240" w:lineRule="auto"/>
        <w:ind w:firstLine="708"/>
        <w:jc w:val="both"/>
        <w:rPr>
          <w:rFonts w:ascii="Times New Roman" w:eastAsia="Calibri" w:hAnsi="Times New Roman" w:cs="Times New Roman"/>
          <w:b/>
          <w:i/>
          <w:sz w:val="24"/>
          <w:szCs w:val="24"/>
        </w:rPr>
      </w:pPr>
    </w:p>
    <w:p w14:paraId="50DB24BD" w14:textId="77777777" w:rsidR="002D596B" w:rsidRDefault="00ED133B" w:rsidP="002D59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За периода 2023 – </w:t>
      </w:r>
      <w:r w:rsidR="002D596B" w:rsidRPr="006C13DF">
        <w:rPr>
          <w:rFonts w:ascii="Times New Roman" w:eastAsia="Calibri" w:hAnsi="Times New Roman" w:cs="Times New Roman"/>
          <w:sz w:val="24"/>
          <w:szCs w:val="24"/>
        </w:rPr>
        <w:t xml:space="preserve">2024 г. </w:t>
      </w:r>
      <w:r w:rsidR="002D596B" w:rsidRPr="00ED133B">
        <w:rPr>
          <w:rFonts w:ascii="Times New Roman" w:eastAsia="Calibri" w:hAnsi="Times New Roman" w:cs="Times New Roman"/>
          <w:b/>
          <w:sz w:val="24"/>
          <w:szCs w:val="24"/>
        </w:rPr>
        <w:t>121 служители</w:t>
      </w:r>
      <w:r w:rsidR="002D596B" w:rsidRPr="006C13DF">
        <w:rPr>
          <w:rFonts w:ascii="Times New Roman" w:eastAsia="Calibri" w:hAnsi="Times New Roman" w:cs="Times New Roman"/>
          <w:sz w:val="24"/>
          <w:szCs w:val="24"/>
        </w:rPr>
        <w:t xml:space="preserve"> на „БДЖ – Пътнически превози“ ЕООД </w:t>
      </w:r>
      <w:r w:rsidR="002D596B" w:rsidRPr="00ED133B">
        <w:rPr>
          <w:rFonts w:ascii="Times New Roman" w:eastAsia="Calibri" w:hAnsi="Times New Roman" w:cs="Times New Roman"/>
          <w:b/>
          <w:sz w:val="24"/>
          <w:szCs w:val="24"/>
        </w:rPr>
        <w:t xml:space="preserve">над 55-годишна възраст </w:t>
      </w:r>
      <w:r w:rsidR="002D596B" w:rsidRPr="00ED133B">
        <w:rPr>
          <w:rFonts w:ascii="Times New Roman" w:eastAsia="Calibri" w:hAnsi="Times New Roman" w:cs="Times New Roman"/>
          <w:sz w:val="24"/>
          <w:szCs w:val="24"/>
        </w:rPr>
        <w:t>са преминали през обучение за повишаване на професионалната квалификация, придобиване на нова професионална квалификация и/или правоспособност</w:t>
      </w:r>
      <w:r w:rsidR="002D596B" w:rsidRPr="006C13DF">
        <w:rPr>
          <w:rFonts w:ascii="Times New Roman" w:eastAsia="Calibri" w:hAnsi="Times New Roman" w:cs="Times New Roman"/>
          <w:sz w:val="24"/>
          <w:szCs w:val="24"/>
        </w:rPr>
        <w:t>, както следва:</w:t>
      </w:r>
    </w:p>
    <w:p w14:paraId="021D4CF1" w14:textId="77777777" w:rsidR="002D596B" w:rsidRDefault="00ED133B" w:rsidP="00554703">
      <w:pPr>
        <w:pStyle w:val="ListParagraph"/>
        <w:numPr>
          <w:ilvl w:val="0"/>
          <w:numId w:val="4"/>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2D596B" w:rsidRPr="00ED133B">
        <w:rPr>
          <w:rFonts w:ascii="Times New Roman" w:eastAsia="Calibri" w:hAnsi="Times New Roman" w:cs="Times New Roman"/>
          <w:sz w:val="24"/>
          <w:szCs w:val="24"/>
        </w:rPr>
        <w:t>рез 2023 г. – 66 бр.</w:t>
      </w:r>
      <w:r>
        <w:rPr>
          <w:rFonts w:ascii="Times New Roman" w:eastAsia="Calibri" w:hAnsi="Times New Roman" w:cs="Times New Roman"/>
          <w:sz w:val="24"/>
          <w:szCs w:val="24"/>
        </w:rPr>
        <w:t>;</w:t>
      </w:r>
    </w:p>
    <w:p w14:paraId="391D6AB4" w14:textId="77777777" w:rsidR="002D596B" w:rsidRPr="00ED133B" w:rsidRDefault="00ED133B" w:rsidP="00554703">
      <w:pPr>
        <w:pStyle w:val="ListParagraph"/>
        <w:numPr>
          <w:ilvl w:val="0"/>
          <w:numId w:val="4"/>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2D596B" w:rsidRPr="00ED133B">
        <w:rPr>
          <w:rFonts w:ascii="Times New Roman" w:eastAsia="Calibri" w:hAnsi="Times New Roman" w:cs="Times New Roman"/>
          <w:sz w:val="24"/>
          <w:szCs w:val="24"/>
        </w:rPr>
        <w:t>рез 2024 г. – 55 бр.</w:t>
      </w:r>
    </w:p>
    <w:p w14:paraId="38935B3A" w14:textId="77777777" w:rsidR="002D596B" w:rsidRPr="006C13DF" w:rsidRDefault="002D596B" w:rsidP="002D596B">
      <w:pPr>
        <w:spacing w:after="0" w:line="240" w:lineRule="auto"/>
        <w:ind w:firstLine="709"/>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 xml:space="preserve">Чрез провеждането на обучения, включително и на персонала над 55-годишна възраст, се осигурява възможност не само за поддържане на придобитите навици за учене, но и за усвояване на нови знания. </w:t>
      </w:r>
    </w:p>
    <w:p w14:paraId="081F96C4" w14:textId="77777777" w:rsidR="002D596B" w:rsidRPr="006C13DF" w:rsidRDefault="002D596B" w:rsidP="002D596B">
      <w:pPr>
        <w:spacing w:after="0" w:line="240" w:lineRule="auto"/>
        <w:ind w:firstLine="709"/>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В „БДЖ – Товарни превози“ ЕООД се провеждат обучения/курсове за квалификация и преквалификация на работници и служители на дружеството, независимо от тяхната възраст.</w:t>
      </w:r>
    </w:p>
    <w:p w14:paraId="3EE796C0" w14:textId="77777777" w:rsidR="00BD0D8F" w:rsidRDefault="00BD0D8F" w:rsidP="00E91E47">
      <w:pPr>
        <w:spacing w:after="0" w:line="240" w:lineRule="auto"/>
        <w:jc w:val="both"/>
        <w:rPr>
          <w:rFonts w:ascii="Times New Roman" w:eastAsia="Times New Roman" w:hAnsi="Times New Roman" w:cs="Times New Roman"/>
          <w:sz w:val="24"/>
          <w:szCs w:val="24"/>
          <w:lang w:eastAsia="bg-BG"/>
        </w:rPr>
      </w:pPr>
    </w:p>
    <w:p w14:paraId="558F0A68" w14:textId="77777777" w:rsidR="008231FD" w:rsidRDefault="008231FD" w:rsidP="003B0AB2">
      <w:pPr>
        <w:spacing w:after="0" w:line="240" w:lineRule="auto"/>
        <w:jc w:val="center"/>
        <w:rPr>
          <w:rFonts w:ascii="Times New Roman" w:eastAsia="Calibri" w:hAnsi="Times New Roman" w:cs="Times New Roman"/>
          <w:b/>
          <w:caps/>
          <w:color w:val="C0504D"/>
          <w:sz w:val="24"/>
          <w:szCs w:val="24"/>
        </w:rPr>
      </w:pPr>
    </w:p>
    <w:p w14:paraId="6B8F1CA2" w14:textId="77777777" w:rsidR="003B0AB2" w:rsidRDefault="003B0AB2" w:rsidP="003B0AB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6C4A5F6C" w14:textId="77777777" w:rsidR="003B0AB2" w:rsidRPr="006C13DF" w:rsidRDefault="003B0AB2" w:rsidP="003B0AB2">
      <w:pPr>
        <w:spacing w:after="0" w:line="240" w:lineRule="auto"/>
        <w:jc w:val="center"/>
        <w:rPr>
          <w:rFonts w:ascii="Times New Roman" w:eastAsia="Calibri" w:hAnsi="Times New Roman" w:cs="Times New Roman"/>
          <w:b/>
          <w:caps/>
          <w:color w:val="C0504D"/>
          <w:sz w:val="24"/>
          <w:szCs w:val="24"/>
        </w:rPr>
      </w:pPr>
      <w:r>
        <w:rPr>
          <w:rFonts w:ascii="Times New Roman" w:eastAsia="Calibri" w:hAnsi="Times New Roman" w:cs="Times New Roman"/>
          <w:b/>
          <w:caps/>
          <w:color w:val="C0504D"/>
          <w:sz w:val="24"/>
          <w:szCs w:val="24"/>
        </w:rPr>
        <w:t xml:space="preserve">РЕГИОНАЛНА ДИРЕКЦИЯ „АВТОМОБИЛНА АДМИНИСТРАЦИЯ“ – РУСЕ </w:t>
      </w:r>
    </w:p>
    <w:p w14:paraId="7C3B93B6" w14:textId="77777777" w:rsidR="003B0AB2" w:rsidRPr="00ED133B" w:rsidRDefault="003B0AB2" w:rsidP="003B0AB2">
      <w:pPr>
        <w:spacing w:after="0" w:line="240" w:lineRule="auto"/>
        <w:jc w:val="both"/>
        <w:rPr>
          <w:rFonts w:ascii="Times New Roman" w:eastAsia="Times New Roman" w:hAnsi="Times New Roman" w:cs="Times New Roman"/>
          <w:sz w:val="24"/>
          <w:szCs w:val="24"/>
          <w:lang w:eastAsia="bg-BG"/>
        </w:rPr>
      </w:pPr>
    </w:p>
    <w:p w14:paraId="149EB976" w14:textId="77777777" w:rsidR="00BD0D8F" w:rsidRDefault="00BD0D8F" w:rsidP="003B0AB2">
      <w:pPr>
        <w:spacing w:after="0" w:line="240" w:lineRule="auto"/>
        <w:jc w:val="both"/>
        <w:rPr>
          <w:rFonts w:ascii="Times New Roman" w:eastAsia="Times New Roman" w:hAnsi="Times New Roman" w:cs="Times New Roman"/>
          <w:b/>
          <w:sz w:val="24"/>
          <w:szCs w:val="24"/>
          <w:lang w:eastAsia="bg-BG"/>
        </w:rPr>
      </w:pPr>
      <w:r w:rsidRPr="003B0AB2">
        <w:rPr>
          <w:rFonts w:ascii="Times New Roman" w:eastAsia="Times New Roman" w:hAnsi="Times New Roman" w:cs="Times New Roman"/>
          <w:b/>
          <w:sz w:val="24"/>
          <w:szCs w:val="24"/>
          <w:lang w:eastAsia="bg-BG"/>
        </w:rPr>
        <w:t>2.4.7. Провеждане на обучения/курсове за квалификация и</w:t>
      </w:r>
      <w:r w:rsidRPr="003B0AB2">
        <w:rPr>
          <w:rFonts w:ascii="Times New Roman" w:hAnsi="Times New Roman" w:cs="Times New Roman"/>
        </w:rPr>
        <w:t xml:space="preserve"> </w:t>
      </w:r>
      <w:r w:rsidRPr="003B0AB2">
        <w:rPr>
          <w:rFonts w:ascii="Times New Roman" w:eastAsia="Times New Roman" w:hAnsi="Times New Roman" w:cs="Times New Roman"/>
          <w:b/>
          <w:sz w:val="24"/>
          <w:szCs w:val="24"/>
          <w:lang w:eastAsia="bg-BG"/>
        </w:rPr>
        <w:t>преквалификация на всички служители на ИААА, независимо от тяхната възраст. При необходимост служителите се пренасочват на други работни места</w:t>
      </w:r>
    </w:p>
    <w:p w14:paraId="283D9F96" w14:textId="77777777" w:rsidR="003B0AB2" w:rsidRDefault="003B0AB2" w:rsidP="003B0AB2">
      <w:pPr>
        <w:spacing w:after="0" w:line="240" w:lineRule="auto"/>
        <w:jc w:val="both"/>
        <w:rPr>
          <w:rFonts w:ascii="Times New Roman" w:eastAsia="Times New Roman" w:hAnsi="Times New Roman" w:cs="Times New Roman"/>
          <w:b/>
          <w:sz w:val="24"/>
          <w:szCs w:val="24"/>
          <w:lang w:eastAsia="bg-BG"/>
        </w:rPr>
      </w:pPr>
    </w:p>
    <w:p w14:paraId="5F200E6A" w14:textId="77777777" w:rsidR="003B0AB2" w:rsidRPr="003B0AB2" w:rsidRDefault="003B0AB2" w:rsidP="003B0AB2">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ab/>
        <w:t xml:space="preserve">За периода 2023 – </w:t>
      </w:r>
      <w:r w:rsidRPr="003B0AB2">
        <w:rPr>
          <w:rFonts w:ascii="Times New Roman" w:hAnsi="Times New Roman" w:cs="Times New Roman"/>
          <w:sz w:val="24"/>
          <w:szCs w:val="24"/>
          <w:lang w:eastAsia="bg-BG"/>
        </w:rPr>
        <w:t xml:space="preserve">2024 г. към Института по публична администрация и други обучаващи институции са преминали курсове и обучения </w:t>
      </w:r>
      <w:r w:rsidRPr="003B0AB2">
        <w:rPr>
          <w:rFonts w:ascii="Times New Roman" w:hAnsi="Times New Roman" w:cs="Times New Roman"/>
          <w:bCs/>
          <w:sz w:val="24"/>
          <w:szCs w:val="24"/>
          <w:lang w:eastAsia="bg-BG"/>
        </w:rPr>
        <w:t>103</w:t>
      </w:r>
      <w:r w:rsidRPr="003B0AB2">
        <w:rPr>
          <w:rFonts w:ascii="Times New Roman" w:hAnsi="Times New Roman" w:cs="Times New Roman"/>
          <w:sz w:val="24"/>
          <w:szCs w:val="24"/>
          <w:lang w:eastAsia="bg-BG"/>
        </w:rPr>
        <w:t xml:space="preserve"> служители на агенцията, независимо от тяхната възраст. </w:t>
      </w:r>
    </w:p>
    <w:p w14:paraId="6BD5D8F0" w14:textId="77777777" w:rsidR="003B0AB2" w:rsidRPr="003B0AB2" w:rsidRDefault="003B0AB2" w:rsidP="003B0AB2">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ab/>
      </w:r>
      <w:r w:rsidRPr="003B0AB2">
        <w:rPr>
          <w:rFonts w:ascii="Times New Roman" w:hAnsi="Times New Roman" w:cs="Times New Roman"/>
          <w:sz w:val="24"/>
          <w:szCs w:val="24"/>
          <w:lang w:eastAsia="bg-BG"/>
        </w:rPr>
        <w:t>За периода 07</w:t>
      </w:r>
      <w:r w:rsidR="00387C23">
        <w:rPr>
          <w:rFonts w:ascii="Times New Roman" w:hAnsi="Times New Roman" w:cs="Times New Roman"/>
          <w:sz w:val="24"/>
          <w:szCs w:val="24"/>
          <w:lang w:eastAsia="bg-BG"/>
        </w:rPr>
        <w:t xml:space="preserve"> – </w:t>
      </w:r>
      <w:r w:rsidRPr="003B0AB2">
        <w:rPr>
          <w:rFonts w:ascii="Times New Roman" w:hAnsi="Times New Roman" w:cs="Times New Roman"/>
          <w:sz w:val="24"/>
          <w:szCs w:val="24"/>
          <w:lang w:eastAsia="bg-BG"/>
        </w:rPr>
        <w:t>28.04.2023 г. във ВТУ „Тодор Каблешков“ са преминали специализирано обучение и изпит по теория за „Председатели на изпитни комисии“, съгласно чл. 153, ал. 1, т.</w:t>
      </w:r>
      <w:r w:rsidRPr="003B0AB2">
        <w:rPr>
          <w:rFonts w:ascii="Times New Roman" w:hAnsi="Times New Roman" w:cs="Times New Roman"/>
          <w:sz w:val="24"/>
          <w:szCs w:val="24"/>
          <w:lang w:val="en-US" w:eastAsia="bg-BG"/>
        </w:rPr>
        <w:t xml:space="preserve"> </w:t>
      </w:r>
      <w:r w:rsidRPr="003B0AB2">
        <w:rPr>
          <w:rFonts w:ascii="Times New Roman" w:hAnsi="Times New Roman" w:cs="Times New Roman"/>
          <w:sz w:val="24"/>
          <w:szCs w:val="24"/>
          <w:lang w:eastAsia="bg-BG"/>
        </w:rPr>
        <w:t>2 от ЗДвП, като са обучени 92 инспектори от областни отдели „Автомобилна администрация“.</w:t>
      </w:r>
    </w:p>
    <w:p w14:paraId="05F066A1" w14:textId="77777777" w:rsidR="003B0AB2" w:rsidRPr="003B0AB2" w:rsidRDefault="003B0AB2" w:rsidP="003B0AB2">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ab/>
      </w:r>
      <w:r w:rsidRPr="003B0AB2">
        <w:rPr>
          <w:rFonts w:ascii="Times New Roman" w:hAnsi="Times New Roman" w:cs="Times New Roman"/>
          <w:sz w:val="24"/>
          <w:szCs w:val="24"/>
          <w:lang w:eastAsia="bg-BG"/>
        </w:rPr>
        <w:t xml:space="preserve">На 04.04.2023 г. е проведено специализирано обучение на инспекторския състав за извършване на контрол на Пунктове за периодичен технически преглед, 5-та категория – </w:t>
      </w:r>
      <w:r w:rsidRPr="003B0AB2">
        <w:rPr>
          <w:rFonts w:ascii="Times New Roman" w:hAnsi="Times New Roman" w:cs="Times New Roman"/>
          <w:sz w:val="24"/>
          <w:szCs w:val="24"/>
          <w:lang w:val="en-US" w:eastAsia="bg-BG"/>
        </w:rPr>
        <w:t>ADR</w:t>
      </w:r>
      <w:r w:rsidRPr="003B0AB2">
        <w:rPr>
          <w:rFonts w:ascii="Times New Roman" w:hAnsi="Times New Roman" w:cs="Times New Roman"/>
          <w:sz w:val="24"/>
          <w:szCs w:val="24"/>
          <w:lang w:eastAsia="bg-BG"/>
        </w:rPr>
        <w:t>, като са обучени 29 инспектори от областни отдели „Автомобилна администрация“.</w:t>
      </w:r>
    </w:p>
    <w:p w14:paraId="729DD047" w14:textId="77777777" w:rsidR="003B0AB2" w:rsidRPr="003B0AB2" w:rsidRDefault="003B0AB2" w:rsidP="003B0AB2">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ab/>
      </w:r>
      <w:r w:rsidRPr="003B0AB2">
        <w:rPr>
          <w:rFonts w:ascii="Times New Roman" w:hAnsi="Times New Roman" w:cs="Times New Roman"/>
          <w:sz w:val="24"/>
          <w:szCs w:val="24"/>
          <w:lang w:eastAsia="bg-BG"/>
        </w:rPr>
        <w:t xml:space="preserve">На 30.06.2024 г. и на 24.09.2024 г. е извършено индивидуално обучение за председател на изпитна комисия по чл. 153, ал. 1, т. 2 от </w:t>
      </w:r>
      <w:r w:rsidR="00387C23">
        <w:rPr>
          <w:rFonts w:ascii="Times New Roman" w:hAnsi="Times New Roman" w:cs="Times New Roman"/>
          <w:sz w:val="24"/>
          <w:szCs w:val="24"/>
        </w:rPr>
        <w:t>ЗДвП</w:t>
      </w:r>
      <w:r w:rsidRPr="003B0AB2">
        <w:rPr>
          <w:rFonts w:ascii="Times New Roman" w:hAnsi="Times New Roman" w:cs="Times New Roman"/>
          <w:sz w:val="24"/>
          <w:szCs w:val="24"/>
          <w:lang w:eastAsia="bg-BG"/>
        </w:rPr>
        <w:t xml:space="preserve">, като са обучени </w:t>
      </w:r>
      <w:r w:rsidR="00387C23">
        <w:rPr>
          <w:rFonts w:ascii="Times New Roman" w:hAnsi="Times New Roman" w:cs="Times New Roman"/>
          <w:sz w:val="24"/>
          <w:szCs w:val="24"/>
          <w:lang w:eastAsia="bg-BG"/>
        </w:rPr>
        <w:t>двама</w:t>
      </w:r>
      <w:r w:rsidRPr="003B0AB2">
        <w:rPr>
          <w:rFonts w:ascii="Times New Roman" w:hAnsi="Times New Roman" w:cs="Times New Roman"/>
          <w:sz w:val="24"/>
          <w:szCs w:val="24"/>
          <w:lang w:eastAsia="bg-BG"/>
        </w:rPr>
        <w:t xml:space="preserve"> инспектори от областни отдели „Автомобилна администрация“.</w:t>
      </w:r>
    </w:p>
    <w:p w14:paraId="2B4C30ED" w14:textId="77777777" w:rsidR="003B0AB2" w:rsidRPr="003B0AB2" w:rsidRDefault="003B0AB2" w:rsidP="003B0AB2">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ab/>
      </w:r>
      <w:r w:rsidRPr="003B0AB2">
        <w:rPr>
          <w:rFonts w:ascii="Times New Roman" w:hAnsi="Times New Roman" w:cs="Times New Roman"/>
          <w:sz w:val="24"/>
          <w:szCs w:val="24"/>
          <w:lang w:eastAsia="bg-BG"/>
        </w:rPr>
        <w:t xml:space="preserve">На 31.10.2024 г. е извършено индивидуално обучение за Консултанти по опасни товари </w:t>
      </w:r>
      <w:r w:rsidRPr="003B0AB2">
        <w:rPr>
          <w:rFonts w:ascii="Times New Roman" w:hAnsi="Times New Roman" w:cs="Times New Roman"/>
          <w:sz w:val="24"/>
          <w:szCs w:val="24"/>
          <w:lang w:val="en-US" w:eastAsia="bg-BG"/>
        </w:rPr>
        <w:t xml:space="preserve">ADR – </w:t>
      </w:r>
      <w:r w:rsidRPr="003B0AB2">
        <w:rPr>
          <w:rFonts w:ascii="Times New Roman" w:hAnsi="Times New Roman" w:cs="Times New Roman"/>
          <w:sz w:val="24"/>
          <w:szCs w:val="24"/>
          <w:lang w:eastAsia="bg-BG"/>
        </w:rPr>
        <w:t xml:space="preserve">като са обучени </w:t>
      </w:r>
      <w:r w:rsidR="00387C23">
        <w:rPr>
          <w:rFonts w:ascii="Times New Roman" w:hAnsi="Times New Roman" w:cs="Times New Roman"/>
          <w:sz w:val="24"/>
          <w:szCs w:val="24"/>
          <w:lang w:eastAsia="bg-BG"/>
        </w:rPr>
        <w:t>трима</w:t>
      </w:r>
      <w:r w:rsidRPr="003B0AB2">
        <w:rPr>
          <w:rFonts w:ascii="Times New Roman" w:hAnsi="Times New Roman" w:cs="Times New Roman"/>
          <w:sz w:val="24"/>
          <w:szCs w:val="24"/>
          <w:lang w:eastAsia="bg-BG"/>
        </w:rPr>
        <w:t xml:space="preserve"> инспектори от областни отдели „Автомобилна администрация“.</w:t>
      </w:r>
    </w:p>
    <w:p w14:paraId="24FDB4C3" w14:textId="77777777" w:rsidR="003B0AB2" w:rsidRPr="003B0AB2" w:rsidRDefault="003B0AB2" w:rsidP="003B0AB2">
      <w:pPr>
        <w:spacing w:after="0" w:line="240" w:lineRule="auto"/>
        <w:jc w:val="both"/>
        <w:rPr>
          <w:rFonts w:ascii="Times New Roman" w:eastAsia="Times New Roman" w:hAnsi="Times New Roman" w:cs="Times New Roman"/>
          <w:b/>
          <w:sz w:val="24"/>
          <w:szCs w:val="24"/>
          <w:lang w:eastAsia="bg-BG"/>
        </w:rPr>
      </w:pPr>
    </w:p>
    <w:p w14:paraId="340C6D50" w14:textId="77777777" w:rsidR="003B0AB2" w:rsidRPr="003B0AB2" w:rsidRDefault="003B0AB2" w:rsidP="003B0AB2">
      <w:pPr>
        <w:spacing w:after="0" w:line="240" w:lineRule="auto"/>
        <w:jc w:val="center"/>
        <w:rPr>
          <w:rFonts w:ascii="Times New Roman" w:eastAsia="Calibri" w:hAnsi="Times New Roman" w:cs="Times New Roman"/>
          <w:b/>
          <w:caps/>
          <w:color w:val="C0504D"/>
          <w:sz w:val="24"/>
          <w:szCs w:val="24"/>
        </w:rPr>
      </w:pPr>
      <w:r w:rsidRPr="003B0AB2">
        <w:rPr>
          <w:rFonts w:ascii="Times New Roman" w:eastAsia="Calibri" w:hAnsi="Times New Roman" w:cs="Times New Roman"/>
          <w:b/>
          <w:caps/>
          <w:color w:val="C0504D"/>
          <w:sz w:val="24"/>
          <w:szCs w:val="24"/>
        </w:rPr>
        <w:t>МИНИСТЕРСТВО НА ТРАНСПОРТА И СЪОБЩЕНИЯТА</w:t>
      </w:r>
    </w:p>
    <w:p w14:paraId="5BCA730C" w14:textId="77777777" w:rsidR="003B0AB2" w:rsidRPr="003B0AB2" w:rsidRDefault="003B0AB2" w:rsidP="003B0AB2">
      <w:pPr>
        <w:spacing w:after="0" w:line="240" w:lineRule="auto"/>
        <w:jc w:val="both"/>
        <w:rPr>
          <w:rFonts w:ascii="Times New Roman" w:eastAsia="Times New Roman" w:hAnsi="Times New Roman" w:cs="Times New Roman"/>
          <w:b/>
          <w:sz w:val="24"/>
          <w:szCs w:val="24"/>
          <w:lang w:eastAsia="bg-BG"/>
        </w:rPr>
      </w:pPr>
      <w:r w:rsidRPr="003B0AB2">
        <w:rPr>
          <w:rFonts w:ascii="Times New Roman" w:eastAsia="Calibri" w:hAnsi="Times New Roman" w:cs="Times New Roman"/>
          <w:b/>
          <w:caps/>
          <w:color w:val="C0504D"/>
          <w:sz w:val="24"/>
          <w:szCs w:val="24"/>
        </w:rPr>
        <w:t>РЕГИОНАЛНА ДИРЕКЦИЯ „АВТОМОБИЛНА АДМИНИСТРАЦИЯ“ – СОФИЯ</w:t>
      </w:r>
    </w:p>
    <w:p w14:paraId="00AC7D2A" w14:textId="77777777" w:rsidR="00BD0D8F" w:rsidRPr="003B0AB2" w:rsidRDefault="00BD0D8F" w:rsidP="003B0AB2">
      <w:pPr>
        <w:spacing w:after="0" w:line="240" w:lineRule="auto"/>
        <w:jc w:val="both"/>
        <w:rPr>
          <w:rFonts w:ascii="Times New Roman" w:eastAsia="Times New Roman" w:hAnsi="Times New Roman" w:cs="Times New Roman"/>
          <w:b/>
          <w:sz w:val="24"/>
          <w:szCs w:val="24"/>
          <w:lang w:eastAsia="bg-BG"/>
        </w:rPr>
      </w:pPr>
    </w:p>
    <w:p w14:paraId="744A53A6" w14:textId="77777777" w:rsidR="00BD0D8F" w:rsidRPr="003B0AB2" w:rsidRDefault="00BD0D8F" w:rsidP="003B0AB2">
      <w:pPr>
        <w:spacing w:after="0" w:line="240" w:lineRule="auto"/>
        <w:jc w:val="both"/>
        <w:rPr>
          <w:rFonts w:ascii="Times New Roman" w:eastAsia="Times New Roman" w:hAnsi="Times New Roman" w:cs="Times New Roman"/>
          <w:b/>
          <w:sz w:val="24"/>
          <w:szCs w:val="24"/>
          <w:lang w:eastAsia="bg-BG"/>
        </w:rPr>
      </w:pPr>
      <w:r w:rsidRPr="003B0AB2">
        <w:rPr>
          <w:rFonts w:ascii="Times New Roman" w:eastAsia="Times New Roman" w:hAnsi="Times New Roman" w:cs="Times New Roman"/>
          <w:b/>
          <w:sz w:val="24"/>
          <w:szCs w:val="24"/>
          <w:lang w:eastAsia="bg-BG"/>
        </w:rPr>
        <w:t>2.4.8. Насърчаване ученето през целия живот и активни дейности по професионално обучение в ресор транспорт</w:t>
      </w:r>
    </w:p>
    <w:p w14:paraId="62780BA1" w14:textId="77777777" w:rsidR="00BD0D8F" w:rsidRPr="003B0AB2" w:rsidRDefault="00BD0D8F" w:rsidP="003B0AB2">
      <w:pPr>
        <w:spacing w:after="0" w:line="240" w:lineRule="auto"/>
        <w:jc w:val="both"/>
        <w:rPr>
          <w:rFonts w:ascii="Times New Roman" w:eastAsia="Times New Roman" w:hAnsi="Times New Roman" w:cs="Times New Roman"/>
          <w:b/>
          <w:sz w:val="24"/>
          <w:szCs w:val="24"/>
          <w:lang w:eastAsia="bg-BG"/>
        </w:rPr>
      </w:pPr>
    </w:p>
    <w:p w14:paraId="3262FC53" w14:textId="77777777" w:rsidR="00F258A9" w:rsidRDefault="003B0AB2" w:rsidP="003B0AB2">
      <w:pPr>
        <w:spacing w:line="240" w:lineRule="auto"/>
        <w:jc w:val="both"/>
        <w:rPr>
          <w:rFonts w:ascii="Times New Roman" w:hAnsi="Times New Roman" w:cs="Times New Roman"/>
          <w:sz w:val="24"/>
          <w:szCs w:val="24"/>
        </w:rPr>
      </w:pPr>
      <w:r w:rsidRPr="003B0AB2">
        <w:rPr>
          <w:rFonts w:ascii="Times New Roman" w:hAnsi="Times New Roman" w:cs="Times New Roman"/>
          <w:b/>
          <w:color w:val="000000"/>
          <w:sz w:val="24"/>
          <w:szCs w:val="24"/>
        </w:rPr>
        <w:tab/>
      </w:r>
      <w:r w:rsidR="00F258A9" w:rsidRPr="003B0AB2">
        <w:rPr>
          <w:rFonts w:ascii="Times New Roman" w:hAnsi="Times New Roman" w:cs="Times New Roman"/>
          <w:sz w:val="24"/>
          <w:szCs w:val="24"/>
          <w:lang w:eastAsia="ar-SA"/>
        </w:rPr>
        <w:t>Наетите на работа възрастни хора, пенсионирани от системата на Изпълнителна агенция „Автомобилна</w:t>
      </w:r>
      <w:r>
        <w:rPr>
          <w:rFonts w:ascii="Times New Roman" w:hAnsi="Times New Roman" w:cs="Times New Roman"/>
          <w:sz w:val="24"/>
          <w:szCs w:val="24"/>
          <w:lang w:eastAsia="ar-SA"/>
        </w:rPr>
        <w:t xml:space="preserve"> администрация“ за периода 2023 – </w:t>
      </w:r>
      <w:r w:rsidR="00F258A9" w:rsidRPr="003B0AB2">
        <w:rPr>
          <w:rFonts w:ascii="Times New Roman" w:hAnsi="Times New Roman" w:cs="Times New Roman"/>
          <w:sz w:val="24"/>
          <w:szCs w:val="24"/>
          <w:lang w:eastAsia="ar-SA"/>
        </w:rPr>
        <w:t xml:space="preserve">2024 г. </w:t>
      </w:r>
      <w:r w:rsidR="00F258A9" w:rsidRPr="003B0AB2">
        <w:rPr>
          <w:rFonts w:ascii="Times New Roman" w:hAnsi="Times New Roman" w:cs="Times New Roman"/>
          <w:sz w:val="24"/>
          <w:szCs w:val="24"/>
        </w:rPr>
        <w:t>са преминали специализирано обучение във ВТУ „Тодор Каблешков“ и в Русенски</w:t>
      </w:r>
      <w:r>
        <w:rPr>
          <w:rFonts w:ascii="Times New Roman" w:hAnsi="Times New Roman" w:cs="Times New Roman"/>
          <w:sz w:val="24"/>
          <w:szCs w:val="24"/>
        </w:rPr>
        <w:t>я</w:t>
      </w:r>
      <w:r w:rsidR="00F258A9" w:rsidRPr="003B0AB2">
        <w:rPr>
          <w:rFonts w:ascii="Times New Roman" w:hAnsi="Times New Roman" w:cs="Times New Roman"/>
          <w:sz w:val="24"/>
          <w:szCs w:val="24"/>
        </w:rPr>
        <w:t xml:space="preserve"> университет „Ангел Кънчев“ в гр. Русе.</w:t>
      </w:r>
    </w:p>
    <w:p w14:paraId="1A76D804" w14:textId="77777777" w:rsidR="003B0AB2" w:rsidRPr="003B0AB2" w:rsidRDefault="003B0AB2" w:rsidP="003B0AB2">
      <w:pPr>
        <w:spacing w:after="0" w:line="240" w:lineRule="auto"/>
        <w:jc w:val="center"/>
        <w:rPr>
          <w:rFonts w:ascii="Times New Roman" w:eastAsia="Calibri" w:hAnsi="Times New Roman" w:cs="Times New Roman"/>
          <w:b/>
          <w:caps/>
          <w:color w:val="C0504D"/>
          <w:sz w:val="24"/>
          <w:szCs w:val="24"/>
        </w:rPr>
      </w:pPr>
      <w:r w:rsidRPr="003B0AB2">
        <w:rPr>
          <w:rFonts w:ascii="Times New Roman" w:eastAsia="Calibri" w:hAnsi="Times New Roman" w:cs="Times New Roman"/>
          <w:b/>
          <w:caps/>
          <w:color w:val="C0504D"/>
          <w:sz w:val="24"/>
          <w:szCs w:val="24"/>
        </w:rPr>
        <w:t>МИНИСТЕРСТВО НА ТРАНСПОРТА И СЪОБЩЕНИЯТА</w:t>
      </w:r>
    </w:p>
    <w:p w14:paraId="5C49DF74" w14:textId="77777777" w:rsidR="003B0AB2" w:rsidRPr="003B0AB2" w:rsidRDefault="003B0AB2" w:rsidP="003B0AB2">
      <w:pPr>
        <w:spacing w:after="0" w:line="240" w:lineRule="auto"/>
        <w:jc w:val="both"/>
        <w:rPr>
          <w:rFonts w:ascii="Times New Roman" w:eastAsia="Times New Roman" w:hAnsi="Times New Roman" w:cs="Times New Roman"/>
          <w:b/>
          <w:sz w:val="24"/>
          <w:szCs w:val="24"/>
          <w:lang w:eastAsia="bg-BG"/>
        </w:rPr>
      </w:pPr>
      <w:r w:rsidRPr="003B0AB2">
        <w:rPr>
          <w:rFonts w:ascii="Times New Roman" w:eastAsia="Calibri" w:hAnsi="Times New Roman" w:cs="Times New Roman"/>
          <w:b/>
          <w:caps/>
          <w:color w:val="C0504D"/>
          <w:sz w:val="24"/>
          <w:szCs w:val="24"/>
        </w:rPr>
        <w:t>РЕГИОНАЛНА ДИРЕКЦИЯ „АВТОМОБИЛНА АДМИНИСТРАЦИЯ“ – СОФИЯ</w:t>
      </w:r>
    </w:p>
    <w:p w14:paraId="190E425B" w14:textId="77777777" w:rsidR="009A2E60" w:rsidRPr="006C13DF" w:rsidRDefault="009A2E60" w:rsidP="002D596B">
      <w:pPr>
        <w:spacing w:after="0" w:line="240" w:lineRule="auto"/>
        <w:jc w:val="both"/>
        <w:rPr>
          <w:rFonts w:ascii="Times New Roman" w:eastAsia="Times New Roman" w:hAnsi="Times New Roman" w:cs="Times New Roman"/>
          <w:b/>
          <w:sz w:val="24"/>
          <w:szCs w:val="24"/>
          <w:lang w:eastAsia="bg-BG"/>
        </w:rPr>
      </w:pPr>
    </w:p>
    <w:p w14:paraId="53144F09" w14:textId="77777777" w:rsidR="00BD0D8F" w:rsidRPr="003B0AB2" w:rsidRDefault="00BD0D8F" w:rsidP="003B0AB2">
      <w:pPr>
        <w:spacing w:after="0" w:line="240" w:lineRule="auto"/>
        <w:jc w:val="both"/>
        <w:rPr>
          <w:rFonts w:ascii="Times New Roman" w:eastAsia="Times New Roman" w:hAnsi="Times New Roman" w:cs="Times New Roman"/>
          <w:b/>
          <w:sz w:val="24"/>
          <w:szCs w:val="24"/>
          <w:lang w:eastAsia="bg-BG"/>
        </w:rPr>
      </w:pPr>
      <w:r w:rsidRPr="003B0AB2">
        <w:rPr>
          <w:rFonts w:ascii="Times New Roman" w:eastAsia="Times New Roman" w:hAnsi="Times New Roman" w:cs="Times New Roman"/>
          <w:b/>
          <w:sz w:val="24"/>
          <w:szCs w:val="24"/>
          <w:lang w:eastAsia="bg-BG"/>
        </w:rPr>
        <w:t>2.4.9. Повишаване на професионалната квалификация и придобиване на нова квалификация за развиване на умения за работа с новите технологии.</w:t>
      </w:r>
    </w:p>
    <w:p w14:paraId="4D28EC07" w14:textId="77777777" w:rsidR="00ED133B" w:rsidRPr="003B0AB2" w:rsidRDefault="00ED133B" w:rsidP="003B0AB2">
      <w:pPr>
        <w:spacing w:after="0" w:line="240" w:lineRule="auto"/>
        <w:jc w:val="both"/>
        <w:rPr>
          <w:rFonts w:ascii="Times New Roman" w:eastAsia="Times New Roman" w:hAnsi="Times New Roman" w:cs="Times New Roman"/>
          <w:b/>
          <w:i/>
          <w:sz w:val="24"/>
          <w:szCs w:val="24"/>
          <w:lang w:val="en-US" w:eastAsia="bg-BG"/>
        </w:rPr>
      </w:pPr>
    </w:p>
    <w:p w14:paraId="35F3A7A1" w14:textId="77777777" w:rsidR="003B0AB2" w:rsidRDefault="003B0AB2" w:rsidP="003B0A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B0AB2">
        <w:rPr>
          <w:rFonts w:ascii="Times New Roman" w:hAnsi="Times New Roman" w:cs="Times New Roman"/>
          <w:sz w:val="24"/>
          <w:szCs w:val="24"/>
        </w:rPr>
        <w:t>За периода от 23.11.2023 г. до 02.12.2023 г. в гр. Севлиево са преминали техническо и практическо обучение на инспекторския състав на</w:t>
      </w:r>
      <w:r w:rsidRPr="003B0AB2">
        <w:rPr>
          <w:rFonts w:ascii="Times New Roman" w:hAnsi="Times New Roman" w:cs="Times New Roman"/>
          <w:b/>
          <w:color w:val="000000"/>
          <w:sz w:val="24"/>
          <w:szCs w:val="24"/>
        </w:rPr>
        <w:t xml:space="preserve"> </w:t>
      </w:r>
      <w:r w:rsidRPr="003B0AB2">
        <w:rPr>
          <w:rFonts w:ascii="Times New Roman" w:hAnsi="Times New Roman" w:cs="Times New Roman"/>
          <w:color w:val="000000"/>
          <w:sz w:val="24"/>
          <w:szCs w:val="24"/>
        </w:rPr>
        <w:t>ИА „Автомобилна администрация“</w:t>
      </w:r>
      <w:r w:rsidRPr="003B0AB2">
        <w:rPr>
          <w:rFonts w:ascii="Times New Roman" w:hAnsi="Times New Roman" w:cs="Times New Roman"/>
          <w:sz w:val="24"/>
          <w:szCs w:val="24"/>
        </w:rPr>
        <w:t xml:space="preserve"> (ИААА) за работа с дигитални </w:t>
      </w:r>
      <w:proofErr w:type="spellStart"/>
      <w:r w:rsidRPr="003B0AB2">
        <w:rPr>
          <w:rFonts w:ascii="Times New Roman" w:hAnsi="Times New Roman" w:cs="Times New Roman"/>
          <w:sz w:val="24"/>
          <w:szCs w:val="24"/>
        </w:rPr>
        <w:t>тахографи</w:t>
      </w:r>
      <w:proofErr w:type="spellEnd"/>
      <w:r w:rsidRPr="003B0AB2">
        <w:rPr>
          <w:rFonts w:ascii="Times New Roman" w:hAnsi="Times New Roman" w:cs="Times New Roman"/>
          <w:sz w:val="24"/>
          <w:szCs w:val="24"/>
        </w:rPr>
        <w:t xml:space="preserve"> и смарт </w:t>
      </w:r>
      <w:proofErr w:type="spellStart"/>
      <w:r w:rsidRPr="003B0AB2">
        <w:rPr>
          <w:rFonts w:ascii="Times New Roman" w:hAnsi="Times New Roman" w:cs="Times New Roman"/>
          <w:sz w:val="24"/>
          <w:szCs w:val="24"/>
        </w:rPr>
        <w:t>тахографи</w:t>
      </w:r>
      <w:proofErr w:type="spellEnd"/>
      <w:r w:rsidRPr="003B0AB2">
        <w:rPr>
          <w:rFonts w:ascii="Times New Roman" w:hAnsi="Times New Roman" w:cs="Times New Roman"/>
          <w:sz w:val="24"/>
          <w:szCs w:val="24"/>
        </w:rPr>
        <w:t xml:space="preserve"> от всички поколения. Обучени са 140 инспектори от областни отдели „Автомобилна администрация“, извършващи крайпътни технически проверки за придобиване на знания и умения във връзка с прилагане на европейското законодателство в областта на автомобилния транспорт.</w:t>
      </w:r>
    </w:p>
    <w:p w14:paraId="5F729238" w14:textId="77777777" w:rsidR="008231FD" w:rsidRPr="003B0AB2" w:rsidRDefault="008231FD" w:rsidP="003B0AB2">
      <w:pPr>
        <w:spacing w:after="0" w:line="240" w:lineRule="auto"/>
        <w:jc w:val="both"/>
        <w:rPr>
          <w:rFonts w:ascii="Times New Roman" w:hAnsi="Times New Roman" w:cs="Times New Roman"/>
          <w:sz w:val="24"/>
          <w:szCs w:val="24"/>
        </w:rPr>
      </w:pPr>
    </w:p>
    <w:p w14:paraId="49605A2A" w14:textId="77777777" w:rsidR="003B0AB2" w:rsidRPr="00ED133B" w:rsidRDefault="003B0AB2" w:rsidP="00E91E47">
      <w:pPr>
        <w:spacing w:after="0" w:line="240" w:lineRule="auto"/>
        <w:jc w:val="both"/>
        <w:rPr>
          <w:rFonts w:ascii="Times New Roman" w:eastAsia="Times New Roman" w:hAnsi="Times New Roman" w:cs="Times New Roman"/>
          <w:sz w:val="24"/>
          <w:szCs w:val="24"/>
          <w:lang w:val="en-US" w:eastAsia="bg-B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C668"/>
        <w:tblLook w:val="04A0" w:firstRow="1" w:lastRow="0" w:firstColumn="1" w:lastColumn="0" w:noHBand="0" w:noVBand="1"/>
      </w:tblPr>
      <w:tblGrid>
        <w:gridCol w:w="9060"/>
      </w:tblGrid>
      <w:tr w:rsidR="00EB2DEE" w:rsidRPr="006C13DF" w14:paraId="47BB8D2F" w14:textId="77777777" w:rsidTr="00E655FD">
        <w:tc>
          <w:tcPr>
            <w:tcW w:w="9060" w:type="dxa"/>
            <w:shd w:val="clear" w:color="auto" w:fill="D6C668"/>
          </w:tcPr>
          <w:p w14:paraId="106FE5B6" w14:textId="77777777" w:rsidR="00EB2DEE" w:rsidRPr="006C13DF" w:rsidRDefault="00EB2DEE" w:rsidP="00EB2DEE">
            <w:pPr>
              <w:jc w:val="center"/>
              <w:rPr>
                <w:rFonts w:ascii="Times New Roman" w:hAnsi="Times New Roman" w:cs="Times New Roman"/>
                <w:b/>
                <w:sz w:val="28"/>
                <w:szCs w:val="28"/>
                <w:lang w:val="en-US"/>
              </w:rPr>
            </w:pPr>
            <w:r w:rsidRPr="006C13DF">
              <w:rPr>
                <w:rFonts w:ascii="Times New Roman" w:hAnsi="Times New Roman" w:cs="Times New Roman"/>
                <w:b/>
                <w:sz w:val="28"/>
                <w:szCs w:val="28"/>
              </w:rPr>
              <w:t xml:space="preserve">Приоритет </w:t>
            </w:r>
            <w:r w:rsidRPr="006C13DF">
              <w:rPr>
                <w:rFonts w:ascii="Times New Roman" w:hAnsi="Times New Roman" w:cs="Times New Roman"/>
                <w:b/>
                <w:sz w:val="28"/>
                <w:szCs w:val="28"/>
                <w:lang w:val="en-US"/>
              </w:rPr>
              <w:t>III</w:t>
            </w:r>
          </w:p>
          <w:p w14:paraId="2FCC3289" w14:textId="77777777" w:rsidR="00EB2DEE" w:rsidRPr="006C13DF" w:rsidRDefault="00EB2DEE" w:rsidP="00EB2DEE">
            <w:pPr>
              <w:jc w:val="center"/>
              <w:rPr>
                <w:rFonts w:ascii="Times New Roman" w:hAnsi="Times New Roman" w:cs="Times New Roman"/>
                <w:b/>
                <w:sz w:val="28"/>
                <w:szCs w:val="28"/>
              </w:rPr>
            </w:pPr>
            <w:r w:rsidRPr="006C13DF">
              <w:rPr>
                <w:rFonts w:ascii="Times New Roman" w:hAnsi="Times New Roman" w:cs="Times New Roman"/>
                <w:b/>
                <w:sz w:val="28"/>
                <w:szCs w:val="28"/>
              </w:rPr>
              <w:t>Насърчаване на активния живот на възрастните хора в сферата на самостоятелния живот</w:t>
            </w:r>
          </w:p>
        </w:tc>
      </w:tr>
    </w:tbl>
    <w:p w14:paraId="01240EA2" w14:textId="77777777" w:rsidR="0039778E" w:rsidRPr="006C13DF" w:rsidRDefault="0039778E" w:rsidP="00BD0D8F">
      <w:pPr>
        <w:spacing w:after="0" w:line="240" w:lineRule="auto"/>
        <w:jc w:val="both"/>
        <w:rPr>
          <w:rFonts w:ascii="Times New Roman" w:hAnsi="Times New Roman" w:cs="Times New Roman"/>
          <w:color w:val="0000FF"/>
          <w:sz w:val="24"/>
          <w:szCs w:val="24"/>
          <w:u w:val="single"/>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68BF69E7" w14:textId="77777777" w:rsidTr="00E655FD">
        <w:tc>
          <w:tcPr>
            <w:tcW w:w="9060" w:type="dxa"/>
            <w:shd w:val="clear" w:color="auto" w:fill="EBE453"/>
          </w:tcPr>
          <w:p w14:paraId="5F52060F"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 xml:space="preserve">3.1. Грижи за здравето и превенция на заболяванията </w:t>
            </w:r>
          </w:p>
        </w:tc>
      </w:tr>
    </w:tbl>
    <w:p w14:paraId="124EC346" w14:textId="77777777" w:rsidR="006E5C93" w:rsidRDefault="006E5C93" w:rsidP="00E91E47">
      <w:pPr>
        <w:pStyle w:val="ListParagraph"/>
        <w:spacing w:after="0" w:line="240" w:lineRule="auto"/>
        <w:ind w:left="0"/>
        <w:rPr>
          <w:rFonts w:ascii="Times New Roman" w:hAnsi="Times New Roman" w:cs="Times New Roman"/>
          <w:b/>
        </w:rPr>
      </w:pPr>
    </w:p>
    <w:p w14:paraId="72A60DAC" w14:textId="77777777" w:rsidR="00ED133B" w:rsidRPr="001C47A6" w:rsidRDefault="00ED133B" w:rsidP="001C47A6">
      <w:pPr>
        <w:pStyle w:val="ListParagraph"/>
        <w:spacing w:after="0" w:line="240" w:lineRule="auto"/>
        <w:ind w:left="0"/>
        <w:jc w:val="center"/>
        <w:rPr>
          <w:rFonts w:ascii="Times New Roman" w:hAnsi="Times New Roman" w:cs="Times New Roman"/>
          <w:b/>
          <w:sz w:val="24"/>
          <w:szCs w:val="24"/>
        </w:rPr>
      </w:pPr>
      <w:r w:rsidRPr="001C47A6">
        <w:rPr>
          <w:rFonts w:ascii="Times New Roman" w:eastAsia="Calibri" w:hAnsi="Times New Roman" w:cs="Times New Roman"/>
          <w:b/>
          <w:caps/>
          <w:color w:val="C0504D"/>
          <w:sz w:val="24"/>
          <w:szCs w:val="24"/>
        </w:rPr>
        <w:t>МИНИСТЕРСТВО НА ЗДРАВЕОПАЗВАНЕТО</w:t>
      </w:r>
    </w:p>
    <w:p w14:paraId="676776FE" w14:textId="77777777" w:rsidR="00ED133B" w:rsidRPr="001C47A6" w:rsidRDefault="00ED133B" w:rsidP="00697387">
      <w:pPr>
        <w:pStyle w:val="ListParagraph"/>
        <w:spacing w:after="0" w:line="240" w:lineRule="auto"/>
        <w:ind w:left="0"/>
        <w:rPr>
          <w:rFonts w:ascii="Times New Roman" w:hAnsi="Times New Roman" w:cs="Times New Roman"/>
          <w:b/>
          <w:sz w:val="24"/>
          <w:szCs w:val="24"/>
        </w:rPr>
      </w:pPr>
    </w:p>
    <w:p w14:paraId="074CE3B1" w14:textId="77777777" w:rsidR="006028A5" w:rsidRPr="00E8498B" w:rsidRDefault="006028A5" w:rsidP="001C47A6">
      <w:pPr>
        <w:spacing w:after="0" w:line="240" w:lineRule="auto"/>
        <w:jc w:val="both"/>
        <w:rPr>
          <w:rFonts w:ascii="Times New Roman" w:hAnsi="Times New Roman" w:cs="Times New Roman"/>
          <w:b/>
          <w:sz w:val="24"/>
          <w:szCs w:val="24"/>
        </w:rPr>
      </w:pPr>
      <w:r w:rsidRPr="00E8498B">
        <w:rPr>
          <w:rFonts w:ascii="Times New Roman" w:hAnsi="Times New Roman" w:cs="Times New Roman"/>
          <w:b/>
          <w:sz w:val="24"/>
          <w:szCs w:val="24"/>
        </w:rPr>
        <w:t xml:space="preserve">3.1.1. Повишаване нивото на информираност на населението за значимостта и възможностите за профилактика на сезонен грип чрез имунизация и осигуряване на безплатни грипни ваксини с бюджетни средства </w:t>
      </w:r>
      <w:r w:rsidR="00E8498B">
        <w:rPr>
          <w:rFonts w:ascii="Times New Roman" w:hAnsi="Times New Roman" w:cs="Times New Roman"/>
          <w:b/>
          <w:sz w:val="24"/>
          <w:szCs w:val="24"/>
        </w:rPr>
        <w:t>за лица на и над 65-г. възраст</w:t>
      </w:r>
    </w:p>
    <w:p w14:paraId="2BC7A29E" w14:textId="77777777" w:rsidR="001C47A6" w:rsidRPr="00B439D7" w:rsidRDefault="001C47A6" w:rsidP="001C47A6">
      <w:pPr>
        <w:spacing w:after="0" w:line="240" w:lineRule="auto"/>
        <w:jc w:val="both"/>
        <w:rPr>
          <w:rFonts w:ascii="Times New Roman" w:hAnsi="Times New Roman" w:cs="Times New Roman"/>
          <w:sz w:val="24"/>
          <w:szCs w:val="24"/>
          <w:lang w:val="en-US"/>
        </w:rPr>
      </w:pPr>
    </w:p>
    <w:p w14:paraId="24B64C69" w14:textId="77777777" w:rsidR="00B439D7" w:rsidRPr="00B439D7" w:rsidRDefault="006028A5" w:rsidP="00B439D7">
      <w:pPr>
        <w:spacing w:after="0" w:line="240" w:lineRule="auto"/>
        <w:ind w:firstLine="709"/>
        <w:jc w:val="both"/>
        <w:rPr>
          <w:rFonts w:ascii="Times New Roman" w:hAnsi="Times New Roman" w:cs="Times New Roman"/>
          <w:sz w:val="24"/>
          <w:szCs w:val="24"/>
        </w:rPr>
      </w:pPr>
      <w:r w:rsidRPr="001C47A6">
        <w:rPr>
          <w:rFonts w:ascii="Times New Roman" w:hAnsi="Times New Roman" w:cs="Times New Roman"/>
          <w:sz w:val="24"/>
          <w:szCs w:val="24"/>
        </w:rPr>
        <w:t>Пов</w:t>
      </w:r>
      <w:r w:rsidR="00E8498B">
        <w:rPr>
          <w:rFonts w:ascii="Times New Roman" w:hAnsi="Times New Roman" w:cs="Times New Roman"/>
          <w:sz w:val="24"/>
          <w:szCs w:val="24"/>
        </w:rPr>
        <w:t>ишаване нивото на информираност на населението</w:t>
      </w:r>
      <w:r w:rsidRPr="001C47A6">
        <w:rPr>
          <w:rFonts w:ascii="Times New Roman" w:hAnsi="Times New Roman" w:cs="Times New Roman"/>
          <w:sz w:val="24"/>
          <w:szCs w:val="24"/>
        </w:rPr>
        <w:t xml:space="preserve"> чрез провеждане на разяснителна кампания за ваксиниране срещу Covid-19 в съответствие с Националния </w:t>
      </w:r>
      <w:r w:rsidRPr="00B439D7">
        <w:rPr>
          <w:rFonts w:ascii="Times New Roman" w:hAnsi="Times New Roman" w:cs="Times New Roman"/>
          <w:sz w:val="24"/>
          <w:szCs w:val="24"/>
        </w:rPr>
        <w:t xml:space="preserve">план </w:t>
      </w:r>
      <w:r w:rsidR="00E8498B" w:rsidRPr="00B439D7">
        <w:rPr>
          <w:rFonts w:ascii="Times New Roman" w:hAnsi="Times New Roman" w:cs="Times New Roman"/>
          <w:sz w:val="24"/>
          <w:szCs w:val="24"/>
        </w:rPr>
        <w:t>за ваксиниране срещу Covid-19, приет с РМС №</w:t>
      </w:r>
      <w:r w:rsidRPr="00B439D7">
        <w:rPr>
          <w:rFonts w:ascii="Times New Roman" w:hAnsi="Times New Roman" w:cs="Times New Roman"/>
          <w:sz w:val="24"/>
          <w:szCs w:val="24"/>
        </w:rPr>
        <w:t>896/2020 г.</w:t>
      </w:r>
    </w:p>
    <w:p w14:paraId="009E16CA" w14:textId="77777777" w:rsidR="006028A5" w:rsidRPr="00B439D7" w:rsidRDefault="00B439D7" w:rsidP="00B439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и</w:t>
      </w:r>
      <w:r w:rsidR="006028A5" w:rsidRPr="00B439D7">
        <w:rPr>
          <w:rFonts w:ascii="Times New Roman" w:hAnsi="Times New Roman" w:cs="Times New Roman"/>
          <w:sz w:val="24"/>
          <w:szCs w:val="24"/>
        </w:rPr>
        <w:t xml:space="preserve">зпълнение на </w:t>
      </w:r>
      <w:r w:rsidR="006028A5" w:rsidRPr="00B439D7">
        <w:rPr>
          <w:rFonts w:ascii="Times New Roman" w:hAnsi="Times New Roman" w:cs="Times New Roman"/>
          <w:b/>
          <w:sz w:val="24"/>
          <w:szCs w:val="24"/>
        </w:rPr>
        <w:t xml:space="preserve">Националната програма за подобряване на </w:t>
      </w:r>
      <w:proofErr w:type="spellStart"/>
      <w:r w:rsidR="006028A5" w:rsidRPr="00B439D7">
        <w:rPr>
          <w:rFonts w:ascii="Times New Roman" w:hAnsi="Times New Roman" w:cs="Times New Roman"/>
          <w:b/>
          <w:sz w:val="24"/>
          <w:szCs w:val="24"/>
        </w:rPr>
        <w:t>ваксинопрофилактиката</w:t>
      </w:r>
      <w:proofErr w:type="spellEnd"/>
      <w:r w:rsidR="006028A5" w:rsidRPr="00B439D7">
        <w:rPr>
          <w:rFonts w:ascii="Times New Roman" w:hAnsi="Times New Roman" w:cs="Times New Roman"/>
          <w:b/>
          <w:sz w:val="24"/>
          <w:szCs w:val="24"/>
        </w:rPr>
        <w:t xml:space="preserve"> на сезонния грип и на </w:t>
      </w:r>
      <w:proofErr w:type="spellStart"/>
      <w:r w:rsidR="006028A5" w:rsidRPr="00B439D7">
        <w:rPr>
          <w:rFonts w:ascii="Times New Roman" w:hAnsi="Times New Roman" w:cs="Times New Roman"/>
          <w:b/>
          <w:sz w:val="24"/>
          <w:szCs w:val="24"/>
        </w:rPr>
        <w:t>пневмококовите</w:t>
      </w:r>
      <w:proofErr w:type="spellEnd"/>
      <w:r w:rsidR="006028A5" w:rsidRPr="00B439D7">
        <w:rPr>
          <w:rFonts w:ascii="Times New Roman" w:hAnsi="Times New Roman" w:cs="Times New Roman"/>
          <w:b/>
          <w:sz w:val="24"/>
          <w:szCs w:val="24"/>
        </w:rPr>
        <w:t xml:space="preserve"> </w:t>
      </w:r>
      <w:r w:rsidRPr="00B439D7">
        <w:rPr>
          <w:rFonts w:ascii="Times New Roman" w:hAnsi="Times New Roman" w:cs="Times New Roman"/>
          <w:b/>
          <w:sz w:val="24"/>
          <w:szCs w:val="24"/>
        </w:rPr>
        <w:t>инфекции при лица на и над 65 г.</w:t>
      </w:r>
      <w:r w:rsidR="006028A5" w:rsidRPr="00B439D7">
        <w:rPr>
          <w:rFonts w:ascii="Times New Roman" w:hAnsi="Times New Roman" w:cs="Times New Roman"/>
          <w:b/>
          <w:sz w:val="24"/>
          <w:szCs w:val="24"/>
        </w:rPr>
        <w:t xml:space="preserve"> 2023-2026 г.</w:t>
      </w:r>
      <w:r>
        <w:rPr>
          <w:rFonts w:ascii="Times New Roman" w:hAnsi="Times New Roman" w:cs="Times New Roman"/>
          <w:sz w:val="24"/>
          <w:szCs w:val="24"/>
        </w:rPr>
        <w:t xml:space="preserve"> </w:t>
      </w:r>
      <w:r w:rsidR="006028A5" w:rsidRPr="00B439D7">
        <w:rPr>
          <w:rFonts w:ascii="Times New Roman" w:hAnsi="Times New Roman" w:cs="Times New Roman"/>
          <w:sz w:val="24"/>
          <w:szCs w:val="24"/>
        </w:rPr>
        <w:t xml:space="preserve"> на регионално ниво </w:t>
      </w:r>
      <w:r>
        <w:rPr>
          <w:rFonts w:ascii="Times New Roman" w:hAnsi="Times New Roman" w:cs="Times New Roman"/>
          <w:sz w:val="24"/>
          <w:szCs w:val="24"/>
        </w:rPr>
        <w:t>п</w:t>
      </w:r>
      <w:r w:rsidRPr="00B439D7">
        <w:rPr>
          <w:rFonts w:ascii="Times New Roman" w:hAnsi="Times New Roman" w:cs="Times New Roman"/>
          <w:sz w:val="24"/>
          <w:szCs w:val="24"/>
        </w:rPr>
        <w:t>рез 202</w:t>
      </w:r>
      <w:r w:rsidRPr="00B439D7">
        <w:rPr>
          <w:rFonts w:ascii="Times New Roman" w:hAnsi="Times New Roman" w:cs="Times New Roman"/>
          <w:sz w:val="24"/>
          <w:szCs w:val="24"/>
          <w:lang w:val="en-US"/>
        </w:rPr>
        <w:t>4</w:t>
      </w:r>
      <w:r>
        <w:rPr>
          <w:rFonts w:ascii="Times New Roman" w:hAnsi="Times New Roman" w:cs="Times New Roman"/>
          <w:sz w:val="24"/>
          <w:szCs w:val="24"/>
        </w:rPr>
        <w:t xml:space="preserve"> г. </w:t>
      </w:r>
      <w:r w:rsidR="006028A5" w:rsidRPr="00B439D7">
        <w:rPr>
          <w:rFonts w:ascii="Times New Roman" w:hAnsi="Times New Roman" w:cs="Times New Roman"/>
          <w:sz w:val="24"/>
          <w:szCs w:val="24"/>
        </w:rPr>
        <w:t xml:space="preserve">са проведени семинари във всеки </w:t>
      </w:r>
      <w:r w:rsidR="00CF5D86" w:rsidRPr="00B439D7">
        <w:rPr>
          <w:rFonts w:ascii="Times New Roman" w:hAnsi="Times New Roman" w:cs="Times New Roman"/>
          <w:sz w:val="24"/>
          <w:szCs w:val="24"/>
        </w:rPr>
        <w:t>административен</w:t>
      </w:r>
      <w:r w:rsidR="006028A5" w:rsidRPr="00B439D7">
        <w:rPr>
          <w:rFonts w:ascii="Times New Roman" w:hAnsi="Times New Roman" w:cs="Times New Roman"/>
          <w:sz w:val="24"/>
          <w:szCs w:val="24"/>
        </w:rPr>
        <w:t xml:space="preserve"> район на страната с медицински специалисти – изпълнители на националната програма.</w:t>
      </w:r>
    </w:p>
    <w:p w14:paraId="4BDCF12A" w14:textId="77777777" w:rsidR="006028A5" w:rsidRPr="00B439D7" w:rsidRDefault="006028A5" w:rsidP="00B439D7">
      <w:pPr>
        <w:spacing w:after="0" w:line="240" w:lineRule="auto"/>
        <w:ind w:firstLine="709"/>
        <w:jc w:val="both"/>
        <w:rPr>
          <w:rFonts w:ascii="Times New Roman" w:hAnsi="Times New Roman" w:cs="Times New Roman"/>
          <w:sz w:val="24"/>
          <w:szCs w:val="24"/>
        </w:rPr>
      </w:pPr>
      <w:r w:rsidRPr="00B439D7">
        <w:rPr>
          <w:rFonts w:ascii="Times New Roman" w:hAnsi="Times New Roman" w:cs="Times New Roman"/>
          <w:sz w:val="24"/>
          <w:szCs w:val="24"/>
        </w:rPr>
        <w:t xml:space="preserve">Проведени са и 2 регионални форума, организирани от РЗИ </w:t>
      </w:r>
      <w:r w:rsidR="00B439D7">
        <w:rPr>
          <w:rFonts w:ascii="Times New Roman" w:hAnsi="Times New Roman" w:cs="Times New Roman"/>
          <w:sz w:val="24"/>
          <w:szCs w:val="24"/>
        </w:rPr>
        <w:t xml:space="preserve">– </w:t>
      </w:r>
      <w:r w:rsidRPr="00B439D7">
        <w:rPr>
          <w:rFonts w:ascii="Times New Roman" w:hAnsi="Times New Roman" w:cs="Times New Roman"/>
          <w:sz w:val="24"/>
          <w:szCs w:val="24"/>
        </w:rPr>
        <w:t xml:space="preserve">Варна и Благоевград, свързани с </w:t>
      </w:r>
      <w:proofErr w:type="spellStart"/>
      <w:r w:rsidRPr="00B439D7">
        <w:rPr>
          <w:rFonts w:ascii="Times New Roman" w:hAnsi="Times New Roman" w:cs="Times New Roman"/>
          <w:sz w:val="24"/>
          <w:szCs w:val="24"/>
        </w:rPr>
        <w:t>ваксинопрофилактиката</w:t>
      </w:r>
      <w:proofErr w:type="spellEnd"/>
      <w:r w:rsidRPr="00B439D7">
        <w:rPr>
          <w:rFonts w:ascii="Times New Roman" w:hAnsi="Times New Roman" w:cs="Times New Roman"/>
          <w:sz w:val="24"/>
          <w:szCs w:val="24"/>
        </w:rPr>
        <w:t xml:space="preserve"> на сезонен грип и </w:t>
      </w:r>
      <w:proofErr w:type="spellStart"/>
      <w:r w:rsidRPr="00B439D7">
        <w:rPr>
          <w:rFonts w:ascii="Times New Roman" w:hAnsi="Times New Roman" w:cs="Times New Roman"/>
          <w:sz w:val="24"/>
          <w:szCs w:val="24"/>
        </w:rPr>
        <w:t>пневмококови</w:t>
      </w:r>
      <w:proofErr w:type="spellEnd"/>
      <w:r w:rsidRPr="00B439D7">
        <w:rPr>
          <w:rFonts w:ascii="Times New Roman" w:hAnsi="Times New Roman" w:cs="Times New Roman"/>
          <w:sz w:val="24"/>
          <w:szCs w:val="24"/>
        </w:rPr>
        <w:t xml:space="preserve"> инфекции. Изготвени и разпространени в страната са по 70 000 брошури относно създадената възможност за ваксинация срещу сезонен грип и срещу </w:t>
      </w:r>
      <w:proofErr w:type="spellStart"/>
      <w:r w:rsidRPr="00B439D7">
        <w:rPr>
          <w:rFonts w:ascii="Times New Roman" w:hAnsi="Times New Roman" w:cs="Times New Roman"/>
          <w:sz w:val="24"/>
          <w:szCs w:val="24"/>
        </w:rPr>
        <w:t>пневмококови</w:t>
      </w:r>
      <w:proofErr w:type="spellEnd"/>
      <w:r w:rsidRPr="00B439D7">
        <w:rPr>
          <w:rFonts w:ascii="Times New Roman" w:hAnsi="Times New Roman" w:cs="Times New Roman"/>
          <w:sz w:val="24"/>
          <w:szCs w:val="24"/>
        </w:rPr>
        <w:t xml:space="preserve"> инфекции за лицата на и над 65 г. по национална</w:t>
      </w:r>
      <w:r w:rsidR="00B439D7">
        <w:rPr>
          <w:rFonts w:ascii="Times New Roman" w:hAnsi="Times New Roman" w:cs="Times New Roman"/>
          <w:sz w:val="24"/>
          <w:szCs w:val="24"/>
        </w:rPr>
        <w:t>та</w:t>
      </w:r>
      <w:r w:rsidRPr="00B439D7">
        <w:rPr>
          <w:rFonts w:ascii="Times New Roman" w:hAnsi="Times New Roman" w:cs="Times New Roman"/>
          <w:sz w:val="24"/>
          <w:szCs w:val="24"/>
        </w:rPr>
        <w:t xml:space="preserve"> програма.</w:t>
      </w:r>
    </w:p>
    <w:p w14:paraId="761CB16C" w14:textId="77777777" w:rsidR="006028A5" w:rsidRPr="00B439D7" w:rsidRDefault="00B439D7" w:rsidP="00B439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рамките на националната програма о</w:t>
      </w:r>
      <w:r w:rsidR="006028A5" w:rsidRPr="00B439D7">
        <w:rPr>
          <w:rFonts w:ascii="Times New Roman" w:hAnsi="Times New Roman" w:cs="Times New Roman"/>
          <w:sz w:val="24"/>
          <w:szCs w:val="24"/>
        </w:rPr>
        <w:t>т 2024 г. в страната стартира безплатна ваксинац</w:t>
      </w:r>
      <w:r>
        <w:rPr>
          <w:rFonts w:ascii="Times New Roman" w:hAnsi="Times New Roman" w:cs="Times New Roman"/>
          <w:sz w:val="24"/>
          <w:szCs w:val="24"/>
        </w:rPr>
        <w:t xml:space="preserve">ия срещу </w:t>
      </w:r>
      <w:proofErr w:type="spellStart"/>
      <w:r>
        <w:rPr>
          <w:rFonts w:ascii="Times New Roman" w:hAnsi="Times New Roman" w:cs="Times New Roman"/>
          <w:sz w:val="24"/>
          <w:szCs w:val="24"/>
        </w:rPr>
        <w:t>пневмококови</w:t>
      </w:r>
      <w:proofErr w:type="spellEnd"/>
      <w:r>
        <w:rPr>
          <w:rFonts w:ascii="Times New Roman" w:hAnsi="Times New Roman" w:cs="Times New Roman"/>
          <w:sz w:val="24"/>
          <w:szCs w:val="24"/>
        </w:rPr>
        <w:t xml:space="preserve"> инфекции. </w:t>
      </w:r>
      <w:r w:rsidR="006028A5" w:rsidRPr="00B439D7">
        <w:rPr>
          <w:rFonts w:ascii="Times New Roman" w:hAnsi="Times New Roman" w:cs="Times New Roman"/>
          <w:sz w:val="24"/>
          <w:szCs w:val="24"/>
        </w:rPr>
        <w:t xml:space="preserve">По данни на НЗОК са приложени 48 708 дози </w:t>
      </w:r>
      <w:proofErr w:type="spellStart"/>
      <w:r w:rsidR="006028A5" w:rsidRPr="00B439D7">
        <w:rPr>
          <w:rFonts w:ascii="Times New Roman" w:hAnsi="Times New Roman" w:cs="Times New Roman"/>
          <w:sz w:val="24"/>
          <w:szCs w:val="24"/>
        </w:rPr>
        <w:t>пневмококова</w:t>
      </w:r>
      <w:proofErr w:type="spellEnd"/>
      <w:r w:rsidR="006028A5" w:rsidRPr="00B439D7">
        <w:rPr>
          <w:rFonts w:ascii="Times New Roman" w:hAnsi="Times New Roman" w:cs="Times New Roman"/>
          <w:sz w:val="24"/>
          <w:szCs w:val="24"/>
        </w:rPr>
        <w:t xml:space="preserve"> ваксина на лицата от целевата група.</w:t>
      </w:r>
    </w:p>
    <w:p w14:paraId="45CF6762" w14:textId="77777777" w:rsidR="006028A5" w:rsidRPr="00B439D7" w:rsidRDefault="006028A5" w:rsidP="00B439D7">
      <w:pPr>
        <w:spacing w:after="0" w:line="240" w:lineRule="auto"/>
        <w:ind w:firstLine="709"/>
        <w:jc w:val="both"/>
        <w:rPr>
          <w:rFonts w:ascii="Times New Roman" w:hAnsi="Times New Roman" w:cs="Times New Roman"/>
          <w:sz w:val="24"/>
          <w:szCs w:val="24"/>
        </w:rPr>
      </w:pPr>
      <w:r w:rsidRPr="00B439D7">
        <w:rPr>
          <w:rFonts w:ascii="Times New Roman" w:hAnsi="Times New Roman" w:cs="Times New Roman"/>
          <w:sz w:val="24"/>
          <w:szCs w:val="24"/>
        </w:rPr>
        <w:t>За грипен сезон 2024/2025</w:t>
      </w:r>
      <w:r w:rsidR="00B439D7">
        <w:rPr>
          <w:rFonts w:ascii="Times New Roman" w:hAnsi="Times New Roman" w:cs="Times New Roman"/>
          <w:sz w:val="24"/>
          <w:szCs w:val="24"/>
        </w:rPr>
        <w:t xml:space="preserve"> г.</w:t>
      </w:r>
      <w:r w:rsidRPr="00B439D7">
        <w:rPr>
          <w:rFonts w:ascii="Times New Roman" w:hAnsi="Times New Roman" w:cs="Times New Roman"/>
          <w:sz w:val="24"/>
          <w:szCs w:val="24"/>
        </w:rPr>
        <w:t>, по данни на НЗОК, са приложени 328 146 дози ваксина срещу сезонен грип на лица на и над 65 г.</w:t>
      </w:r>
    </w:p>
    <w:p w14:paraId="40BDEADA" w14:textId="77777777" w:rsidR="006028A5" w:rsidRPr="00B439D7" w:rsidRDefault="006028A5" w:rsidP="00B439D7">
      <w:pPr>
        <w:spacing w:after="0" w:line="240" w:lineRule="auto"/>
        <w:ind w:firstLine="709"/>
        <w:jc w:val="both"/>
        <w:rPr>
          <w:rFonts w:ascii="Times New Roman" w:hAnsi="Times New Roman" w:cs="Times New Roman"/>
          <w:sz w:val="24"/>
          <w:szCs w:val="24"/>
        </w:rPr>
      </w:pPr>
      <w:r w:rsidRPr="00B439D7">
        <w:rPr>
          <w:rFonts w:ascii="Times New Roman" w:hAnsi="Times New Roman" w:cs="Times New Roman"/>
          <w:sz w:val="24"/>
          <w:szCs w:val="24"/>
        </w:rPr>
        <w:t>По отношение на информиран</w:t>
      </w:r>
      <w:r w:rsidR="00B439D7">
        <w:rPr>
          <w:rFonts w:ascii="Times New Roman" w:hAnsi="Times New Roman" w:cs="Times New Roman"/>
          <w:sz w:val="24"/>
          <w:szCs w:val="24"/>
        </w:rPr>
        <w:t>остта на обществеността, през месец</w:t>
      </w:r>
      <w:r w:rsidRPr="00B439D7">
        <w:rPr>
          <w:rFonts w:ascii="Times New Roman" w:hAnsi="Times New Roman" w:cs="Times New Roman"/>
          <w:sz w:val="24"/>
          <w:szCs w:val="24"/>
        </w:rPr>
        <w:t xml:space="preserve"> октомври е излъчен информационен аудиоклип по радиостанции </w:t>
      </w:r>
      <w:r w:rsidRPr="00B439D7">
        <w:rPr>
          <w:rFonts w:ascii="Times New Roman" w:hAnsi="Times New Roman" w:cs="Times New Roman"/>
          <w:sz w:val="24"/>
          <w:szCs w:val="24"/>
          <w:lang w:val="en-US"/>
        </w:rPr>
        <w:t xml:space="preserve">Fresh!, Z-ROCK, FM+, Melody, Classic A </w:t>
      </w:r>
      <w:r w:rsidRPr="00B439D7">
        <w:rPr>
          <w:rFonts w:ascii="Times New Roman" w:hAnsi="Times New Roman" w:cs="Times New Roman"/>
          <w:sz w:val="24"/>
          <w:szCs w:val="24"/>
        </w:rPr>
        <w:t>за популяризиране на дейностите по имунизация по националната програма. В продължение на 3 месеца, веднъж седмично</w:t>
      </w:r>
      <w:r w:rsidR="00B439D7">
        <w:rPr>
          <w:rFonts w:ascii="Times New Roman" w:hAnsi="Times New Roman" w:cs="Times New Roman"/>
          <w:sz w:val="24"/>
          <w:szCs w:val="24"/>
        </w:rPr>
        <w:t>,</w:t>
      </w:r>
      <w:r w:rsidRPr="00B439D7">
        <w:rPr>
          <w:rFonts w:ascii="Times New Roman" w:hAnsi="Times New Roman" w:cs="Times New Roman"/>
          <w:sz w:val="24"/>
          <w:szCs w:val="24"/>
        </w:rPr>
        <w:t xml:space="preserve"> във вестник </w:t>
      </w:r>
      <w:r w:rsidR="00B439D7">
        <w:rPr>
          <w:rFonts w:ascii="Times New Roman" w:hAnsi="Times New Roman" w:cs="Times New Roman"/>
          <w:sz w:val="24"/>
          <w:szCs w:val="24"/>
        </w:rPr>
        <w:t>„</w:t>
      </w:r>
      <w:r w:rsidRPr="00B439D7">
        <w:rPr>
          <w:rFonts w:ascii="Times New Roman" w:hAnsi="Times New Roman" w:cs="Times New Roman"/>
          <w:sz w:val="24"/>
          <w:szCs w:val="24"/>
        </w:rPr>
        <w:t>Телеграф</w:t>
      </w:r>
      <w:r w:rsidR="00B439D7">
        <w:rPr>
          <w:rFonts w:ascii="Times New Roman" w:hAnsi="Times New Roman" w:cs="Times New Roman"/>
          <w:sz w:val="24"/>
          <w:szCs w:val="24"/>
        </w:rPr>
        <w:t>“</w:t>
      </w:r>
      <w:r w:rsidRPr="00B439D7">
        <w:rPr>
          <w:rFonts w:ascii="Times New Roman" w:hAnsi="Times New Roman" w:cs="Times New Roman"/>
          <w:sz w:val="24"/>
          <w:szCs w:val="24"/>
        </w:rPr>
        <w:t xml:space="preserve"> бе публикувана рекламна публикация за ваксинацията срещу сезонен грип по националната програма.</w:t>
      </w:r>
    </w:p>
    <w:p w14:paraId="50E77547" w14:textId="77777777" w:rsidR="006028A5" w:rsidRPr="00B439D7" w:rsidRDefault="006028A5" w:rsidP="00B439D7">
      <w:pPr>
        <w:spacing w:after="0" w:line="240" w:lineRule="auto"/>
        <w:ind w:firstLine="709"/>
        <w:jc w:val="both"/>
        <w:rPr>
          <w:rFonts w:ascii="Times New Roman" w:hAnsi="Times New Roman" w:cs="Times New Roman"/>
          <w:sz w:val="24"/>
          <w:szCs w:val="24"/>
        </w:rPr>
      </w:pPr>
      <w:r w:rsidRPr="00B439D7">
        <w:rPr>
          <w:rFonts w:ascii="Times New Roman" w:hAnsi="Times New Roman" w:cs="Times New Roman"/>
          <w:sz w:val="24"/>
          <w:szCs w:val="24"/>
        </w:rPr>
        <w:t xml:space="preserve"> Информация за ползите от имунизацията срещу сезонен грип, пневмококи и </w:t>
      </w:r>
      <w:r w:rsidRPr="00B439D7">
        <w:rPr>
          <w:rFonts w:ascii="Times New Roman" w:hAnsi="Times New Roman" w:cs="Times New Roman"/>
          <w:sz w:val="24"/>
          <w:szCs w:val="24"/>
          <w:lang w:val="en-US"/>
        </w:rPr>
        <w:t xml:space="preserve">COVID-19 </w:t>
      </w:r>
      <w:r w:rsidRPr="00B439D7">
        <w:rPr>
          <w:rFonts w:ascii="Times New Roman" w:hAnsi="Times New Roman" w:cs="Times New Roman"/>
          <w:sz w:val="24"/>
          <w:szCs w:val="24"/>
        </w:rPr>
        <w:t>е налична и на интерне</w:t>
      </w:r>
      <w:r w:rsidR="00B439D7">
        <w:rPr>
          <w:rFonts w:ascii="Times New Roman" w:hAnsi="Times New Roman" w:cs="Times New Roman"/>
          <w:sz w:val="24"/>
          <w:szCs w:val="24"/>
        </w:rPr>
        <w:t>т страницата за имунизации на Министерството на здравеопазването</w:t>
      </w:r>
      <w:r w:rsidRPr="00B439D7">
        <w:rPr>
          <w:rFonts w:ascii="Times New Roman" w:hAnsi="Times New Roman" w:cs="Times New Roman"/>
          <w:sz w:val="24"/>
          <w:szCs w:val="24"/>
        </w:rPr>
        <w:t xml:space="preserve"> – </w:t>
      </w:r>
      <w:proofErr w:type="spellStart"/>
      <w:r w:rsidRPr="00B439D7">
        <w:rPr>
          <w:rFonts w:ascii="Times New Roman" w:hAnsi="Times New Roman" w:cs="Times New Roman"/>
          <w:sz w:val="24"/>
          <w:szCs w:val="24"/>
        </w:rPr>
        <w:t>ПлюсМен</w:t>
      </w:r>
      <w:proofErr w:type="spellEnd"/>
      <w:r w:rsidRPr="00B439D7">
        <w:rPr>
          <w:rFonts w:ascii="Times New Roman" w:hAnsi="Times New Roman" w:cs="Times New Roman"/>
          <w:sz w:val="24"/>
          <w:szCs w:val="24"/>
        </w:rPr>
        <w:t xml:space="preserve">. Новини за вида на ваксините, приоритетни групи за имунизация, начало на имунизационната кампания 2024/2025 </w:t>
      </w:r>
      <w:r w:rsidR="00B439D7">
        <w:rPr>
          <w:rFonts w:ascii="Times New Roman" w:hAnsi="Times New Roman" w:cs="Times New Roman"/>
          <w:sz w:val="24"/>
          <w:szCs w:val="24"/>
        </w:rPr>
        <w:t xml:space="preserve">г. </w:t>
      </w:r>
      <w:r w:rsidRPr="00B439D7">
        <w:rPr>
          <w:rFonts w:ascii="Times New Roman" w:hAnsi="Times New Roman" w:cs="Times New Roman"/>
          <w:sz w:val="24"/>
          <w:szCs w:val="24"/>
        </w:rPr>
        <w:t xml:space="preserve">за посочените заболявания се публикуват както на интернет страницата, така и във фейсбук страницата на </w:t>
      </w:r>
      <w:proofErr w:type="spellStart"/>
      <w:r w:rsidRPr="00B439D7">
        <w:rPr>
          <w:rFonts w:ascii="Times New Roman" w:hAnsi="Times New Roman" w:cs="Times New Roman"/>
          <w:sz w:val="24"/>
          <w:szCs w:val="24"/>
        </w:rPr>
        <w:t>ПлюсМен</w:t>
      </w:r>
      <w:proofErr w:type="spellEnd"/>
      <w:r w:rsidRPr="00B439D7">
        <w:rPr>
          <w:rFonts w:ascii="Times New Roman" w:hAnsi="Times New Roman" w:cs="Times New Roman"/>
          <w:sz w:val="24"/>
          <w:szCs w:val="24"/>
        </w:rPr>
        <w:t>.</w:t>
      </w:r>
    </w:p>
    <w:p w14:paraId="5A8AF497" w14:textId="77777777" w:rsidR="006028A5" w:rsidRPr="00B439D7" w:rsidRDefault="006028A5" w:rsidP="00B439D7">
      <w:pPr>
        <w:pStyle w:val="ListParagraph"/>
        <w:spacing w:after="0" w:line="240" w:lineRule="auto"/>
        <w:ind w:left="0"/>
        <w:rPr>
          <w:rFonts w:ascii="Times New Roman" w:hAnsi="Times New Roman" w:cs="Times New Roman"/>
          <w:b/>
          <w:sz w:val="24"/>
          <w:szCs w:val="24"/>
        </w:rPr>
      </w:pPr>
    </w:p>
    <w:p w14:paraId="1FD62FDB" w14:textId="77777777" w:rsidR="00ED133B" w:rsidRPr="00B439D7" w:rsidRDefault="00ED133B" w:rsidP="00B439D7">
      <w:pPr>
        <w:pStyle w:val="ListParagraph"/>
        <w:spacing w:after="0" w:line="240" w:lineRule="auto"/>
        <w:ind w:left="0"/>
        <w:jc w:val="center"/>
        <w:rPr>
          <w:rFonts w:ascii="Times New Roman" w:hAnsi="Times New Roman" w:cs="Times New Roman"/>
          <w:b/>
          <w:sz w:val="24"/>
          <w:szCs w:val="24"/>
        </w:rPr>
      </w:pPr>
      <w:r w:rsidRPr="00B439D7">
        <w:rPr>
          <w:rFonts w:ascii="Times New Roman" w:eastAsia="Calibri" w:hAnsi="Times New Roman" w:cs="Times New Roman"/>
          <w:b/>
          <w:caps/>
          <w:color w:val="C0504D"/>
          <w:sz w:val="24"/>
          <w:szCs w:val="24"/>
        </w:rPr>
        <w:t>МИНИСТЕРСТВО НА ЗДРАВЕОПАЗВАНЕТО</w:t>
      </w:r>
    </w:p>
    <w:p w14:paraId="76F6A6B8" w14:textId="77777777" w:rsidR="00ED133B" w:rsidRPr="00B439D7" w:rsidRDefault="00ED133B" w:rsidP="00B439D7">
      <w:pPr>
        <w:pStyle w:val="ListParagraph"/>
        <w:spacing w:after="0" w:line="240" w:lineRule="auto"/>
        <w:ind w:left="0"/>
        <w:rPr>
          <w:rFonts w:ascii="Times New Roman" w:hAnsi="Times New Roman" w:cs="Times New Roman"/>
          <w:b/>
          <w:sz w:val="24"/>
          <w:szCs w:val="24"/>
        </w:rPr>
      </w:pPr>
    </w:p>
    <w:p w14:paraId="6F66C997" w14:textId="77777777" w:rsidR="006E5C93" w:rsidRPr="00B439D7" w:rsidRDefault="00BD0D8F" w:rsidP="00B439D7">
      <w:pPr>
        <w:pStyle w:val="ListParagraph"/>
        <w:spacing w:after="0" w:line="240" w:lineRule="auto"/>
        <w:ind w:left="0"/>
        <w:jc w:val="both"/>
        <w:rPr>
          <w:rFonts w:ascii="Times New Roman" w:hAnsi="Times New Roman" w:cs="Times New Roman"/>
          <w:b/>
          <w:sz w:val="24"/>
          <w:szCs w:val="24"/>
        </w:rPr>
      </w:pPr>
      <w:r w:rsidRPr="00B439D7">
        <w:rPr>
          <w:rFonts w:ascii="Times New Roman" w:hAnsi="Times New Roman" w:cs="Times New Roman"/>
          <w:b/>
          <w:sz w:val="24"/>
          <w:szCs w:val="24"/>
        </w:rPr>
        <w:t>3.1.2. Модернизиране на системата за спешна медицинска помощ</w:t>
      </w:r>
    </w:p>
    <w:p w14:paraId="5550A3A9" w14:textId="77777777" w:rsidR="00ED133B" w:rsidRPr="00B439D7" w:rsidRDefault="00ED133B" w:rsidP="00B439D7">
      <w:pPr>
        <w:pStyle w:val="ListParagraph"/>
        <w:spacing w:after="0" w:line="240" w:lineRule="auto"/>
        <w:ind w:left="0"/>
        <w:rPr>
          <w:rFonts w:ascii="Times New Roman" w:hAnsi="Times New Roman" w:cs="Times New Roman"/>
          <w:b/>
          <w:sz w:val="24"/>
          <w:szCs w:val="24"/>
        </w:rPr>
      </w:pPr>
    </w:p>
    <w:p w14:paraId="11A36356" w14:textId="77777777" w:rsidR="006028A5" w:rsidRPr="00D06E61" w:rsidRDefault="00B439D7" w:rsidP="00D06E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028A5" w:rsidRPr="00B439D7">
        <w:rPr>
          <w:rFonts w:ascii="Times New Roman" w:hAnsi="Times New Roman" w:cs="Times New Roman"/>
          <w:sz w:val="24"/>
          <w:szCs w:val="24"/>
        </w:rPr>
        <w:t>Брой модернизирани обе</w:t>
      </w:r>
      <w:r>
        <w:rPr>
          <w:rFonts w:ascii="Times New Roman" w:hAnsi="Times New Roman" w:cs="Times New Roman"/>
          <w:sz w:val="24"/>
          <w:szCs w:val="24"/>
        </w:rPr>
        <w:t>кти за спешна медицинска помощ –</w:t>
      </w:r>
      <w:r w:rsidR="006028A5" w:rsidRPr="00B439D7">
        <w:rPr>
          <w:rFonts w:ascii="Times New Roman" w:hAnsi="Times New Roman" w:cs="Times New Roman"/>
          <w:sz w:val="24"/>
          <w:szCs w:val="24"/>
        </w:rPr>
        <w:t xml:space="preserve"> изпълнени</w:t>
      </w:r>
      <w:r>
        <w:rPr>
          <w:rFonts w:ascii="Times New Roman" w:hAnsi="Times New Roman" w:cs="Times New Roman"/>
          <w:sz w:val="24"/>
          <w:szCs w:val="24"/>
        </w:rPr>
        <w:t xml:space="preserve"> са</w:t>
      </w:r>
      <w:r w:rsidR="006028A5" w:rsidRPr="00B439D7">
        <w:rPr>
          <w:rFonts w:ascii="Times New Roman" w:hAnsi="Times New Roman" w:cs="Times New Roman"/>
          <w:sz w:val="24"/>
          <w:szCs w:val="24"/>
        </w:rPr>
        <w:t xml:space="preserve"> </w:t>
      </w:r>
      <w:r w:rsidRPr="00B439D7">
        <w:rPr>
          <w:rFonts w:ascii="Times New Roman" w:hAnsi="Times New Roman" w:cs="Times New Roman"/>
          <w:sz w:val="24"/>
          <w:szCs w:val="24"/>
        </w:rPr>
        <w:t xml:space="preserve">строително-монтажни работи </w:t>
      </w:r>
      <w:r>
        <w:rPr>
          <w:rFonts w:ascii="Times New Roman" w:hAnsi="Times New Roman" w:cs="Times New Roman"/>
          <w:sz w:val="24"/>
          <w:szCs w:val="24"/>
        </w:rPr>
        <w:t>(</w:t>
      </w:r>
      <w:r w:rsidR="006028A5" w:rsidRPr="00B439D7">
        <w:rPr>
          <w:rFonts w:ascii="Times New Roman" w:hAnsi="Times New Roman" w:cs="Times New Roman"/>
          <w:sz w:val="24"/>
          <w:szCs w:val="24"/>
        </w:rPr>
        <w:t>СМР</w:t>
      </w:r>
      <w:r>
        <w:rPr>
          <w:rFonts w:ascii="Times New Roman" w:hAnsi="Times New Roman" w:cs="Times New Roman"/>
          <w:sz w:val="24"/>
          <w:szCs w:val="24"/>
        </w:rPr>
        <w:t>)</w:t>
      </w:r>
      <w:r w:rsidR="006028A5" w:rsidRPr="00B439D7">
        <w:rPr>
          <w:rFonts w:ascii="Times New Roman" w:hAnsi="Times New Roman" w:cs="Times New Roman"/>
          <w:sz w:val="24"/>
          <w:szCs w:val="24"/>
        </w:rPr>
        <w:t xml:space="preserve"> – 89 обекта от системата за спешна медицинска </w:t>
      </w:r>
      <w:r w:rsidR="006028A5" w:rsidRPr="00B439D7">
        <w:rPr>
          <w:rFonts w:ascii="Times New Roman" w:hAnsi="Times New Roman" w:cs="Times New Roman"/>
          <w:sz w:val="24"/>
          <w:szCs w:val="24"/>
        </w:rPr>
        <w:lastRenderedPageBreak/>
        <w:t xml:space="preserve">помощ в страната. Доставено </w:t>
      </w:r>
      <w:r w:rsidR="00D06E61">
        <w:rPr>
          <w:rFonts w:ascii="Times New Roman" w:hAnsi="Times New Roman" w:cs="Times New Roman"/>
          <w:sz w:val="24"/>
          <w:szCs w:val="24"/>
        </w:rPr>
        <w:t xml:space="preserve">е </w:t>
      </w:r>
      <w:r w:rsidR="006028A5" w:rsidRPr="00B439D7">
        <w:rPr>
          <w:rFonts w:ascii="Times New Roman" w:hAnsi="Times New Roman" w:cs="Times New Roman"/>
          <w:sz w:val="24"/>
          <w:szCs w:val="24"/>
        </w:rPr>
        <w:t xml:space="preserve">медицинско оборудване, обзавеждане и медицинска </w:t>
      </w:r>
      <w:r w:rsidR="006028A5" w:rsidRPr="00D06E61">
        <w:rPr>
          <w:rFonts w:ascii="Times New Roman" w:hAnsi="Times New Roman" w:cs="Times New Roman"/>
          <w:sz w:val="24"/>
          <w:szCs w:val="24"/>
        </w:rPr>
        <w:t>апаратура във всички обекти от системата за спешна медицинска помощ.</w:t>
      </w:r>
    </w:p>
    <w:p w14:paraId="4426A505" w14:textId="77777777" w:rsidR="006028A5" w:rsidRPr="00D06E61" w:rsidRDefault="00B439D7" w:rsidP="00D06E61">
      <w:pPr>
        <w:spacing w:after="0" w:line="240" w:lineRule="auto"/>
        <w:jc w:val="both"/>
        <w:rPr>
          <w:rFonts w:ascii="Times New Roman" w:hAnsi="Times New Roman" w:cs="Times New Roman"/>
          <w:sz w:val="24"/>
          <w:szCs w:val="24"/>
        </w:rPr>
      </w:pPr>
      <w:r w:rsidRPr="00D06E61">
        <w:rPr>
          <w:rFonts w:ascii="Times New Roman" w:hAnsi="Times New Roman" w:cs="Times New Roman"/>
          <w:sz w:val="24"/>
          <w:szCs w:val="24"/>
        </w:rPr>
        <w:tab/>
      </w:r>
      <w:r w:rsidR="006028A5" w:rsidRPr="00D06E61">
        <w:rPr>
          <w:rFonts w:ascii="Times New Roman" w:hAnsi="Times New Roman" w:cs="Times New Roman"/>
          <w:sz w:val="24"/>
          <w:szCs w:val="24"/>
        </w:rPr>
        <w:t>Брой закупени съвременни медицински превозни средства – линейки – 392 броя.</w:t>
      </w:r>
    </w:p>
    <w:p w14:paraId="1995954C" w14:textId="77777777" w:rsidR="006028A5" w:rsidRPr="00D06E61" w:rsidRDefault="006028A5" w:rsidP="00D06E61">
      <w:pPr>
        <w:pStyle w:val="ListParagraph"/>
        <w:spacing w:after="0" w:line="240" w:lineRule="auto"/>
        <w:ind w:left="0"/>
        <w:jc w:val="both"/>
        <w:rPr>
          <w:rFonts w:ascii="Times New Roman" w:hAnsi="Times New Roman" w:cs="Times New Roman"/>
          <w:b/>
          <w:sz w:val="24"/>
          <w:szCs w:val="24"/>
        </w:rPr>
      </w:pPr>
    </w:p>
    <w:p w14:paraId="1A8D4E57" w14:textId="77777777" w:rsidR="00ED133B" w:rsidRPr="00D06E61" w:rsidRDefault="00ED133B" w:rsidP="00D06E61">
      <w:pPr>
        <w:pStyle w:val="ListParagraph"/>
        <w:spacing w:after="0" w:line="240" w:lineRule="auto"/>
        <w:ind w:left="0"/>
        <w:jc w:val="center"/>
        <w:rPr>
          <w:rFonts w:ascii="Times New Roman" w:hAnsi="Times New Roman" w:cs="Times New Roman"/>
          <w:b/>
          <w:sz w:val="24"/>
          <w:szCs w:val="24"/>
        </w:rPr>
      </w:pPr>
      <w:r w:rsidRPr="00D06E61">
        <w:rPr>
          <w:rFonts w:ascii="Times New Roman" w:eastAsia="Calibri" w:hAnsi="Times New Roman" w:cs="Times New Roman"/>
          <w:b/>
          <w:caps/>
          <w:color w:val="C0504D"/>
          <w:sz w:val="24"/>
          <w:szCs w:val="24"/>
        </w:rPr>
        <w:t>МИНИСТЕРСТВО НА ЗДРАВЕОПАЗВАНЕТО</w:t>
      </w:r>
    </w:p>
    <w:p w14:paraId="3A032F41" w14:textId="77777777" w:rsidR="00ED133B" w:rsidRPr="00D06E61" w:rsidRDefault="00ED133B" w:rsidP="00D06E61">
      <w:pPr>
        <w:pStyle w:val="ListParagraph"/>
        <w:spacing w:after="0" w:line="240" w:lineRule="auto"/>
        <w:ind w:left="0"/>
        <w:jc w:val="both"/>
        <w:rPr>
          <w:rFonts w:ascii="Times New Roman" w:hAnsi="Times New Roman" w:cs="Times New Roman"/>
          <w:b/>
          <w:sz w:val="24"/>
          <w:szCs w:val="24"/>
        </w:rPr>
      </w:pPr>
    </w:p>
    <w:p w14:paraId="2738ADAD" w14:textId="77777777" w:rsidR="00ED133B" w:rsidRPr="00D06E61" w:rsidRDefault="00BD0D8F" w:rsidP="00D06E61">
      <w:pPr>
        <w:pStyle w:val="ListParagraph"/>
        <w:spacing w:after="0" w:line="240" w:lineRule="auto"/>
        <w:ind w:left="0"/>
        <w:jc w:val="both"/>
        <w:rPr>
          <w:rFonts w:ascii="Times New Roman" w:hAnsi="Times New Roman" w:cs="Times New Roman"/>
          <w:b/>
          <w:sz w:val="24"/>
          <w:szCs w:val="24"/>
        </w:rPr>
      </w:pPr>
      <w:r w:rsidRPr="00D06E61">
        <w:rPr>
          <w:rFonts w:ascii="Times New Roman" w:hAnsi="Times New Roman" w:cs="Times New Roman"/>
          <w:b/>
          <w:sz w:val="24"/>
          <w:szCs w:val="24"/>
        </w:rPr>
        <w:t>3.1.3. Подпомагане на общопрактикуващи лекари (индивидуални и групови практики) и медицински специалисти, с фокус върху отдалечени и труднодос</w:t>
      </w:r>
      <w:r w:rsidR="00ED133B" w:rsidRPr="00D06E61">
        <w:rPr>
          <w:rFonts w:ascii="Times New Roman" w:hAnsi="Times New Roman" w:cs="Times New Roman"/>
          <w:b/>
          <w:sz w:val="24"/>
          <w:szCs w:val="24"/>
        </w:rPr>
        <w:t>тъпни места</w:t>
      </w:r>
    </w:p>
    <w:p w14:paraId="446B9040" w14:textId="77777777" w:rsidR="00D06E61" w:rsidRPr="00D06E61" w:rsidRDefault="00D06E61" w:rsidP="00D06E61">
      <w:pPr>
        <w:spacing w:after="0" w:line="240" w:lineRule="auto"/>
        <w:ind w:firstLine="709"/>
        <w:jc w:val="both"/>
        <w:rPr>
          <w:rFonts w:ascii="Times New Roman" w:eastAsiaTheme="minorEastAsia" w:hAnsi="Times New Roman" w:cs="Times New Roman"/>
          <w:b/>
          <w:sz w:val="24"/>
          <w:szCs w:val="24"/>
        </w:rPr>
      </w:pPr>
    </w:p>
    <w:p w14:paraId="6D89CF3F" w14:textId="77777777" w:rsidR="006028A5" w:rsidRPr="00D06E61" w:rsidRDefault="006028A5" w:rsidP="00D06E61">
      <w:pPr>
        <w:spacing w:after="0" w:line="240" w:lineRule="auto"/>
        <w:ind w:firstLine="709"/>
        <w:jc w:val="both"/>
        <w:rPr>
          <w:rFonts w:ascii="Times New Roman" w:hAnsi="Times New Roman" w:cs="Times New Roman"/>
          <w:sz w:val="24"/>
          <w:szCs w:val="24"/>
        </w:rPr>
      </w:pPr>
      <w:r w:rsidRPr="00D06E61">
        <w:rPr>
          <w:rFonts w:ascii="Times New Roman" w:hAnsi="Times New Roman" w:cs="Times New Roman"/>
          <w:sz w:val="24"/>
          <w:szCs w:val="24"/>
        </w:rPr>
        <w:t>Мярката не е изпълнена поради неподписано оперативно споразумение за изпълнение на инвестицията C12.I7. Развитие на амбулаторните грижи по Националния план за възстановяване и устойчивост между Министерство на здравеопазването и Министерство на финансите.</w:t>
      </w:r>
    </w:p>
    <w:p w14:paraId="5AE0A895" w14:textId="77777777" w:rsidR="006028A5" w:rsidRPr="00ED133B" w:rsidRDefault="006028A5" w:rsidP="00ED133B">
      <w:pPr>
        <w:pStyle w:val="ListParagraph"/>
        <w:spacing w:after="0" w:line="240" w:lineRule="auto"/>
        <w:ind w:left="0"/>
        <w:jc w:val="both"/>
        <w:rPr>
          <w:rFonts w:ascii="Times New Roman" w:hAnsi="Times New Roman" w:cs="Times New Roman"/>
          <w:b/>
          <w:sz w:val="24"/>
          <w:szCs w:val="24"/>
        </w:rPr>
      </w:pPr>
    </w:p>
    <w:p w14:paraId="77B05057" w14:textId="77777777" w:rsidR="00ED133B" w:rsidRPr="00D06E61" w:rsidRDefault="00ED133B" w:rsidP="00D06E61">
      <w:pPr>
        <w:pStyle w:val="ListParagraph"/>
        <w:spacing w:after="0" w:line="240" w:lineRule="auto"/>
        <w:ind w:left="0"/>
        <w:jc w:val="center"/>
        <w:rPr>
          <w:rFonts w:ascii="Times New Roman" w:hAnsi="Times New Roman" w:cs="Times New Roman"/>
          <w:b/>
          <w:sz w:val="24"/>
          <w:szCs w:val="24"/>
        </w:rPr>
      </w:pPr>
      <w:r w:rsidRPr="00D06E61">
        <w:rPr>
          <w:rFonts w:ascii="Times New Roman" w:eastAsia="Calibri" w:hAnsi="Times New Roman" w:cs="Times New Roman"/>
          <w:b/>
          <w:caps/>
          <w:color w:val="C0504D"/>
          <w:sz w:val="24"/>
          <w:szCs w:val="24"/>
        </w:rPr>
        <w:t>МИНИСТЕРСТВО НА ЗДРАВЕОПАЗВАНЕТО</w:t>
      </w:r>
    </w:p>
    <w:p w14:paraId="42070F3E" w14:textId="77777777" w:rsidR="00ED133B" w:rsidRPr="00D06E61" w:rsidRDefault="00ED133B" w:rsidP="00D06E61">
      <w:pPr>
        <w:pStyle w:val="ListParagraph"/>
        <w:spacing w:after="0" w:line="240" w:lineRule="auto"/>
        <w:ind w:left="0"/>
        <w:jc w:val="both"/>
        <w:rPr>
          <w:rFonts w:ascii="Times New Roman" w:hAnsi="Times New Roman" w:cs="Times New Roman"/>
          <w:b/>
          <w:sz w:val="24"/>
          <w:szCs w:val="24"/>
        </w:rPr>
      </w:pPr>
    </w:p>
    <w:p w14:paraId="23E09E42" w14:textId="77777777" w:rsidR="00BD0D8F" w:rsidRPr="00D06E61" w:rsidRDefault="00447907" w:rsidP="00D06E61">
      <w:pPr>
        <w:pStyle w:val="ListParagraph"/>
        <w:spacing w:after="0" w:line="240" w:lineRule="auto"/>
        <w:ind w:left="0"/>
        <w:jc w:val="both"/>
        <w:rPr>
          <w:rFonts w:ascii="Times New Roman" w:hAnsi="Times New Roman" w:cs="Times New Roman"/>
          <w:b/>
          <w:sz w:val="24"/>
          <w:szCs w:val="24"/>
        </w:rPr>
      </w:pPr>
      <w:r w:rsidRPr="00D06E61">
        <w:rPr>
          <w:rFonts w:ascii="Times New Roman" w:hAnsi="Times New Roman" w:cs="Times New Roman"/>
          <w:b/>
          <w:sz w:val="24"/>
          <w:szCs w:val="24"/>
        </w:rPr>
        <w:t>3.1.4. Провеждане на информационни кампании и профилактични прегледи чрез мобилни кабинети в отдалечени и труднодостъпни райони</w:t>
      </w:r>
    </w:p>
    <w:p w14:paraId="7B24108E" w14:textId="77777777" w:rsidR="00ED133B" w:rsidRPr="00D06E61" w:rsidRDefault="00ED133B" w:rsidP="00D06E61">
      <w:pPr>
        <w:pStyle w:val="ListParagraph"/>
        <w:spacing w:after="0" w:line="240" w:lineRule="auto"/>
        <w:ind w:left="0"/>
        <w:jc w:val="both"/>
        <w:rPr>
          <w:rFonts w:ascii="Times New Roman" w:hAnsi="Times New Roman" w:cs="Times New Roman"/>
          <w:b/>
          <w:sz w:val="24"/>
          <w:szCs w:val="24"/>
        </w:rPr>
      </w:pPr>
    </w:p>
    <w:p w14:paraId="319C1BD6" w14:textId="77777777" w:rsidR="006028A5" w:rsidRPr="00D06E61" w:rsidRDefault="006028A5" w:rsidP="00D06E61">
      <w:pPr>
        <w:spacing w:after="0" w:line="240" w:lineRule="auto"/>
        <w:ind w:firstLine="709"/>
        <w:jc w:val="both"/>
        <w:rPr>
          <w:rFonts w:ascii="Times New Roman" w:hAnsi="Times New Roman" w:cs="Times New Roman"/>
          <w:sz w:val="24"/>
          <w:szCs w:val="24"/>
        </w:rPr>
      </w:pPr>
      <w:r w:rsidRPr="00D06E61">
        <w:rPr>
          <w:rFonts w:ascii="Times New Roman" w:hAnsi="Times New Roman" w:cs="Times New Roman"/>
          <w:sz w:val="24"/>
          <w:szCs w:val="24"/>
        </w:rPr>
        <w:t>Няма закупени мобилни кабинети. Мярката не е изпълнена поради неподписано оперативно споразумение за изпълнение на инвестицията C12.I7. Развитие на амбулаторните грижи по Националния план за възстановяване и устойчивост между Министерство на здравеопазването и Министерство на финансите.</w:t>
      </w:r>
    </w:p>
    <w:p w14:paraId="4CE4AB25" w14:textId="77777777" w:rsidR="006028A5" w:rsidRDefault="006028A5" w:rsidP="00ED133B">
      <w:pPr>
        <w:pStyle w:val="ListParagraph"/>
        <w:spacing w:after="0" w:line="240" w:lineRule="auto"/>
        <w:ind w:left="0"/>
        <w:rPr>
          <w:rFonts w:ascii="Times New Roman" w:hAnsi="Times New Roman" w:cs="Times New Roman"/>
          <w:b/>
        </w:rPr>
      </w:pPr>
    </w:p>
    <w:p w14:paraId="7B869270" w14:textId="77777777" w:rsidR="00ED133B" w:rsidRDefault="00ED133B" w:rsidP="00ED133B">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w:t>
      </w:r>
      <w:r>
        <w:rPr>
          <w:rFonts w:ascii="Times New Roman" w:eastAsia="Calibri" w:hAnsi="Times New Roman" w:cs="Times New Roman"/>
          <w:b/>
          <w:caps/>
          <w:color w:val="C0504D"/>
          <w:sz w:val="24"/>
          <w:szCs w:val="24"/>
        </w:rPr>
        <w:t xml:space="preserve"> ЗДРАВЕОПАЗВАНЕТО</w:t>
      </w:r>
    </w:p>
    <w:p w14:paraId="74ACD762" w14:textId="77777777" w:rsidR="00ED133B" w:rsidRDefault="00ED133B" w:rsidP="00ED133B">
      <w:pPr>
        <w:pStyle w:val="ListParagraph"/>
        <w:spacing w:after="0" w:line="240" w:lineRule="auto"/>
        <w:ind w:left="0"/>
        <w:jc w:val="center"/>
        <w:rPr>
          <w:rFonts w:ascii="Times New Roman" w:hAnsi="Times New Roman" w:cs="Times New Roman"/>
          <w:b/>
        </w:rPr>
      </w:pPr>
    </w:p>
    <w:p w14:paraId="25CFBED1" w14:textId="77777777" w:rsidR="00BD0D8F" w:rsidRPr="006C13DF" w:rsidRDefault="00447907" w:rsidP="00E91E47">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3.1.5. Повишаване на професионалния капацитет на персонала, предоставящ социални и здравни услуги в обичайната за възрастния човек среда, в това число и в областта на психологическата помощ</w:t>
      </w:r>
    </w:p>
    <w:p w14:paraId="2DD82747" w14:textId="77777777" w:rsidR="008F10F6" w:rsidRDefault="008F10F6" w:rsidP="00E91E47">
      <w:pPr>
        <w:pStyle w:val="ListParagraph"/>
        <w:spacing w:after="0" w:line="240" w:lineRule="auto"/>
        <w:ind w:left="0"/>
        <w:jc w:val="both"/>
        <w:rPr>
          <w:rFonts w:ascii="Times New Roman" w:hAnsi="Times New Roman" w:cs="Times New Roman"/>
          <w:b/>
          <w:i/>
          <w:sz w:val="24"/>
          <w:szCs w:val="24"/>
        </w:rPr>
      </w:pPr>
    </w:p>
    <w:p w14:paraId="58678FFB" w14:textId="77777777" w:rsidR="006028A5" w:rsidRPr="00D06E61" w:rsidRDefault="006028A5" w:rsidP="00D06E61">
      <w:pPr>
        <w:spacing w:after="0" w:line="240" w:lineRule="auto"/>
        <w:ind w:firstLine="709"/>
        <w:jc w:val="both"/>
        <w:rPr>
          <w:rFonts w:ascii="Times New Roman" w:hAnsi="Times New Roman" w:cs="Times New Roman"/>
          <w:sz w:val="24"/>
          <w:szCs w:val="24"/>
        </w:rPr>
      </w:pPr>
      <w:r w:rsidRPr="00D06E61">
        <w:rPr>
          <w:rFonts w:ascii="Times New Roman" w:hAnsi="Times New Roman" w:cs="Times New Roman"/>
          <w:sz w:val="24"/>
          <w:szCs w:val="24"/>
        </w:rPr>
        <w:t>Мярката не е изпълнена, поради това, че в процеса на изпъ</w:t>
      </w:r>
      <w:r w:rsidR="00D06E61">
        <w:rPr>
          <w:rFonts w:ascii="Times New Roman" w:hAnsi="Times New Roman" w:cs="Times New Roman"/>
          <w:sz w:val="24"/>
          <w:szCs w:val="24"/>
        </w:rPr>
        <w:t>лнението ѝ е установено</w:t>
      </w:r>
      <w:r w:rsidRPr="00D06E61">
        <w:rPr>
          <w:rFonts w:ascii="Times New Roman" w:hAnsi="Times New Roman" w:cs="Times New Roman"/>
          <w:sz w:val="24"/>
          <w:szCs w:val="24"/>
        </w:rPr>
        <w:t>,</w:t>
      </w:r>
      <w:r w:rsidR="00D06E61">
        <w:rPr>
          <w:rFonts w:ascii="Times New Roman" w:hAnsi="Times New Roman" w:cs="Times New Roman"/>
          <w:sz w:val="24"/>
          <w:szCs w:val="24"/>
        </w:rPr>
        <w:t xml:space="preserve"> </w:t>
      </w:r>
      <w:r w:rsidRPr="00D06E61">
        <w:rPr>
          <w:rFonts w:ascii="Times New Roman" w:hAnsi="Times New Roman" w:cs="Times New Roman"/>
          <w:sz w:val="24"/>
          <w:szCs w:val="24"/>
        </w:rPr>
        <w:t>че Министерството на здравеопазването не може да предоставя обучения/стимули на персонал в административни структури извън управлението на министерството.</w:t>
      </w:r>
    </w:p>
    <w:p w14:paraId="180B6B13" w14:textId="77777777" w:rsidR="006028A5" w:rsidRPr="006C13DF" w:rsidRDefault="006028A5" w:rsidP="00E91E47">
      <w:pPr>
        <w:pStyle w:val="ListParagraph"/>
        <w:spacing w:after="0" w:line="240" w:lineRule="auto"/>
        <w:ind w:left="0"/>
        <w:jc w:val="both"/>
        <w:rPr>
          <w:rFonts w:ascii="Times New Roman" w:hAnsi="Times New Roman" w:cs="Times New Roman"/>
          <w:b/>
          <w:i/>
          <w:sz w:val="24"/>
          <w:szCs w:val="24"/>
        </w:rPr>
      </w:pPr>
    </w:p>
    <w:p w14:paraId="0917780B" w14:textId="77777777" w:rsidR="008F10F6" w:rsidRPr="006C13DF" w:rsidRDefault="008F10F6" w:rsidP="008F10F6">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НАЦИОНАЛНА ЗДРАВНООСИГУРИТЕЛНА КАСА </w:t>
      </w:r>
    </w:p>
    <w:p w14:paraId="6465040D" w14:textId="77777777" w:rsidR="00447907" w:rsidRPr="006C13DF" w:rsidRDefault="00447907" w:rsidP="00E91E47">
      <w:pPr>
        <w:pStyle w:val="ListParagraph"/>
        <w:spacing w:after="0" w:line="240" w:lineRule="auto"/>
        <w:ind w:left="0"/>
        <w:jc w:val="both"/>
        <w:rPr>
          <w:rFonts w:ascii="Times New Roman" w:hAnsi="Times New Roman" w:cs="Times New Roman"/>
          <w:b/>
          <w:i/>
          <w:sz w:val="24"/>
          <w:szCs w:val="24"/>
        </w:rPr>
      </w:pPr>
    </w:p>
    <w:p w14:paraId="1259608F" w14:textId="77777777" w:rsidR="00447907" w:rsidRPr="006C13DF" w:rsidRDefault="00447907" w:rsidP="00E91E47">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3.1.6</w:t>
      </w:r>
      <w:r w:rsidR="008F10F6" w:rsidRPr="006C13DF">
        <w:rPr>
          <w:rFonts w:ascii="Times New Roman" w:hAnsi="Times New Roman" w:cs="Times New Roman"/>
          <w:b/>
          <w:sz w:val="24"/>
          <w:szCs w:val="24"/>
        </w:rPr>
        <w:t>. Въвеждане на стимули за общо</w:t>
      </w:r>
      <w:r w:rsidRPr="006C13DF">
        <w:rPr>
          <w:rFonts w:ascii="Times New Roman" w:hAnsi="Times New Roman" w:cs="Times New Roman"/>
          <w:b/>
          <w:sz w:val="24"/>
          <w:szCs w:val="24"/>
        </w:rPr>
        <w:t>практикуващите лекари (ОПЛ) за обслужване на населени места в отдалечени и труднодостъпни райони и възрастно население</w:t>
      </w:r>
    </w:p>
    <w:p w14:paraId="09DA0EC4" w14:textId="77777777" w:rsidR="008F10F6" w:rsidRPr="006C13DF" w:rsidRDefault="008F10F6" w:rsidP="008F10F6">
      <w:pPr>
        <w:spacing w:after="0" w:line="240" w:lineRule="auto"/>
        <w:jc w:val="both"/>
        <w:rPr>
          <w:rFonts w:ascii="Times New Roman" w:eastAsiaTheme="minorEastAsia" w:hAnsi="Times New Roman" w:cs="Times New Roman"/>
          <w:b/>
          <w:sz w:val="24"/>
          <w:szCs w:val="24"/>
        </w:rPr>
      </w:pPr>
    </w:p>
    <w:p w14:paraId="0D752D41" w14:textId="77777777" w:rsidR="008F10F6" w:rsidRPr="006C13DF" w:rsidRDefault="008F10F6" w:rsidP="008F10F6">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През 2023 г. приблизително на 803 изпълнители на първична извънболнична медицинска помощ </w:t>
      </w:r>
      <w:r w:rsidRPr="006C13DF">
        <w:rPr>
          <w:rFonts w:ascii="Times New Roman" w:hAnsi="Times New Roman" w:cs="Times New Roman"/>
          <w:sz w:val="24"/>
          <w:szCs w:val="24"/>
          <w:lang w:val="en-US"/>
        </w:rPr>
        <w:t>(</w:t>
      </w:r>
      <w:r w:rsidRPr="006C13DF">
        <w:rPr>
          <w:rFonts w:ascii="Times New Roman" w:hAnsi="Times New Roman" w:cs="Times New Roman"/>
          <w:sz w:val="24"/>
          <w:szCs w:val="24"/>
        </w:rPr>
        <w:t>ПИМП</w:t>
      </w:r>
      <w:r w:rsidRPr="006C13DF">
        <w:rPr>
          <w:rFonts w:ascii="Times New Roman" w:hAnsi="Times New Roman" w:cs="Times New Roman"/>
          <w:sz w:val="24"/>
          <w:szCs w:val="24"/>
          <w:lang w:val="en-US"/>
        </w:rPr>
        <w:t>)</w:t>
      </w:r>
      <w:r w:rsidRPr="006C13DF">
        <w:rPr>
          <w:rFonts w:ascii="Times New Roman" w:hAnsi="Times New Roman" w:cs="Times New Roman"/>
          <w:sz w:val="24"/>
          <w:szCs w:val="24"/>
        </w:rPr>
        <w:t xml:space="preserve"> са заплатени средства в размер на 5 806 хил. лв. за работа при неблагоприятни условия и финансиране за осигуряване на медицински персонал в лечебни заведения за извънболничната медицинска помощ, които извършват медицински дейности в отдалечени, труднодостъпни райони или единствени изпълняват съответната дейност в общината.</w:t>
      </w:r>
    </w:p>
    <w:p w14:paraId="6355C4FE" w14:textId="77777777" w:rsidR="008F10F6" w:rsidRPr="006C13DF" w:rsidRDefault="008F10F6" w:rsidP="008F10F6">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През 2024 г. са заплатени 8 990 хил. лв. средно на 878 лечебни заведения</w:t>
      </w:r>
      <w:r w:rsidRPr="006C13DF">
        <w:rPr>
          <w:rFonts w:ascii="Times New Roman" w:hAnsi="Times New Roman" w:cs="Times New Roman"/>
        </w:rPr>
        <w:t xml:space="preserve"> </w:t>
      </w:r>
      <w:r w:rsidRPr="006C13DF">
        <w:rPr>
          <w:rFonts w:ascii="Times New Roman" w:hAnsi="Times New Roman" w:cs="Times New Roman"/>
          <w:sz w:val="24"/>
          <w:szCs w:val="24"/>
        </w:rPr>
        <w:t xml:space="preserve">изпълнители на ПИМП за финансиране осигуряване на медицински персонал в лечебни заведения за извънболнична медицинска помощ, които извършват медицински дейности </w:t>
      </w:r>
      <w:r w:rsidRPr="006C13DF">
        <w:rPr>
          <w:rFonts w:ascii="Times New Roman" w:hAnsi="Times New Roman" w:cs="Times New Roman"/>
          <w:sz w:val="24"/>
          <w:szCs w:val="24"/>
        </w:rPr>
        <w:lastRenderedPageBreak/>
        <w:t>в отдалечени, труднодостъпни райони или единствени изпълняват съответната дейност в общината.</w:t>
      </w:r>
    </w:p>
    <w:p w14:paraId="6C732ED2" w14:textId="77777777" w:rsidR="008F10F6" w:rsidRPr="006C13DF" w:rsidRDefault="008F10F6" w:rsidP="00E91E47">
      <w:pPr>
        <w:pStyle w:val="ListParagraph"/>
        <w:spacing w:after="0" w:line="240" w:lineRule="auto"/>
        <w:ind w:left="0"/>
        <w:jc w:val="both"/>
        <w:rPr>
          <w:rFonts w:ascii="Times New Roman" w:hAnsi="Times New Roman" w:cs="Times New Roman"/>
          <w:b/>
          <w:sz w:val="24"/>
          <w:szCs w:val="24"/>
        </w:rPr>
      </w:pPr>
    </w:p>
    <w:p w14:paraId="19D8135F" w14:textId="77777777" w:rsidR="008F10F6" w:rsidRPr="006C13DF" w:rsidRDefault="008F10F6" w:rsidP="008F10F6">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НАЦИОНАЛНА ЗДРАВНООСИГУРИТЕЛНА КАСА </w:t>
      </w:r>
    </w:p>
    <w:p w14:paraId="116BD857" w14:textId="77777777" w:rsidR="00447907" w:rsidRPr="006C13DF" w:rsidRDefault="00447907" w:rsidP="00E91E47">
      <w:pPr>
        <w:pStyle w:val="ListParagraph"/>
        <w:spacing w:after="0" w:line="240" w:lineRule="auto"/>
        <w:ind w:left="0"/>
        <w:jc w:val="both"/>
        <w:rPr>
          <w:rFonts w:ascii="Times New Roman" w:hAnsi="Times New Roman" w:cs="Times New Roman"/>
          <w:sz w:val="24"/>
          <w:szCs w:val="24"/>
        </w:rPr>
      </w:pPr>
    </w:p>
    <w:p w14:paraId="71573740" w14:textId="77777777" w:rsidR="00447907" w:rsidRPr="006C13DF" w:rsidRDefault="00447907" w:rsidP="00E91E47">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 xml:space="preserve">3.1.7. </w:t>
      </w:r>
      <w:r w:rsidR="000C68CE" w:rsidRPr="006C13DF">
        <w:rPr>
          <w:rFonts w:ascii="Times New Roman" w:hAnsi="Times New Roman" w:cs="Times New Roman"/>
          <w:b/>
          <w:sz w:val="24"/>
          <w:szCs w:val="24"/>
        </w:rPr>
        <w:t>З</w:t>
      </w:r>
      <w:r w:rsidRPr="006C13DF">
        <w:rPr>
          <w:rFonts w:ascii="Times New Roman" w:hAnsi="Times New Roman" w:cs="Times New Roman"/>
          <w:b/>
          <w:sz w:val="24"/>
          <w:szCs w:val="24"/>
        </w:rPr>
        <w:t>аплаща</w:t>
      </w:r>
      <w:r w:rsidR="000C68CE" w:rsidRPr="006C13DF">
        <w:rPr>
          <w:rFonts w:ascii="Times New Roman" w:hAnsi="Times New Roman" w:cs="Times New Roman"/>
          <w:b/>
          <w:sz w:val="24"/>
          <w:szCs w:val="24"/>
        </w:rPr>
        <w:t>не за извършването</w:t>
      </w:r>
      <w:r w:rsidRPr="006C13DF">
        <w:rPr>
          <w:rFonts w:ascii="Times New Roman" w:hAnsi="Times New Roman" w:cs="Times New Roman"/>
          <w:b/>
          <w:sz w:val="24"/>
          <w:szCs w:val="24"/>
        </w:rPr>
        <w:t xml:space="preserve"> на профилактични прегледи</w:t>
      </w:r>
      <w:r w:rsidR="000C68CE" w:rsidRPr="006C13DF">
        <w:rPr>
          <w:rFonts w:ascii="Times New Roman" w:hAnsi="Times New Roman" w:cs="Times New Roman"/>
          <w:b/>
          <w:sz w:val="24"/>
          <w:szCs w:val="24"/>
        </w:rPr>
        <w:t>,</w:t>
      </w:r>
      <w:r w:rsidRPr="006C13DF">
        <w:rPr>
          <w:rFonts w:ascii="Times New Roman" w:hAnsi="Times New Roman" w:cs="Times New Roman"/>
          <w:b/>
          <w:sz w:val="24"/>
          <w:szCs w:val="24"/>
        </w:rPr>
        <w:t xml:space="preserve"> изследвания</w:t>
      </w:r>
      <w:r w:rsidR="000C68CE" w:rsidRPr="006C13DF">
        <w:rPr>
          <w:rFonts w:ascii="Times New Roman" w:hAnsi="Times New Roman" w:cs="Times New Roman"/>
          <w:b/>
          <w:sz w:val="24"/>
          <w:szCs w:val="24"/>
        </w:rPr>
        <w:t xml:space="preserve"> и имунизации</w:t>
      </w:r>
      <w:r w:rsidRPr="006C13DF">
        <w:rPr>
          <w:rFonts w:ascii="Times New Roman" w:hAnsi="Times New Roman" w:cs="Times New Roman"/>
          <w:b/>
          <w:sz w:val="24"/>
          <w:szCs w:val="24"/>
        </w:rPr>
        <w:t xml:space="preserve"> на здравноосигурени граждани над 18-годишна възраст, </w:t>
      </w:r>
      <w:r w:rsidR="000C68CE" w:rsidRPr="006C13DF">
        <w:rPr>
          <w:rFonts w:ascii="Times New Roman" w:hAnsi="Times New Roman" w:cs="Times New Roman"/>
          <w:b/>
          <w:sz w:val="24"/>
          <w:szCs w:val="24"/>
        </w:rPr>
        <w:t xml:space="preserve">с фокус върху </w:t>
      </w:r>
      <w:r w:rsidRPr="006C13DF">
        <w:rPr>
          <w:rFonts w:ascii="Times New Roman" w:hAnsi="Times New Roman" w:cs="Times New Roman"/>
          <w:b/>
          <w:sz w:val="24"/>
          <w:szCs w:val="24"/>
        </w:rPr>
        <w:t>хората преди и след 60-годишна възраст, за да могат да останат не само по-дълго време в добро здраве, но и да бъдат работоспособни на трудовия пазар.</w:t>
      </w:r>
    </w:p>
    <w:p w14:paraId="39EF948D" w14:textId="77777777" w:rsidR="000C68CE" w:rsidRPr="006C13DF" w:rsidRDefault="000C68CE" w:rsidP="00E91E47">
      <w:pPr>
        <w:pStyle w:val="ListParagraph"/>
        <w:spacing w:after="0" w:line="240" w:lineRule="auto"/>
        <w:ind w:left="0"/>
        <w:jc w:val="both"/>
        <w:rPr>
          <w:rFonts w:ascii="Times New Roman" w:hAnsi="Times New Roman" w:cs="Times New Roman"/>
          <w:b/>
          <w:sz w:val="24"/>
          <w:szCs w:val="24"/>
        </w:rPr>
      </w:pPr>
    </w:p>
    <w:p w14:paraId="3722BA44" w14:textId="77777777" w:rsidR="000C68CE" w:rsidRPr="006C13DF" w:rsidRDefault="000C68CE" w:rsidP="000C68C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 xml:space="preserve">Във връзка с подобряване на лечебно-диагностичното здравно обслужване на населението и с разширяване на профилактично-превантивното оказване на медицински грижи, Националната здравноосигурителна каса </w:t>
      </w:r>
      <w:r w:rsidRPr="006C13DF">
        <w:rPr>
          <w:rFonts w:ascii="Times New Roman" w:eastAsia="Times New Roman" w:hAnsi="Times New Roman" w:cs="Times New Roman"/>
          <w:sz w:val="24"/>
          <w:szCs w:val="24"/>
          <w:lang w:val="en-US"/>
        </w:rPr>
        <w:t>(</w:t>
      </w:r>
      <w:r w:rsidRPr="006C13DF">
        <w:rPr>
          <w:rFonts w:ascii="Times New Roman" w:eastAsia="Times New Roman" w:hAnsi="Times New Roman" w:cs="Times New Roman"/>
          <w:sz w:val="24"/>
          <w:szCs w:val="24"/>
        </w:rPr>
        <w:t>НЗОК</w:t>
      </w:r>
      <w:r w:rsidRPr="006C13DF">
        <w:rPr>
          <w:rFonts w:ascii="Times New Roman" w:eastAsia="Times New Roman" w:hAnsi="Times New Roman" w:cs="Times New Roman"/>
          <w:sz w:val="24"/>
          <w:szCs w:val="24"/>
          <w:lang w:val="en-US"/>
        </w:rPr>
        <w:t>)</w:t>
      </w:r>
      <w:r w:rsidRPr="006C13DF">
        <w:rPr>
          <w:rFonts w:ascii="Times New Roman" w:eastAsia="Times New Roman" w:hAnsi="Times New Roman" w:cs="Times New Roman"/>
          <w:sz w:val="24"/>
          <w:szCs w:val="24"/>
        </w:rPr>
        <w:t xml:space="preserve"> акцентира върху дейностите по профилактика на здравноосигурените лица, като заплаща за извършването на профилактични прегледи и изследвания на здравноосигурени граждани над 18-годишна възраст, вкл. за поставянето на имунизации. При провеждането на тези прегледи е отделено внимание и на хората преди и след 60-годишна възраст, за да могат да останат не само по-дълго време в добро здраве, но и да бъдат работоспособни на трудовия пазар.</w:t>
      </w:r>
    </w:p>
    <w:p w14:paraId="4A50A2C3" w14:textId="77777777" w:rsidR="000C68CE" w:rsidRPr="006C13DF" w:rsidRDefault="000C68CE" w:rsidP="000C68C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 xml:space="preserve">С цел профилактика на социално значими и приоритетни за страната заболявания, НЗОК осигурява провеждане на профилактични прегледи на здравноосигурените лица (ЗОЛ) от общопрактикуващите лекари (ОПЛ) – веднъж в рамките на календарната година, съгласно Приложение №2 на Наредба №8 от 2016 г. за профилактичните прегледи и диспансеризацията и Приложение №12 „Дейности на ОПЛ по </w:t>
      </w:r>
      <w:proofErr w:type="spellStart"/>
      <w:r w:rsidRPr="006C13DF">
        <w:rPr>
          <w:rFonts w:ascii="Times New Roman" w:eastAsia="Times New Roman" w:hAnsi="Times New Roman" w:cs="Times New Roman"/>
          <w:sz w:val="24"/>
          <w:szCs w:val="24"/>
        </w:rPr>
        <w:t>имунопрофилактика</w:t>
      </w:r>
      <w:proofErr w:type="spellEnd"/>
      <w:r w:rsidRPr="006C13DF">
        <w:rPr>
          <w:rFonts w:ascii="Times New Roman" w:eastAsia="Times New Roman" w:hAnsi="Times New Roman" w:cs="Times New Roman"/>
          <w:sz w:val="24"/>
          <w:szCs w:val="24"/>
        </w:rPr>
        <w:t>, програма „Детско здравеопазване”, профилактични прегледи на ЗОЛ над 18 години, формиране на групи от лица с рискови фактори за развитие на заболяване при ЗОЛ над 18 години, профилактични дейности при ЗОЛ над 18 години с рискови фактори за развитие на заболяване и програма „Майчино здравеопазване”</w:t>
      </w:r>
      <w:r w:rsidRPr="006C13DF">
        <w:rPr>
          <w:rFonts w:ascii="Times New Roman" w:eastAsia="Times New Roman" w:hAnsi="Times New Roman" w:cs="Times New Roman"/>
          <w:sz w:val="24"/>
          <w:szCs w:val="24"/>
          <w:lang w:val="en-US"/>
        </w:rPr>
        <w:t xml:space="preserve"> </w:t>
      </w:r>
      <w:r w:rsidRPr="006C13DF">
        <w:rPr>
          <w:rFonts w:ascii="Times New Roman" w:hAnsi="Times New Roman" w:cs="Times New Roman"/>
          <w:sz w:val="24"/>
          <w:szCs w:val="24"/>
        </w:rPr>
        <w:t>с</w:t>
      </w:r>
      <w:r w:rsidRPr="006C13DF">
        <w:rPr>
          <w:rFonts w:ascii="Times New Roman" w:eastAsia="Times New Roman" w:hAnsi="Times New Roman" w:cs="Times New Roman"/>
          <w:sz w:val="24"/>
          <w:szCs w:val="24"/>
        </w:rPr>
        <w:t>ъгласно Националния рамков договор за медицински дейности 2023 – 2025 г. (НРД за МД 2023 – 2025 г.).</w:t>
      </w:r>
    </w:p>
    <w:p w14:paraId="1280E770" w14:textId="77777777" w:rsidR="000C68CE" w:rsidRPr="006C13DF" w:rsidRDefault="000C68CE" w:rsidP="000C68C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За всички възрастни ЗОЛ ежегодно при профилактичния преглед се извършва:</w:t>
      </w:r>
    </w:p>
    <w:p w14:paraId="763B69EF" w14:textId="77777777" w:rsidR="000C68CE" w:rsidRPr="006C13DF" w:rsidRDefault="000C68CE" w:rsidP="000C68CE">
      <w:pPr>
        <w:spacing w:after="0" w:line="240" w:lineRule="auto"/>
        <w:ind w:firstLine="708"/>
        <w:jc w:val="both"/>
        <w:rPr>
          <w:rFonts w:ascii="Times New Roman" w:hAnsi="Times New Roman" w:cs="Times New Roman"/>
          <w:sz w:val="24"/>
          <w:szCs w:val="24"/>
        </w:rPr>
      </w:pPr>
      <w:r w:rsidRPr="006C13DF">
        <w:rPr>
          <w:rFonts w:ascii="Times New Roman" w:hAnsi="Times New Roman" w:cs="Times New Roman"/>
          <w:sz w:val="24"/>
          <w:szCs w:val="24"/>
        </w:rPr>
        <w:t xml:space="preserve">Снемане на анамнеза и подробен статус, изчисляване на индекс на телесна маса, оценка на психичен статус, изследване на острота на зрение (ориентировъчно, без определяне на диоптри), измерване на артериално налягане, електрокардиограма (ЕКГ) и изследване на урина с тест-ленти в кабинет за: протеин, глюкоза, </w:t>
      </w:r>
      <w:proofErr w:type="spellStart"/>
      <w:r w:rsidRPr="006C13DF">
        <w:rPr>
          <w:rFonts w:ascii="Times New Roman" w:hAnsi="Times New Roman" w:cs="Times New Roman"/>
          <w:sz w:val="24"/>
          <w:szCs w:val="24"/>
        </w:rPr>
        <w:t>кетонни</w:t>
      </w:r>
      <w:proofErr w:type="spellEnd"/>
      <w:r w:rsidRPr="006C13DF">
        <w:rPr>
          <w:rFonts w:ascii="Times New Roman" w:hAnsi="Times New Roman" w:cs="Times New Roman"/>
          <w:sz w:val="24"/>
          <w:szCs w:val="24"/>
        </w:rPr>
        <w:t xml:space="preserve"> тела, </w:t>
      </w:r>
      <w:proofErr w:type="spellStart"/>
      <w:r w:rsidRPr="006C13DF">
        <w:rPr>
          <w:rFonts w:ascii="Times New Roman" w:hAnsi="Times New Roman" w:cs="Times New Roman"/>
          <w:sz w:val="24"/>
          <w:szCs w:val="24"/>
        </w:rPr>
        <w:t>уробилиноген</w:t>
      </w:r>
      <w:proofErr w:type="spellEnd"/>
      <w:r w:rsidRPr="006C13DF">
        <w:rPr>
          <w:rFonts w:ascii="Times New Roman" w:hAnsi="Times New Roman" w:cs="Times New Roman"/>
          <w:sz w:val="24"/>
          <w:szCs w:val="24"/>
        </w:rPr>
        <w:t>/</w:t>
      </w:r>
      <w:proofErr w:type="spellStart"/>
      <w:r w:rsidRPr="006C13DF">
        <w:rPr>
          <w:rFonts w:ascii="Times New Roman" w:hAnsi="Times New Roman" w:cs="Times New Roman"/>
          <w:sz w:val="24"/>
          <w:szCs w:val="24"/>
        </w:rPr>
        <w:t>билирубин</w:t>
      </w:r>
      <w:proofErr w:type="spellEnd"/>
      <w:r w:rsidRPr="006C13DF">
        <w:rPr>
          <w:rFonts w:ascii="Times New Roman" w:hAnsi="Times New Roman" w:cs="Times New Roman"/>
          <w:sz w:val="24"/>
          <w:szCs w:val="24"/>
        </w:rPr>
        <w:t xml:space="preserve">, </w:t>
      </w:r>
      <w:proofErr w:type="spellStart"/>
      <w:r w:rsidRPr="006C13DF">
        <w:rPr>
          <w:rFonts w:ascii="Times New Roman" w:hAnsi="Times New Roman" w:cs="Times New Roman"/>
          <w:sz w:val="24"/>
          <w:szCs w:val="24"/>
        </w:rPr>
        <w:t>pH</w:t>
      </w:r>
      <w:proofErr w:type="spellEnd"/>
      <w:r w:rsidRPr="006C13DF">
        <w:rPr>
          <w:rFonts w:ascii="Times New Roman" w:hAnsi="Times New Roman" w:cs="Times New Roman"/>
          <w:sz w:val="24"/>
          <w:szCs w:val="24"/>
        </w:rPr>
        <w:t>.</w:t>
      </w:r>
    </w:p>
    <w:p w14:paraId="605BE325" w14:textId="77777777" w:rsidR="000C68CE" w:rsidRPr="006C13DF" w:rsidRDefault="000C68CE" w:rsidP="000C68CE">
      <w:pPr>
        <w:spacing w:after="0" w:line="240" w:lineRule="auto"/>
        <w:ind w:firstLine="708"/>
        <w:jc w:val="both"/>
        <w:rPr>
          <w:rFonts w:ascii="Times New Roman" w:hAnsi="Times New Roman" w:cs="Times New Roman"/>
          <w:sz w:val="24"/>
          <w:szCs w:val="24"/>
        </w:rPr>
      </w:pPr>
      <w:r w:rsidRPr="006C13DF">
        <w:rPr>
          <w:rFonts w:ascii="Times New Roman" w:hAnsi="Times New Roman" w:cs="Times New Roman"/>
          <w:sz w:val="24"/>
          <w:szCs w:val="24"/>
        </w:rPr>
        <w:t>Останалите изследвания, включени в обема на профилактичния преглед, са в зависимост от възрастовата група, в която лицата попадат:</w:t>
      </w:r>
    </w:p>
    <w:p w14:paraId="4025DCE1" w14:textId="77777777" w:rsidR="000C68CE" w:rsidRPr="006C13DF" w:rsidRDefault="000C68CE" w:rsidP="00790684">
      <w:pPr>
        <w:pStyle w:val="ListParagraph"/>
        <w:numPr>
          <w:ilvl w:val="0"/>
          <w:numId w:val="1"/>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от 20 до 65-годишна възраст (жени и мъже) – назначават се: Пълна кръвна картина (ПКК), АСАТ, АЛАТ, </w:t>
      </w:r>
      <w:proofErr w:type="spellStart"/>
      <w:r w:rsidRPr="006C13DF">
        <w:rPr>
          <w:rFonts w:ascii="Times New Roman" w:hAnsi="Times New Roman" w:cs="Times New Roman"/>
          <w:sz w:val="24"/>
          <w:szCs w:val="24"/>
        </w:rPr>
        <w:t>креатинин</w:t>
      </w:r>
      <w:proofErr w:type="spellEnd"/>
      <w:r w:rsidRPr="006C13DF">
        <w:rPr>
          <w:rFonts w:ascii="Times New Roman" w:hAnsi="Times New Roman" w:cs="Times New Roman"/>
          <w:sz w:val="24"/>
          <w:szCs w:val="24"/>
        </w:rPr>
        <w:t>, урина (химично изследване и седимент), пикочна киселина - веднъж на 5 години; определяне на повърхностен антиген на хепатит В (</w:t>
      </w:r>
      <w:proofErr w:type="spellStart"/>
      <w:r w:rsidRPr="006C13DF">
        <w:rPr>
          <w:rFonts w:ascii="Times New Roman" w:hAnsi="Times New Roman" w:cs="Times New Roman"/>
          <w:sz w:val="24"/>
          <w:szCs w:val="24"/>
        </w:rPr>
        <w:t>HbsAg</w:t>
      </w:r>
      <w:proofErr w:type="spellEnd"/>
      <w:r w:rsidRPr="006C13DF">
        <w:rPr>
          <w:rFonts w:ascii="Times New Roman" w:hAnsi="Times New Roman" w:cs="Times New Roman"/>
          <w:sz w:val="24"/>
          <w:szCs w:val="24"/>
        </w:rPr>
        <w:t>) с бърз тест, определяне на антитела срещу хепатит С (</w:t>
      </w:r>
      <w:proofErr w:type="spellStart"/>
      <w:r w:rsidRPr="006C13DF">
        <w:rPr>
          <w:rFonts w:ascii="Times New Roman" w:hAnsi="Times New Roman" w:cs="Times New Roman"/>
          <w:sz w:val="24"/>
          <w:szCs w:val="24"/>
        </w:rPr>
        <w:t>anti</w:t>
      </w:r>
      <w:proofErr w:type="spellEnd"/>
      <w:r w:rsidRPr="006C13DF">
        <w:rPr>
          <w:rFonts w:ascii="Times New Roman" w:hAnsi="Times New Roman" w:cs="Times New Roman"/>
          <w:sz w:val="24"/>
          <w:szCs w:val="24"/>
        </w:rPr>
        <w:t>-HCV) с бърз тест - на 40, 45, 50, 55 и 60-годишна възраст.</w:t>
      </w:r>
    </w:p>
    <w:p w14:paraId="079786CC" w14:textId="77777777" w:rsidR="000C68CE" w:rsidRPr="006C13DF" w:rsidRDefault="000C68CE" w:rsidP="00790684">
      <w:pPr>
        <w:pStyle w:val="ListParagraph"/>
        <w:numPr>
          <w:ilvl w:val="0"/>
          <w:numId w:val="1"/>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жени ≥ 30-годишна възраст – мануално изследване на млечни жлези – ежегодно;</w:t>
      </w:r>
    </w:p>
    <w:p w14:paraId="5B1AF887" w14:textId="77777777" w:rsidR="000C68CE" w:rsidRPr="006C13DF" w:rsidRDefault="000C68CE" w:rsidP="00790684">
      <w:pPr>
        <w:pStyle w:val="ListParagraph"/>
        <w:numPr>
          <w:ilvl w:val="0"/>
          <w:numId w:val="1"/>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жени от 30- до 50-годишна възраст – ехографско изследване на млечни жлези – веднъж на 2 години;</w:t>
      </w:r>
    </w:p>
    <w:p w14:paraId="34BD4AA1" w14:textId="77777777" w:rsidR="000C68CE" w:rsidRPr="006C13DF" w:rsidRDefault="000C68CE" w:rsidP="00790684">
      <w:pPr>
        <w:pStyle w:val="ListParagraph"/>
        <w:numPr>
          <w:ilvl w:val="0"/>
          <w:numId w:val="1"/>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жени от 30- до 40-годишна възраст - изследване на </w:t>
      </w:r>
      <w:proofErr w:type="spellStart"/>
      <w:r w:rsidRPr="006C13DF">
        <w:rPr>
          <w:rFonts w:ascii="Times New Roman" w:hAnsi="Times New Roman" w:cs="Times New Roman"/>
          <w:sz w:val="24"/>
          <w:szCs w:val="24"/>
        </w:rPr>
        <w:t>онкопрофилактична</w:t>
      </w:r>
      <w:proofErr w:type="spellEnd"/>
      <w:r w:rsidRPr="006C13DF">
        <w:rPr>
          <w:rFonts w:ascii="Times New Roman" w:hAnsi="Times New Roman" w:cs="Times New Roman"/>
          <w:sz w:val="24"/>
          <w:szCs w:val="24"/>
        </w:rPr>
        <w:t xml:space="preserve"> </w:t>
      </w:r>
      <w:proofErr w:type="spellStart"/>
      <w:r w:rsidRPr="006C13DF">
        <w:rPr>
          <w:rFonts w:ascii="Times New Roman" w:hAnsi="Times New Roman" w:cs="Times New Roman"/>
          <w:sz w:val="24"/>
          <w:szCs w:val="24"/>
        </w:rPr>
        <w:t>цитонамазка</w:t>
      </w:r>
      <w:proofErr w:type="spellEnd"/>
      <w:r w:rsidRPr="006C13DF">
        <w:rPr>
          <w:rFonts w:ascii="Times New Roman" w:hAnsi="Times New Roman" w:cs="Times New Roman"/>
          <w:sz w:val="24"/>
          <w:szCs w:val="24"/>
        </w:rPr>
        <w:t xml:space="preserve"> - ежегодно, а след две негативни </w:t>
      </w:r>
      <w:proofErr w:type="spellStart"/>
      <w:r w:rsidRPr="006C13DF">
        <w:rPr>
          <w:rFonts w:ascii="Times New Roman" w:hAnsi="Times New Roman" w:cs="Times New Roman"/>
          <w:sz w:val="24"/>
          <w:szCs w:val="24"/>
        </w:rPr>
        <w:t>цитонамазки</w:t>
      </w:r>
      <w:proofErr w:type="spellEnd"/>
      <w:r w:rsidRPr="006C13DF">
        <w:rPr>
          <w:rFonts w:ascii="Times New Roman" w:hAnsi="Times New Roman" w:cs="Times New Roman"/>
          <w:sz w:val="24"/>
          <w:szCs w:val="24"/>
        </w:rPr>
        <w:t xml:space="preserve"> – веднъж на 3 години; гинекологичен статус, с вземане и изпращане на материал за </w:t>
      </w:r>
      <w:proofErr w:type="spellStart"/>
      <w:r w:rsidRPr="006C13DF">
        <w:rPr>
          <w:rFonts w:ascii="Times New Roman" w:hAnsi="Times New Roman" w:cs="Times New Roman"/>
          <w:sz w:val="24"/>
          <w:szCs w:val="24"/>
        </w:rPr>
        <w:t>цитонамазка</w:t>
      </w:r>
      <w:proofErr w:type="spellEnd"/>
      <w:r w:rsidRPr="006C13DF">
        <w:rPr>
          <w:rFonts w:ascii="Times New Roman" w:hAnsi="Times New Roman" w:cs="Times New Roman"/>
          <w:sz w:val="24"/>
          <w:szCs w:val="24"/>
        </w:rPr>
        <w:t xml:space="preserve"> – осъществява се от лекар специалист по акушерство и гинекология – ежегодно, а след две негативни </w:t>
      </w:r>
      <w:proofErr w:type="spellStart"/>
      <w:r w:rsidRPr="006C13DF">
        <w:rPr>
          <w:rFonts w:ascii="Times New Roman" w:hAnsi="Times New Roman" w:cs="Times New Roman"/>
          <w:sz w:val="24"/>
          <w:szCs w:val="24"/>
        </w:rPr>
        <w:t>цитонамазки</w:t>
      </w:r>
      <w:proofErr w:type="spellEnd"/>
      <w:r w:rsidRPr="006C13DF">
        <w:rPr>
          <w:rFonts w:ascii="Times New Roman" w:hAnsi="Times New Roman" w:cs="Times New Roman"/>
          <w:sz w:val="24"/>
          <w:szCs w:val="24"/>
        </w:rPr>
        <w:t xml:space="preserve"> – веднъж на 3 години;</w:t>
      </w:r>
    </w:p>
    <w:p w14:paraId="5CE4D86E" w14:textId="77777777" w:rsidR="000C68CE" w:rsidRPr="006C13DF" w:rsidRDefault="000C68CE" w:rsidP="00790684">
      <w:pPr>
        <w:pStyle w:val="ListParagraph"/>
        <w:numPr>
          <w:ilvl w:val="0"/>
          <w:numId w:val="1"/>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lastRenderedPageBreak/>
        <w:t xml:space="preserve">мъже ≥ 40-годишна възраст и жени ≥ 50 години – изследване на </w:t>
      </w:r>
      <w:proofErr w:type="spellStart"/>
      <w:r w:rsidRPr="006C13DF">
        <w:rPr>
          <w:rFonts w:ascii="Times New Roman" w:hAnsi="Times New Roman" w:cs="Times New Roman"/>
          <w:sz w:val="24"/>
          <w:szCs w:val="24"/>
        </w:rPr>
        <w:t>триглицериди</w:t>
      </w:r>
      <w:proofErr w:type="spellEnd"/>
      <w:r w:rsidRPr="006C13DF">
        <w:rPr>
          <w:rFonts w:ascii="Times New Roman" w:hAnsi="Times New Roman" w:cs="Times New Roman"/>
          <w:sz w:val="24"/>
          <w:szCs w:val="24"/>
        </w:rPr>
        <w:t>; общ холестерол и HDL-холестерол и оценка на СС риск по SCORE системата за лица без сърдечно-съдови заболявания, захарен диабет, хроничната бъбречна недостатъчност (ХБН); LDL-холестерол (за лица със сърдечно-съдови заболявания, захарен диабет, ХБН, при които не се извършва оценка на СС риск по SCORE системата и не е изследван в рамките на диспансерното наблюдение) – веднъж на 5 години;</w:t>
      </w:r>
    </w:p>
    <w:p w14:paraId="524FDAE9" w14:textId="77777777" w:rsidR="000C68CE" w:rsidRPr="006C13DF" w:rsidRDefault="000C68CE" w:rsidP="00790684">
      <w:pPr>
        <w:pStyle w:val="ListParagraph"/>
        <w:numPr>
          <w:ilvl w:val="0"/>
          <w:numId w:val="1"/>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мъже ≥ 45-годишна възраст – PSA - общ и свободен – ежегодно;</w:t>
      </w:r>
    </w:p>
    <w:p w14:paraId="5C8E0C83" w14:textId="77777777" w:rsidR="000C68CE" w:rsidRPr="006C13DF" w:rsidRDefault="000C68CE" w:rsidP="00790684">
      <w:pPr>
        <w:pStyle w:val="ListParagraph"/>
        <w:numPr>
          <w:ilvl w:val="0"/>
          <w:numId w:val="1"/>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жени от 45- до 69-годишна възраст включително – мамография на млечни жлези – веднъж на 2 години; за жени на и над 70-годишна възраст – веднъж на 3 години.</w:t>
      </w:r>
    </w:p>
    <w:p w14:paraId="5082DEB2" w14:textId="77777777" w:rsidR="000C68CE" w:rsidRPr="006C13DF" w:rsidRDefault="000C68CE" w:rsidP="00790684">
      <w:pPr>
        <w:pStyle w:val="ListParagraph"/>
        <w:numPr>
          <w:ilvl w:val="0"/>
          <w:numId w:val="1"/>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над 65-годишна възраст (жени и мъже): ПКК – ежегодно за календарна година; </w:t>
      </w:r>
      <w:proofErr w:type="spellStart"/>
      <w:r w:rsidRPr="006C13DF">
        <w:rPr>
          <w:rFonts w:ascii="Times New Roman" w:hAnsi="Times New Roman" w:cs="Times New Roman"/>
          <w:sz w:val="24"/>
          <w:szCs w:val="24"/>
        </w:rPr>
        <w:t>триглицериди</w:t>
      </w:r>
      <w:proofErr w:type="spellEnd"/>
      <w:r w:rsidRPr="006C13DF">
        <w:rPr>
          <w:rFonts w:ascii="Times New Roman" w:hAnsi="Times New Roman" w:cs="Times New Roman"/>
          <w:sz w:val="24"/>
          <w:szCs w:val="24"/>
        </w:rPr>
        <w:t xml:space="preserve"> – един път на 5 години; общ холестерол, HDL за лица без сърдечно-съдови заболявания, захарен диабет, хроничната бъбречна недостатъчност (ХБН) – един път на 5 години; LDL-холестерол (за лица със сърдечно-съдови заболявания, захарен диабет, ХБН) – един път на 5 години.</w:t>
      </w:r>
    </w:p>
    <w:p w14:paraId="47A63C17" w14:textId="77777777" w:rsidR="000C68CE" w:rsidRPr="006C13DF" w:rsidRDefault="000C68CE" w:rsidP="000C68C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hAnsi="Times New Roman" w:cs="Times New Roman"/>
          <w:color w:val="FF0000"/>
          <w:sz w:val="24"/>
          <w:szCs w:val="24"/>
        </w:rPr>
        <w:tab/>
      </w:r>
      <w:r w:rsidRPr="006C13DF">
        <w:rPr>
          <w:rFonts w:ascii="Times New Roman" w:eastAsia="Times New Roman" w:hAnsi="Times New Roman" w:cs="Times New Roman"/>
          <w:sz w:val="24"/>
          <w:szCs w:val="24"/>
        </w:rPr>
        <w:t xml:space="preserve">При провеждането на профилактичните прегледи ОПЛ формира следните групи от лица с рискови фактори за развитие на заболяване: лица с рискови фактори за развитие на сърдечно-съдови заболявания, лица с рискови фактори за развитие на захарен диабет тип 2, лица с рискови фактори за развитие на злокачествени новообразувания на шийката на матката, лица с рискови фактори за развитие на злокачествени новообразувания на млечната жлеза, лица с рискови фактори за развитие на злокачествени новообразувания на </w:t>
      </w:r>
      <w:proofErr w:type="spellStart"/>
      <w:r w:rsidRPr="006C13DF">
        <w:rPr>
          <w:rFonts w:ascii="Times New Roman" w:eastAsia="Times New Roman" w:hAnsi="Times New Roman" w:cs="Times New Roman"/>
          <w:sz w:val="24"/>
          <w:szCs w:val="24"/>
        </w:rPr>
        <w:t>ректосигмоидалната</w:t>
      </w:r>
      <w:proofErr w:type="spellEnd"/>
      <w:r w:rsidRPr="006C13DF">
        <w:rPr>
          <w:rFonts w:ascii="Times New Roman" w:eastAsia="Times New Roman" w:hAnsi="Times New Roman" w:cs="Times New Roman"/>
          <w:sz w:val="24"/>
          <w:szCs w:val="24"/>
        </w:rPr>
        <w:t xml:space="preserve"> област, лица с рискови фактори за развитие на злокачествено новообразувание на простатата, лица с рисков фактор затлъстяване, лица с рисков фактор тютюнопушене.</w:t>
      </w:r>
    </w:p>
    <w:p w14:paraId="4F5C07A2" w14:textId="77777777" w:rsidR="000C68CE" w:rsidRPr="006C13DF" w:rsidRDefault="000C68CE" w:rsidP="000C68C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При формиране на групите от лица с рискови фактори за развитие на заболяване, ОПЛ попълва „Карта за оценка на рисковите фактори за развитие на заболяване“, включена в медицинския софтуер на лекаря, осъществил прегледа, изготвена по образец съгласно Приложение №4 към Наредба №8 от 03.11.2016 г. за профилактичните прегледи и диспансеризацията.</w:t>
      </w:r>
    </w:p>
    <w:p w14:paraId="189DC46B" w14:textId="77777777" w:rsidR="000C68CE" w:rsidRPr="006C13DF" w:rsidRDefault="000C68CE" w:rsidP="000C68C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 xml:space="preserve">На ЗОЛ, включени в групите от лица с рискови фактори за развитие на заболяване, ОПЛ при необходимост провежда консултация със специалист и назначава допълнителни медико-диагностични изследвания. </w:t>
      </w:r>
    </w:p>
    <w:p w14:paraId="77850C4B" w14:textId="77777777" w:rsidR="000C68CE" w:rsidRPr="006C13DF" w:rsidRDefault="000C68CE" w:rsidP="000C68C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 xml:space="preserve">Профилактична дейност на възрастни здравноосигурени лица </w:t>
      </w:r>
      <w:r w:rsidRPr="006C13DF">
        <w:rPr>
          <w:rFonts w:ascii="Times New Roman" w:eastAsia="Times New Roman" w:hAnsi="Times New Roman" w:cs="Times New Roman"/>
          <w:sz w:val="24"/>
          <w:szCs w:val="24"/>
          <w:lang w:val="en-US"/>
        </w:rPr>
        <w:t>(</w:t>
      </w:r>
      <w:r w:rsidRPr="006C13DF">
        <w:rPr>
          <w:rFonts w:ascii="Times New Roman" w:eastAsia="Times New Roman" w:hAnsi="Times New Roman" w:cs="Times New Roman"/>
          <w:sz w:val="24"/>
          <w:szCs w:val="24"/>
        </w:rPr>
        <w:t>над 18 г.</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с рискови фактори за развитие на заболяване се извършва и от лекари със специалност „Вътрешни болести“, „Гастроентерология“, „Урология“, „Ендокринология и болести на обмяната“, „Кардиология“, „Хирургия“ и „Акушерство и гинекология“</w:t>
      </w:r>
      <w:r w:rsidRPr="006C13DF">
        <w:rPr>
          <w:rFonts w:ascii="Times New Roman" w:hAnsi="Times New Roman" w:cs="Times New Roman"/>
          <w:lang w:val="x-none"/>
        </w:rPr>
        <w:t xml:space="preserve"> </w:t>
      </w:r>
      <w:r w:rsidRPr="006C13DF">
        <w:rPr>
          <w:rFonts w:ascii="Times New Roman" w:eastAsia="Times New Roman" w:hAnsi="Times New Roman" w:cs="Times New Roman"/>
          <w:sz w:val="24"/>
          <w:szCs w:val="24"/>
        </w:rPr>
        <w:t>съгласно Приложение №5 на Наредба №8 от 2016 г. и Приложение №14 „Дейности на лекаря специалист по „Педиатрия” по програма „Детско здравеопазване”, на лекаря специалист по „Акушерство и гинекология” по програма „Майчино здравеопазване“ и на лекаря специалист по профилактика на ЗОЛ над 18 години с рискови фактори за развитие на заболяване“ съгласно НРД за МД 2023 – 2025 г.</w:t>
      </w:r>
    </w:p>
    <w:p w14:paraId="463587C4" w14:textId="77777777" w:rsidR="000C68CE" w:rsidRPr="006C13DF" w:rsidRDefault="000C68CE" w:rsidP="000C68C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За 2023</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 xml:space="preserve">г., съгласно сключения НРД за МД за 2023 – 2025 г. са платени </w:t>
      </w:r>
      <w:r w:rsidRPr="006C13DF">
        <w:rPr>
          <w:rFonts w:ascii="Times New Roman" w:eastAsia="Times New Roman" w:hAnsi="Times New Roman" w:cs="Times New Roman"/>
          <w:sz w:val="24"/>
          <w:szCs w:val="24"/>
          <w:lang w:val="en-US"/>
        </w:rPr>
        <w:t>2</w:t>
      </w:r>
      <w:r w:rsidRPr="006C13DF">
        <w:rPr>
          <w:rFonts w:ascii="Times New Roman" w:eastAsia="Times New Roman" w:hAnsi="Times New Roman" w:cs="Times New Roman"/>
          <w:sz w:val="24"/>
          <w:szCs w:val="24"/>
        </w:rPr>
        <w:t> 429,3 хил. бр. годишни профилактични прегледи на здравноосигурени лица (ЗОЛ) над 18-годишна възраст, на стойност 64 339 хил. лв. и средства за медико-диагностични дейности</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МДД</w:t>
      </w:r>
      <w:r w:rsidRPr="006C13DF">
        <w:rPr>
          <w:rFonts w:ascii="Times New Roman" w:eastAsia="Times New Roman" w:hAnsi="Times New Roman" w:cs="Times New Roman"/>
          <w:sz w:val="24"/>
          <w:szCs w:val="24"/>
          <w:lang w:val="en-US"/>
        </w:rPr>
        <w:t>)</w:t>
      </w:r>
      <w:r w:rsidRPr="006C13DF">
        <w:rPr>
          <w:rFonts w:ascii="Times New Roman" w:eastAsia="Times New Roman" w:hAnsi="Times New Roman" w:cs="Times New Roman"/>
          <w:sz w:val="24"/>
          <w:szCs w:val="24"/>
        </w:rPr>
        <w:t xml:space="preserve"> в размер на 38 784,9 хил. лв. Само за ЗОЛ от възрастовата група </w:t>
      </w:r>
      <w:r w:rsidRPr="00ED133B">
        <w:rPr>
          <w:rFonts w:ascii="Times New Roman" w:eastAsia="Times New Roman" w:hAnsi="Times New Roman" w:cs="Times New Roman"/>
          <w:b/>
          <w:sz w:val="24"/>
          <w:szCs w:val="24"/>
        </w:rPr>
        <w:t>над 65-годишна възраст</w:t>
      </w:r>
      <w:r w:rsidRPr="006C13DF">
        <w:rPr>
          <w:rFonts w:ascii="Times New Roman" w:eastAsia="Times New Roman" w:hAnsi="Times New Roman" w:cs="Times New Roman"/>
          <w:sz w:val="24"/>
          <w:szCs w:val="24"/>
        </w:rPr>
        <w:t xml:space="preserve"> са платени </w:t>
      </w:r>
      <w:r w:rsidRPr="00ED133B">
        <w:rPr>
          <w:rFonts w:ascii="Times New Roman" w:eastAsia="Times New Roman" w:hAnsi="Times New Roman" w:cs="Times New Roman"/>
          <w:b/>
          <w:sz w:val="24"/>
          <w:szCs w:val="24"/>
        </w:rPr>
        <w:t>909,6 хил. бр. годишни профилактични прегледи</w:t>
      </w:r>
      <w:r w:rsidRPr="006C13DF">
        <w:rPr>
          <w:rFonts w:ascii="Times New Roman" w:eastAsia="Times New Roman" w:hAnsi="Times New Roman" w:cs="Times New Roman"/>
          <w:sz w:val="24"/>
          <w:szCs w:val="24"/>
        </w:rPr>
        <w:t xml:space="preserve"> на стойност 24 092 хил. лв. и МДД по повод годишния профилактичен преглед на стойност 11 955 хил. лв.</w:t>
      </w:r>
    </w:p>
    <w:p w14:paraId="0EA6410C" w14:textId="77777777" w:rsidR="000C68CE" w:rsidRPr="006C13DF" w:rsidRDefault="000C68CE" w:rsidP="000C68C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За 2024</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 xml:space="preserve">г. са платени </w:t>
      </w:r>
      <w:r w:rsidRPr="006C13DF">
        <w:rPr>
          <w:rFonts w:ascii="Times New Roman" w:eastAsia="Times New Roman" w:hAnsi="Times New Roman" w:cs="Times New Roman"/>
          <w:sz w:val="24"/>
          <w:szCs w:val="24"/>
          <w:lang w:val="en-US"/>
        </w:rPr>
        <w:t>2 583</w:t>
      </w:r>
      <w:r w:rsidRPr="006C13DF">
        <w:rPr>
          <w:rFonts w:ascii="Times New Roman" w:eastAsia="Times New Roman" w:hAnsi="Times New Roman" w:cs="Times New Roman"/>
          <w:sz w:val="24"/>
          <w:szCs w:val="24"/>
        </w:rPr>
        <w:t>,</w:t>
      </w:r>
      <w:r w:rsidRPr="006C13DF">
        <w:rPr>
          <w:rFonts w:ascii="Times New Roman" w:eastAsia="Times New Roman" w:hAnsi="Times New Roman" w:cs="Times New Roman"/>
          <w:sz w:val="24"/>
          <w:szCs w:val="24"/>
          <w:lang w:val="en-US"/>
        </w:rPr>
        <w:t>3 </w:t>
      </w:r>
      <w:r w:rsidRPr="006C13DF">
        <w:rPr>
          <w:rFonts w:ascii="Times New Roman" w:eastAsia="Times New Roman" w:hAnsi="Times New Roman" w:cs="Times New Roman"/>
          <w:sz w:val="24"/>
          <w:szCs w:val="24"/>
        </w:rPr>
        <w:t xml:space="preserve">хил. бр. годишни профилактични прегледи на ЗОЛ над 18-годишна възраст, на стойност 96 986 хил. лв. и средства за МДД в размер на 66 381,8 хил. лв. Само за ЗОЛ от възрастовата група </w:t>
      </w:r>
      <w:r w:rsidRPr="00365933">
        <w:rPr>
          <w:rFonts w:ascii="Times New Roman" w:eastAsia="Times New Roman" w:hAnsi="Times New Roman" w:cs="Times New Roman"/>
          <w:b/>
          <w:sz w:val="24"/>
          <w:szCs w:val="24"/>
        </w:rPr>
        <w:t>над 65-годишна възраст</w:t>
      </w:r>
      <w:r w:rsidRPr="006C13DF">
        <w:rPr>
          <w:rFonts w:ascii="Times New Roman" w:eastAsia="Times New Roman" w:hAnsi="Times New Roman" w:cs="Times New Roman"/>
          <w:sz w:val="24"/>
          <w:szCs w:val="24"/>
        </w:rPr>
        <w:t xml:space="preserve"> с</w:t>
      </w:r>
      <w:r w:rsidR="00365933">
        <w:rPr>
          <w:rFonts w:ascii="Times New Roman" w:eastAsia="Times New Roman" w:hAnsi="Times New Roman" w:cs="Times New Roman"/>
          <w:sz w:val="24"/>
          <w:szCs w:val="24"/>
        </w:rPr>
        <w:t xml:space="preserve">а платени </w:t>
      </w:r>
      <w:r w:rsidR="00365933" w:rsidRPr="00365933">
        <w:rPr>
          <w:rFonts w:ascii="Times New Roman" w:eastAsia="Times New Roman" w:hAnsi="Times New Roman" w:cs="Times New Roman"/>
          <w:b/>
          <w:sz w:val="24"/>
          <w:szCs w:val="24"/>
        </w:rPr>
        <w:t xml:space="preserve">964 хил. бр. </w:t>
      </w:r>
      <w:r w:rsidRPr="00365933">
        <w:rPr>
          <w:rFonts w:ascii="Times New Roman" w:eastAsia="Times New Roman" w:hAnsi="Times New Roman" w:cs="Times New Roman"/>
          <w:b/>
          <w:sz w:val="24"/>
          <w:szCs w:val="24"/>
        </w:rPr>
        <w:t>годишни профилактични прегледи</w:t>
      </w:r>
      <w:r w:rsidRPr="006C13DF">
        <w:rPr>
          <w:rFonts w:ascii="Times New Roman" w:eastAsia="Times New Roman" w:hAnsi="Times New Roman" w:cs="Times New Roman"/>
          <w:sz w:val="24"/>
          <w:szCs w:val="24"/>
        </w:rPr>
        <w:t xml:space="preserve"> на стойност 32 421 хил. лв. За </w:t>
      </w:r>
      <w:r w:rsidRPr="006C13DF">
        <w:rPr>
          <w:rFonts w:ascii="Times New Roman" w:eastAsia="Times New Roman" w:hAnsi="Times New Roman" w:cs="Times New Roman"/>
          <w:sz w:val="24"/>
          <w:szCs w:val="24"/>
        </w:rPr>
        <w:lastRenderedPageBreak/>
        <w:t xml:space="preserve">провеждането на тези профилактични прегледи се назначават МДД. За лицата над 65-годишна възраст през 2024 г. са заплатени МДД по повод годишния профилактичен преглед на стойност 24 597 хил. лв. </w:t>
      </w:r>
    </w:p>
    <w:p w14:paraId="1B1A30D8" w14:textId="77777777" w:rsidR="000C68CE" w:rsidRPr="006C13DF" w:rsidRDefault="000C68CE" w:rsidP="00E91E47">
      <w:pPr>
        <w:pStyle w:val="ListParagraph"/>
        <w:spacing w:after="0" w:line="240" w:lineRule="auto"/>
        <w:ind w:left="0"/>
        <w:jc w:val="both"/>
        <w:rPr>
          <w:rFonts w:ascii="Times New Roman" w:hAnsi="Times New Roman" w:cs="Times New Roman"/>
          <w:b/>
          <w:sz w:val="24"/>
          <w:szCs w:val="24"/>
        </w:rPr>
      </w:pPr>
    </w:p>
    <w:p w14:paraId="56D08CE2" w14:textId="77777777" w:rsidR="003F357C" w:rsidRPr="006C13DF" w:rsidRDefault="003F357C" w:rsidP="003F357C">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НАЦИОНАЛНА ЗДРАВНООСИГУРИТЕЛНА КАСА </w:t>
      </w:r>
    </w:p>
    <w:p w14:paraId="19B99FB5" w14:textId="77777777" w:rsidR="008F10F6" w:rsidRPr="006C13DF" w:rsidRDefault="008F10F6" w:rsidP="00E91E47">
      <w:pPr>
        <w:pStyle w:val="ListParagraph"/>
        <w:spacing w:after="0" w:line="240" w:lineRule="auto"/>
        <w:ind w:left="0"/>
        <w:jc w:val="both"/>
        <w:rPr>
          <w:rFonts w:ascii="Times New Roman" w:hAnsi="Times New Roman" w:cs="Times New Roman"/>
          <w:b/>
          <w:i/>
          <w:sz w:val="24"/>
          <w:szCs w:val="24"/>
        </w:rPr>
      </w:pPr>
    </w:p>
    <w:p w14:paraId="0130A1EC" w14:textId="77777777" w:rsidR="00447907" w:rsidRPr="006C13DF" w:rsidRDefault="00447907" w:rsidP="00E91E47">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 xml:space="preserve">3.1.8. </w:t>
      </w:r>
      <w:r w:rsidR="003F357C" w:rsidRPr="006C13DF">
        <w:rPr>
          <w:rFonts w:ascii="Times New Roman" w:hAnsi="Times New Roman" w:cs="Times New Roman"/>
          <w:b/>
          <w:sz w:val="24"/>
          <w:szCs w:val="24"/>
        </w:rPr>
        <w:t>Ф</w:t>
      </w:r>
      <w:r w:rsidRPr="006C13DF">
        <w:rPr>
          <w:rFonts w:ascii="Times New Roman" w:hAnsi="Times New Roman" w:cs="Times New Roman"/>
          <w:b/>
          <w:sz w:val="24"/>
          <w:szCs w:val="24"/>
        </w:rPr>
        <w:t>инансира</w:t>
      </w:r>
      <w:r w:rsidR="003F357C" w:rsidRPr="006C13DF">
        <w:rPr>
          <w:rFonts w:ascii="Times New Roman" w:hAnsi="Times New Roman" w:cs="Times New Roman"/>
          <w:b/>
          <w:sz w:val="24"/>
          <w:szCs w:val="24"/>
        </w:rPr>
        <w:t>не на</w:t>
      </w:r>
      <w:r w:rsidRPr="006C13DF">
        <w:rPr>
          <w:rFonts w:ascii="Times New Roman" w:hAnsi="Times New Roman" w:cs="Times New Roman"/>
          <w:b/>
          <w:sz w:val="24"/>
          <w:szCs w:val="24"/>
        </w:rPr>
        <w:t xml:space="preserve"> задължителни имунизации и реимунизации и по национални програми чрез трансфер на средства от Министерството на здравеопазването. Освен задължителните реимунизации против дифтерия и тетанус, НЗОК заплаща и препоръчителни имунизации, </w:t>
      </w:r>
      <w:r w:rsidR="003F357C" w:rsidRPr="006C13DF">
        <w:rPr>
          <w:rFonts w:ascii="Times New Roman" w:hAnsi="Times New Roman" w:cs="Times New Roman"/>
          <w:b/>
          <w:sz w:val="24"/>
          <w:szCs w:val="24"/>
        </w:rPr>
        <w:t>съгласно</w:t>
      </w:r>
      <w:r w:rsidRPr="006C13DF">
        <w:rPr>
          <w:rFonts w:ascii="Times New Roman" w:hAnsi="Times New Roman" w:cs="Times New Roman"/>
          <w:b/>
          <w:sz w:val="24"/>
          <w:szCs w:val="24"/>
        </w:rPr>
        <w:t xml:space="preserve"> изискванията</w:t>
      </w:r>
      <w:r w:rsidR="003F357C" w:rsidRPr="006C13DF">
        <w:rPr>
          <w:rFonts w:ascii="Times New Roman" w:hAnsi="Times New Roman" w:cs="Times New Roman"/>
          <w:b/>
          <w:sz w:val="24"/>
          <w:szCs w:val="24"/>
        </w:rPr>
        <w:t xml:space="preserve"> на Наредба №15 от 2005 г.</w:t>
      </w:r>
    </w:p>
    <w:p w14:paraId="41C092EE" w14:textId="77777777" w:rsidR="003F357C" w:rsidRPr="006C13DF" w:rsidRDefault="003F357C" w:rsidP="00E91E47">
      <w:pPr>
        <w:pStyle w:val="ListParagraph"/>
        <w:spacing w:after="0" w:line="240" w:lineRule="auto"/>
        <w:ind w:left="0"/>
        <w:jc w:val="both"/>
        <w:rPr>
          <w:rFonts w:ascii="Times New Roman" w:hAnsi="Times New Roman" w:cs="Times New Roman"/>
          <w:b/>
          <w:sz w:val="24"/>
          <w:szCs w:val="24"/>
        </w:rPr>
      </w:pPr>
    </w:p>
    <w:p w14:paraId="13D19725" w14:textId="77777777" w:rsidR="003F357C" w:rsidRPr="006C13DF" w:rsidRDefault="003F357C" w:rsidP="003F357C">
      <w:pPr>
        <w:tabs>
          <w:tab w:val="left" w:pos="567"/>
        </w:tabs>
        <w:spacing w:after="0" w:line="240" w:lineRule="auto"/>
        <w:jc w:val="both"/>
        <w:rPr>
          <w:rFonts w:ascii="Times New Roman" w:eastAsia="Times New Roman" w:hAnsi="Times New Roman" w:cs="Times New Roman"/>
          <w:lang w:eastAsia="bg-BG"/>
        </w:rPr>
      </w:pPr>
      <w:r w:rsidRPr="006C13DF">
        <w:rPr>
          <w:rFonts w:ascii="Times New Roman" w:eastAsia="Times New Roman" w:hAnsi="Times New Roman" w:cs="Times New Roman"/>
          <w:sz w:val="24"/>
          <w:szCs w:val="24"/>
        </w:rPr>
        <w:tab/>
        <w:t xml:space="preserve">НЗОК финансира задължителни имунизации и реимунизации и по национални програми чрез трансфер на средства от Министерството на здравеопазването. Имунизациите и реимунизациите се извършват от изпълнителите на първична извънболнична медицинска помощ (ПИМП) на лица, вписани в регистрите им, от целеви групи, определени в програмите. Освен задължителните реимунизации против дифтерия и тетанус, НЗОК заплаща и препоръчителни имунизации, при спазване на изискванията, установени  в Наредба №15 от 2005 г. за имунизациите в Република България </w:t>
      </w:r>
      <w:r w:rsidRPr="006C13DF">
        <w:rPr>
          <w:rFonts w:ascii="Times New Roman" w:eastAsia="Times New Roman" w:hAnsi="Times New Roman" w:cs="Times New Roman"/>
          <w:sz w:val="24"/>
          <w:szCs w:val="24"/>
          <w:lang w:val="en-US"/>
        </w:rPr>
        <w:t>(</w:t>
      </w:r>
      <w:r w:rsidRPr="006C13DF">
        <w:rPr>
          <w:rFonts w:ascii="Times New Roman" w:eastAsia="Times New Roman" w:hAnsi="Times New Roman" w:cs="Times New Roman"/>
          <w:sz w:val="24"/>
          <w:szCs w:val="24"/>
        </w:rPr>
        <w:t xml:space="preserve">включително и </w:t>
      </w:r>
      <w:r w:rsidRPr="006C13DF">
        <w:rPr>
          <w:rFonts w:ascii="Times New Roman" w:eastAsia="Times New Roman" w:hAnsi="Times New Roman" w:cs="Times New Roman"/>
          <w:sz w:val="24"/>
          <w:szCs w:val="24"/>
          <w:lang w:eastAsia="bg-BG"/>
        </w:rPr>
        <w:t>имунизации срещу COVID-19</w:t>
      </w:r>
      <w:r w:rsidRPr="006C13DF">
        <w:rPr>
          <w:rFonts w:ascii="Times New Roman" w:eastAsia="Times New Roman" w:hAnsi="Times New Roman" w:cs="Times New Roman"/>
          <w:sz w:val="24"/>
          <w:szCs w:val="24"/>
          <w:lang w:val="en-US" w:eastAsia="bg-BG"/>
        </w:rPr>
        <w:t>).</w:t>
      </w:r>
    </w:p>
    <w:p w14:paraId="6AA02DD9" w14:textId="77777777" w:rsidR="003F357C" w:rsidRPr="006C13DF" w:rsidRDefault="003F357C" w:rsidP="003F357C">
      <w:pPr>
        <w:tabs>
          <w:tab w:val="left" w:pos="0"/>
        </w:tabs>
        <w:overflowPunct w:val="0"/>
        <w:autoSpaceDE w:val="0"/>
        <w:spacing w:after="0" w:line="240" w:lineRule="auto"/>
        <w:jc w:val="both"/>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 xml:space="preserve">Ежегодно грипните епидемии причиняват сериозен здравен, икономически и социален проблем поради голямата заболеваемост, тежки усложнения и смъртност, особено за уязвимите групи от населението – деца, възрастни хора и лица с определени хронични заболявания. За намаляване на тежкото протичане и усложненията от грипа, и в изпълнение на Националната програма за подобряване на </w:t>
      </w:r>
      <w:proofErr w:type="spellStart"/>
      <w:r w:rsidRPr="006C13DF">
        <w:rPr>
          <w:rFonts w:ascii="Times New Roman" w:eastAsia="Times New Roman" w:hAnsi="Times New Roman" w:cs="Times New Roman"/>
          <w:sz w:val="24"/>
          <w:szCs w:val="24"/>
        </w:rPr>
        <w:t>ваксинопрофилактиката</w:t>
      </w:r>
      <w:proofErr w:type="spellEnd"/>
      <w:r w:rsidRPr="006C13DF">
        <w:rPr>
          <w:rFonts w:ascii="Times New Roman" w:eastAsia="Times New Roman" w:hAnsi="Times New Roman" w:cs="Times New Roman"/>
          <w:sz w:val="24"/>
          <w:szCs w:val="24"/>
        </w:rPr>
        <w:t xml:space="preserve"> на сезонния грип и на </w:t>
      </w:r>
      <w:proofErr w:type="spellStart"/>
      <w:r w:rsidRPr="006C13DF">
        <w:rPr>
          <w:rFonts w:ascii="Times New Roman" w:eastAsia="Times New Roman" w:hAnsi="Times New Roman" w:cs="Times New Roman"/>
          <w:sz w:val="24"/>
          <w:szCs w:val="24"/>
        </w:rPr>
        <w:t>пневмококовите</w:t>
      </w:r>
      <w:proofErr w:type="spellEnd"/>
      <w:r w:rsidRPr="006C13DF">
        <w:rPr>
          <w:rFonts w:ascii="Times New Roman" w:eastAsia="Times New Roman" w:hAnsi="Times New Roman" w:cs="Times New Roman"/>
          <w:sz w:val="24"/>
          <w:szCs w:val="24"/>
        </w:rPr>
        <w:t xml:space="preserve"> инфекции 2023 – 2026, одобрена с РМС №65/26.01.2023 г., НЗОК заплаща профилактични ваксини срещу сезонния грип и на </w:t>
      </w:r>
      <w:proofErr w:type="spellStart"/>
      <w:r w:rsidRPr="006C13DF">
        <w:rPr>
          <w:rFonts w:ascii="Times New Roman" w:eastAsia="Times New Roman" w:hAnsi="Times New Roman" w:cs="Times New Roman"/>
          <w:sz w:val="24"/>
          <w:szCs w:val="24"/>
        </w:rPr>
        <w:t>пневмококовите</w:t>
      </w:r>
      <w:proofErr w:type="spellEnd"/>
      <w:r w:rsidRPr="006C13DF">
        <w:rPr>
          <w:rFonts w:ascii="Times New Roman" w:eastAsia="Times New Roman" w:hAnsi="Times New Roman" w:cs="Times New Roman"/>
          <w:sz w:val="24"/>
          <w:szCs w:val="24"/>
        </w:rPr>
        <w:t xml:space="preserve"> инфекции за лица на и над 65-годишна възраст. </w:t>
      </w:r>
    </w:p>
    <w:p w14:paraId="1E0BBBA5" w14:textId="77777777" w:rsidR="003F357C" w:rsidRPr="006C13DF" w:rsidRDefault="003F357C" w:rsidP="003F357C">
      <w:pPr>
        <w:tabs>
          <w:tab w:val="left" w:pos="0"/>
        </w:tabs>
        <w:suppressAutoHyphens/>
        <w:overflowPunct w:val="0"/>
        <w:autoSpaceDE w:val="0"/>
        <w:autoSpaceDN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 xml:space="preserve">За </w:t>
      </w:r>
      <w:proofErr w:type="spellStart"/>
      <w:r w:rsidRPr="006C13DF">
        <w:rPr>
          <w:rFonts w:ascii="Times New Roman" w:eastAsia="Times New Roman" w:hAnsi="Times New Roman" w:cs="Times New Roman"/>
          <w:sz w:val="24"/>
          <w:szCs w:val="24"/>
        </w:rPr>
        <w:t>ваксинационен</w:t>
      </w:r>
      <w:proofErr w:type="spellEnd"/>
      <w:r w:rsidRPr="006C13DF">
        <w:rPr>
          <w:rFonts w:ascii="Times New Roman" w:eastAsia="Times New Roman" w:hAnsi="Times New Roman" w:cs="Times New Roman"/>
          <w:sz w:val="24"/>
          <w:szCs w:val="24"/>
        </w:rPr>
        <w:t xml:space="preserve"> сезон 2023 – 2024 г., във връзка с Националната програма за подобряване на </w:t>
      </w:r>
      <w:proofErr w:type="spellStart"/>
      <w:r w:rsidRPr="006C13DF">
        <w:rPr>
          <w:rFonts w:ascii="Times New Roman" w:eastAsia="Times New Roman" w:hAnsi="Times New Roman" w:cs="Times New Roman"/>
          <w:sz w:val="24"/>
          <w:szCs w:val="24"/>
        </w:rPr>
        <w:t>ваксинопрофилактиката</w:t>
      </w:r>
      <w:proofErr w:type="spellEnd"/>
      <w:r w:rsidRPr="006C13DF">
        <w:rPr>
          <w:rFonts w:ascii="Times New Roman" w:eastAsia="Times New Roman" w:hAnsi="Times New Roman" w:cs="Times New Roman"/>
          <w:sz w:val="24"/>
          <w:szCs w:val="24"/>
        </w:rPr>
        <w:t xml:space="preserve"> на сезонния грип (2023 – 2026 г.), на лицата от целевата група са поставени 279 224 бр. ваксини и заплатени средства в размер на 5 965 254 хил. лв., които включват и ваксините. Сумите се заплащат с трансферни средства от Министерството на здравеопазването. </w:t>
      </w:r>
    </w:p>
    <w:p w14:paraId="432A6C4D" w14:textId="77777777" w:rsidR="003F357C" w:rsidRPr="006C13DF" w:rsidRDefault="003F357C" w:rsidP="003F357C">
      <w:pPr>
        <w:tabs>
          <w:tab w:val="left" w:pos="0"/>
        </w:tabs>
        <w:suppressAutoHyphens/>
        <w:overflowPunct w:val="0"/>
        <w:autoSpaceDE w:val="0"/>
        <w:autoSpaceDN w:val="0"/>
        <w:spacing w:after="0" w:line="240" w:lineRule="auto"/>
        <w:ind w:firstLine="720"/>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 xml:space="preserve">За </w:t>
      </w:r>
      <w:proofErr w:type="spellStart"/>
      <w:r w:rsidRPr="006C13DF">
        <w:rPr>
          <w:rFonts w:ascii="Times New Roman" w:eastAsia="Times New Roman" w:hAnsi="Times New Roman" w:cs="Times New Roman"/>
          <w:sz w:val="24"/>
          <w:szCs w:val="24"/>
        </w:rPr>
        <w:t>ваксинационен</w:t>
      </w:r>
      <w:proofErr w:type="spellEnd"/>
      <w:r w:rsidRPr="006C13DF">
        <w:rPr>
          <w:rFonts w:ascii="Times New Roman" w:eastAsia="Times New Roman" w:hAnsi="Times New Roman" w:cs="Times New Roman"/>
          <w:sz w:val="24"/>
          <w:szCs w:val="24"/>
        </w:rPr>
        <w:t xml:space="preserve"> сезон  2023 – 2024 г., във връзка с Националната програма за подобряване на </w:t>
      </w:r>
      <w:proofErr w:type="spellStart"/>
      <w:r w:rsidRPr="006C13DF">
        <w:rPr>
          <w:rFonts w:ascii="Times New Roman" w:eastAsia="Times New Roman" w:hAnsi="Times New Roman" w:cs="Times New Roman"/>
          <w:sz w:val="24"/>
          <w:szCs w:val="24"/>
        </w:rPr>
        <w:t>ваксинопрофилактиката</w:t>
      </w:r>
      <w:proofErr w:type="spellEnd"/>
      <w:r w:rsidRPr="006C13DF">
        <w:rPr>
          <w:rFonts w:ascii="Times New Roman" w:eastAsia="Times New Roman" w:hAnsi="Times New Roman" w:cs="Times New Roman"/>
          <w:sz w:val="24"/>
          <w:szCs w:val="24"/>
        </w:rPr>
        <w:t xml:space="preserve"> на </w:t>
      </w:r>
      <w:proofErr w:type="spellStart"/>
      <w:r w:rsidRPr="006C13DF">
        <w:rPr>
          <w:rFonts w:ascii="Times New Roman" w:eastAsia="Times New Roman" w:hAnsi="Times New Roman" w:cs="Times New Roman"/>
          <w:sz w:val="24"/>
          <w:szCs w:val="24"/>
        </w:rPr>
        <w:t>пневмококовите</w:t>
      </w:r>
      <w:proofErr w:type="spellEnd"/>
      <w:r w:rsidRPr="006C13DF">
        <w:rPr>
          <w:rFonts w:ascii="Times New Roman" w:eastAsia="Times New Roman" w:hAnsi="Times New Roman" w:cs="Times New Roman"/>
          <w:sz w:val="24"/>
          <w:szCs w:val="24"/>
        </w:rPr>
        <w:t xml:space="preserve"> инфекции (2023 – 2026 г.), на лицата от целевата група са поставени 14 714 бр. ваксини и заплатени средства в размер на 1 463 160 хил. лв., които включват и ваксините. Сумите се заплащат с трансферни средства от Министерството на здравеопазването.</w:t>
      </w:r>
    </w:p>
    <w:p w14:paraId="4D89AB20" w14:textId="77777777" w:rsidR="003F357C" w:rsidRPr="006C13DF" w:rsidRDefault="003F357C" w:rsidP="003F357C">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Броят на поставените задължителни имунизации и реимунизации за 202</w:t>
      </w:r>
      <w:r w:rsidRPr="006C13DF">
        <w:rPr>
          <w:rFonts w:ascii="Times New Roman" w:eastAsia="Times New Roman" w:hAnsi="Times New Roman" w:cs="Times New Roman"/>
          <w:sz w:val="24"/>
          <w:szCs w:val="24"/>
          <w:lang w:val="en-US"/>
        </w:rPr>
        <w:t>3</w:t>
      </w:r>
      <w:r w:rsidRPr="006C13DF">
        <w:rPr>
          <w:rFonts w:ascii="Times New Roman" w:eastAsia="Times New Roman" w:hAnsi="Times New Roman" w:cs="Times New Roman"/>
          <w:sz w:val="24"/>
          <w:szCs w:val="24"/>
        </w:rPr>
        <w:t xml:space="preserve"> г., съгласно Наредба №15 от 2005 г. за имунизациите в Република България, за ЗОЛ над 18-годишна възраст са </w:t>
      </w:r>
      <w:r w:rsidRPr="006C13DF">
        <w:rPr>
          <w:rFonts w:ascii="Times New Roman" w:eastAsia="Times New Roman" w:hAnsi="Times New Roman" w:cs="Times New Roman"/>
          <w:sz w:val="24"/>
          <w:szCs w:val="24"/>
          <w:lang w:val="en-US"/>
        </w:rPr>
        <w:t>169</w:t>
      </w:r>
      <w:r w:rsidRPr="006C13DF">
        <w:rPr>
          <w:rFonts w:ascii="Times New Roman" w:eastAsia="Times New Roman" w:hAnsi="Times New Roman" w:cs="Times New Roman"/>
          <w:sz w:val="24"/>
          <w:szCs w:val="24"/>
        </w:rPr>
        <w:t xml:space="preserve">,5 хил. бр. за </w:t>
      </w:r>
      <w:r w:rsidRPr="006C13DF">
        <w:rPr>
          <w:rFonts w:ascii="Times New Roman" w:eastAsia="Times New Roman" w:hAnsi="Times New Roman" w:cs="Times New Roman"/>
          <w:sz w:val="24"/>
          <w:szCs w:val="24"/>
          <w:lang w:val="en-US"/>
        </w:rPr>
        <w:t>1 801</w:t>
      </w:r>
      <w:r w:rsidRPr="006C13DF">
        <w:rPr>
          <w:rFonts w:ascii="Times New Roman" w:eastAsia="Times New Roman" w:hAnsi="Times New Roman" w:cs="Times New Roman"/>
          <w:sz w:val="24"/>
          <w:szCs w:val="24"/>
        </w:rPr>
        <w:t>,3 хил. лв.</w:t>
      </w:r>
    </w:p>
    <w:p w14:paraId="3576CCB5" w14:textId="77777777" w:rsidR="003F357C" w:rsidRPr="006C13DF" w:rsidRDefault="003F357C" w:rsidP="003F357C">
      <w:pPr>
        <w:spacing w:after="0" w:line="240" w:lineRule="auto"/>
        <w:ind w:firstLine="708"/>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rPr>
        <w:t xml:space="preserve">За </w:t>
      </w:r>
      <w:r w:rsidRPr="00365933">
        <w:rPr>
          <w:rFonts w:ascii="Times New Roman" w:eastAsia="Times New Roman" w:hAnsi="Times New Roman" w:cs="Times New Roman"/>
          <w:b/>
          <w:sz w:val="24"/>
          <w:szCs w:val="24"/>
        </w:rPr>
        <w:t>лицата над 65-годишна възраст са поставени 60,6 хил. бр. имунизации</w:t>
      </w:r>
      <w:r w:rsidRPr="006C13DF">
        <w:rPr>
          <w:rFonts w:ascii="Times New Roman" w:eastAsia="Times New Roman" w:hAnsi="Times New Roman" w:cs="Times New Roman"/>
          <w:sz w:val="24"/>
          <w:szCs w:val="24"/>
        </w:rPr>
        <w:t xml:space="preserve">, а средствата за поставянето им е в размер 643,5 млн. лв., като в тях се включва броят и средствата на </w:t>
      </w:r>
      <w:r w:rsidRPr="006C13DF">
        <w:rPr>
          <w:rFonts w:ascii="Times New Roman" w:eastAsia="Times New Roman" w:hAnsi="Times New Roman" w:cs="Times New Roman"/>
          <w:sz w:val="24"/>
          <w:szCs w:val="24"/>
          <w:lang w:eastAsia="bg-BG" w:bidi="bg-BG"/>
        </w:rPr>
        <w:t>поставените дози на препоръчителна ваксина срещу COVID-19.</w:t>
      </w:r>
      <w:r w:rsidRPr="006C13DF">
        <w:rPr>
          <w:rFonts w:ascii="Times New Roman" w:eastAsia="Times New Roman" w:hAnsi="Times New Roman" w:cs="Times New Roman"/>
          <w:sz w:val="24"/>
          <w:szCs w:val="24"/>
        </w:rPr>
        <w:t xml:space="preserve"> </w:t>
      </w:r>
    </w:p>
    <w:p w14:paraId="29980CAE" w14:textId="77777777" w:rsidR="003F357C" w:rsidRPr="006C13DF" w:rsidRDefault="003F357C" w:rsidP="003F357C">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Броят на поставените задължителни имунизации и реимунизации за 202</w:t>
      </w:r>
      <w:r w:rsidRPr="006C13DF">
        <w:rPr>
          <w:rFonts w:ascii="Times New Roman" w:eastAsia="Times New Roman" w:hAnsi="Times New Roman" w:cs="Times New Roman"/>
          <w:sz w:val="24"/>
          <w:szCs w:val="24"/>
          <w:lang w:val="en-US"/>
        </w:rPr>
        <w:t>4</w:t>
      </w:r>
      <w:r w:rsidRPr="006C13DF">
        <w:rPr>
          <w:rFonts w:ascii="Times New Roman" w:eastAsia="Times New Roman" w:hAnsi="Times New Roman" w:cs="Times New Roman"/>
          <w:sz w:val="24"/>
          <w:szCs w:val="24"/>
        </w:rPr>
        <w:t xml:space="preserve"> г., съгласно Наредба №15 от 2005 г. за имунизациите в Република България, за ЗОЛ над 18-годишна възраст са </w:t>
      </w:r>
      <w:r w:rsidRPr="006C13DF">
        <w:rPr>
          <w:rFonts w:ascii="Times New Roman" w:eastAsia="Times New Roman" w:hAnsi="Times New Roman" w:cs="Times New Roman"/>
          <w:bCs/>
          <w:sz w:val="24"/>
          <w:szCs w:val="24"/>
          <w:lang w:val="en-US"/>
        </w:rPr>
        <w:t>175</w:t>
      </w:r>
      <w:r w:rsidRPr="006C13DF">
        <w:rPr>
          <w:rFonts w:ascii="Times New Roman" w:eastAsia="Times New Roman" w:hAnsi="Times New Roman" w:cs="Times New Roman"/>
          <w:bCs/>
          <w:sz w:val="24"/>
          <w:szCs w:val="24"/>
        </w:rPr>
        <w:t>,</w:t>
      </w:r>
      <w:r w:rsidRPr="006C13DF">
        <w:rPr>
          <w:rFonts w:ascii="Times New Roman" w:eastAsia="Times New Roman" w:hAnsi="Times New Roman" w:cs="Times New Roman"/>
          <w:bCs/>
          <w:sz w:val="24"/>
          <w:szCs w:val="24"/>
          <w:lang w:val="en-US"/>
        </w:rPr>
        <w:t>4</w:t>
      </w:r>
      <w:r w:rsidRPr="006C13DF">
        <w:rPr>
          <w:rFonts w:ascii="Times New Roman" w:eastAsia="Times New Roman" w:hAnsi="Times New Roman" w:cs="Times New Roman"/>
          <w:bCs/>
          <w:sz w:val="24"/>
          <w:szCs w:val="24"/>
        </w:rPr>
        <w:t xml:space="preserve"> хил. </w:t>
      </w:r>
      <w:r w:rsidRPr="006C13DF">
        <w:rPr>
          <w:rFonts w:ascii="Times New Roman" w:eastAsia="Times New Roman" w:hAnsi="Times New Roman" w:cs="Times New Roman"/>
          <w:sz w:val="24"/>
          <w:szCs w:val="24"/>
        </w:rPr>
        <w:t>бр. за</w:t>
      </w:r>
      <w:r w:rsidRPr="006C13DF">
        <w:rPr>
          <w:rFonts w:ascii="Times New Roman" w:eastAsia="Times New Roman" w:hAnsi="Times New Roman" w:cs="Times New Roman"/>
          <w:bCs/>
          <w:sz w:val="24"/>
          <w:szCs w:val="24"/>
        </w:rPr>
        <w:t xml:space="preserve"> 2 672,4 хил. </w:t>
      </w:r>
      <w:r w:rsidRPr="006C13DF">
        <w:rPr>
          <w:rFonts w:ascii="Times New Roman" w:eastAsia="Times New Roman" w:hAnsi="Times New Roman" w:cs="Times New Roman"/>
          <w:sz w:val="24"/>
          <w:szCs w:val="24"/>
        </w:rPr>
        <w:t>лв.</w:t>
      </w:r>
    </w:p>
    <w:p w14:paraId="492B2948" w14:textId="77777777" w:rsidR="003F357C" w:rsidRPr="006C13DF" w:rsidRDefault="003F357C" w:rsidP="003F357C">
      <w:pPr>
        <w:spacing w:after="0" w:line="240" w:lineRule="auto"/>
        <w:ind w:firstLine="567"/>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rPr>
        <w:tab/>
        <w:t xml:space="preserve">Само за </w:t>
      </w:r>
      <w:r w:rsidRPr="00365933">
        <w:rPr>
          <w:rFonts w:ascii="Times New Roman" w:eastAsia="Times New Roman" w:hAnsi="Times New Roman" w:cs="Times New Roman"/>
          <w:b/>
          <w:sz w:val="24"/>
          <w:szCs w:val="24"/>
        </w:rPr>
        <w:t>лицата над 65-годишна възраст са поставени 60,9 хил. бр. имунизации</w:t>
      </w:r>
      <w:r w:rsidRPr="006C13DF">
        <w:rPr>
          <w:rFonts w:ascii="Times New Roman" w:eastAsia="Times New Roman" w:hAnsi="Times New Roman" w:cs="Times New Roman"/>
          <w:sz w:val="24"/>
          <w:szCs w:val="24"/>
        </w:rPr>
        <w:t xml:space="preserve">, а средствата за поставянето им е в размер 918,8 хил. лв., като в тях се включват броят и средствата на </w:t>
      </w:r>
      <w:r w:rsidRPr="006C13DF">
        <w:rPr>
          <w:rFonts w:ascii="Times New Roman" w:eastAsia="Times New Roman" w:hAnsi="Times New Roman" w:cs="Times New Roman"/>
          <w:sz w:val="24"/>
          <w:szCs w:val="24"/>
          <w:lang w:eastAsia="bg-BG" w:bidi="bg-BG"/>
        </w:rPr>
        <w:t>поставените дози на препоръчителна ваксина срещу COVID-19.</w:t>
      </w:r>
    </w:p>
    <w:p w14:paraId="17DB803B" w14:textId="77777777" w:rsidR="003F357C" w:rsidRPr="006C13DF" w:rsidRDefault="003F357C" w:rsidP="00E91E47">
      <w:pPr>
        <w:pStyle w:val="ListParagraph"/>
        <w:spacing w:after="0" w:line="240" w:lineRule="auto"/>
        <w:ind w:left="0"/>
        <w:jc w:val="both"/>
        <w:rPr>
          <w:rFonts w:ascii="Times New Roman" w:hAnsi="Times New Roman" w:cs="Times New Roman"/>
          <w:b/>
          <w:sz w:val="24"/>
          <w:szCs w:val="24"/>
        </w:rPr>
      </w:pPr>
    </w:p>
    <w:p w14:paraId="5AD31F70" w14:textId="77777777" w:rsidR="003F357C" w:rsidRPr="006C13DF" w:rsidRDefault="003F357C" w:rsidP="003F357C">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lastRenderedPageBreak/>
        <w:t xml:space="preserve">НАЦИОНАЛНА ЗДРАВНООСИГУРИТЕЛНА КАСА </w:t>
      </w:r>
    </w:p>
    <w:p w14:paraId="7069FAE1" w14:textId="77777777" w:rsidR="003F357C" w:rsidRPr="006C13DF" w:rsidRDefault="003F357C" w:rsidP="00E91E47">
      <w:pPr>
        <w:pStyle w:val="ListParagraph"/>
        <w:spacing w:after="0" w:line="240" w:lineRule="auto"/>
        <w:ind w:left="0"/>
        <w:jc w:val="both"/>
        <w:rPr>
          <w:rFonts w:ascii="Times New Roman" w:hAnsi="Times New Roman" w:cs="Times New Roman"/>
          <w:b/>
          <w:i/>
        </w:rPr>
      </w:pPr>
    </w:p>
    <w:p w14:paraId="2CCA78DC" w14:textId="77777777" w:rsidR="003F357C" w:rsidRPr="006C13DF" w:rsidRDefault="00447907" w:rsidP="00447907">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 xml:space="preserve">3.1.9. </w:t>
      </w:r>
      <w:r w:rsidR="003F357C" w:rsidRPr="006C13DF">
        <w:rPr>
          <w:rFonts w:ascii="Times New Roman" w:hAnsi="Times New Roman" w:cs="Times New Roman"/>
          <w:b/>
          <w:sz w:val="24"/>
          <w:szCs w:val="24"/>
        </w:rPr>
        <w:t>НЗОК осигурява прегледи по диспансерно наблюдение на ЗОЛ с едно и повече заболявания, извършени от изпълнител на ПИМП, първични специализирани прегледи и специализиран преглед по диспансерно наблюдение, извършени от изпълнител на СИМП, както и необходимите високоспециализирани дейности.</w:t>
      </w:r>
    </w:p>
    <w:p w14:paraId="6E8B51C8" w14:textId="77777777" w:rsidR="003F357C" w:rsidRPr="006C13DF" w:rsidRDefault="003F357C" w:rsidP="00447907">
      <w:pPr>
        <w:pStyle w:val="ListParagraph"/>
        <w:spacing w:after="0" w:line="240" w:lineRule="auto"/>
        <w:ind w:left="0"/>
        <w:jc w:val="both"/>
        <w:rPr>
          <w:rFonts w:ascii="Times New Roman" w:hAnsi="Times New Roman" w:cs="Times New Roman"/>
          <w:b/>
          <w:i/>
          <w:sz w:val="24"/>
          <w:szCs w:val="24"/>
        </w:rPr>
      </w:pPr>
    </w:p>
    <w:p w14:paraId="71CD58E5" w14:textId="77777777" w:rsidR="003F357C" w:rsidRPr="006C13DF" w:rsidRDefault="00FA1B8C" w:rsidP="003F357C">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r>
      <w:r w:rsidR="003F357C" w:rsidRPr="006C13DF">
        <w:rPr>
          <w:rFonts w:ascii="Times New Roman" w:eastAsia="Times New Roman" w:hAnsi="Times New Roman" w:cs="Times New Roman"/>
          <w:sz w:val="24"/>
          <w:szCs w:val="24"/>
        </w:rPr>
        <w:t xml:space="preserve">Заболеваемостта от хронични незаразни болести се увеличава с напредването на възрастта. Тези заболявания често водят до </w:t>
      </w:r>
      <w:proofErr w:type="spellStart"/>
      <w:r w:rsidR="003F357C" w:rsidRPr="006C13DF">
        <w:rPr>
          <w:rFonts w:ascii="Times New Roman" w:eastAsia="Times New Roman" w:hAnsi="Times New Roman" w:cs="Times New Roman"/>
          <w:sz w:val="24"/>
          <w:szCs w:val="24"/>
        </w:rPr>
        <w:t>инвалидизация</w:t>
      </w:r>
      <w:proofErr w:type="spellEnd"/>
      <w:r w:rsidR="003F357C" w:rsidRPr="006C13DF">
        <w:rPr>
          <w:rFonts w:ascii="Times New Roman" w:eastAsia="Times New Roman" w:hAnsi="Times New Roman" w:cs="Times New Roman"/>
          <w:sz w:val="24"/>
          <w:szCs w:val="24"/>
        </w:rPr>
        <w:t xml:space="preserve">, която влошава качеството на живота на възрастните хора, а също и са причина за висока преждевременна смъртност. В тази връзка НЗОК осигурява прегледи и изследвания по диспансерно наблюдение на ЗОЛ с едно и повече заболявания, които се извършват както от изпълнител на първична извънболнична медицинска помощ </w:t>
      </w:r>
      <w:r w:rsidR="003F357C" w:rsidRPr="006C13DF">
        <w:rPr>
          <w:rFonts w:ascii="Times New Roman" w:eastAsia="Times New Roman" w:hAnsi="Times New Roman" w:cs="Times New Roman"/>
          <w:sz w:val="24"/>
          <w:szCs w:val="24"/>
          <w:lang w:val="en-US"/>
        </w:rPr>
        <w:t>(</w:t>
      </w:r>
      <w:r w:rsidR="003F357C" w:rsidRPr="006C13DF">
        <w:rPr>
          <w:rFonts w:ascii="Times New Roman" w:eastAsia="Times New Roman" w:hAnsi="Times New Roman" w:cs="Times New Roman"/>
          <w:sz w:val="24"/>
          <w:szCs w:val="24"/>
        </w:rPr>
        <w:t>ПИМП</w:t>
      </w:r>
      <w:r w:rsidR="003F357C" w:rsidRPr="006C13DF">
        <w:rPr>
          <w:rFonts w:ascii="Times New Roman" w:eastAsia="Times New Roman" w:hAnsi="Times New Roman" w:cs="Times New Roman"/>
          <w:sz w:val="24"/>
          <w:szCs w:val="24"/>
          <w:lang w:val="en-US"/>
        </w:rPr>
        <w:t>)</w:t>
      </w:r>
      <w:r w:rsidR="003F357C" w:rsidRPr="006C13DF">
        <w:rPr>
          <w:rFonts w:ascii="Times New Roman" w:eastAsia="Times New Roman" w:hAnsi="Times New Roman" w:cs="Times New Roman"/>
          <w:sz w:val="24"/>
          <w:szCs w:val="24"/>
        </w:rPr>
        <w:t xml:space="preserve">, така и от изпълнители специализирана извънболнична медицинска помощ </w:t>
      </w:r>
      <w:r w:rsidR="003F357C" w:rsidRPr="006C13DF">
        <w:rPr>
          <w:rFonts w:ascii="Times New Roman" w:eastAsia="Times New Roman" w:hAnsi="Times New Roman" w:cs="Times New Roman"/>
          <w:sz w:val="24"/>
          <w:szCs w:val="24"/>
          <w:lang w:val="en-US"/>
        </w:rPr>
        <w:t>(</w:t>
      </w:r>
      <w:r w:rsidR="003F357C" w:rsidRPr="006C13DF">
        <w:rPr>
          <w:rFonts w:ascii="Times New Roman" w:eastAsia="Times New Roman" w:hAnsi="Times New Roman" w:cs="Times New Roman"/>
          <w:sz w:val="24"/>
          <w:szCs w:val="24"/>
        </w:rPr>
        <w:t>СИМП</w:t>
      </w:r>
      <w:r w:rsidR="003F357C" w:rsidRPr="006C13DF">
        <w:rPr>
          <w:rFonts w:ascii="Times New Roman" w:eastAsia="Times New Roman" w:hAnsi="Times New Roman" w:cs="Times New Roman"/>
          <w:sz w:val="24"/>
          <w:szCs w:val="24"/>
          <w:lang w:val="en-US"/>
        </w:rPr>
        <w:t>)</w:t>
      </w:r>
      <w:r w:rsidR="003F357C" w:rsidRPr="006C13DF">
        <w:rPr>
          <w:rFonts w:ascii="Times New Roman" w:eastAsia="Times New Roman" w:hAnsi="Times New Roman" w:cs="Times New Roman"/>
          <w:sz w:val="24"/>
          <w:szCs w:val="24"/>
        </w:rPr>
        <w:t>.</w:t>
      </w:r>
    </w:p>
    <w:p w14:paraId="6DD8311D" w14:textId="77777777" w:rsidR="003F357C" w:rsidRPr="006C13DF" w:rsidRDefault="003F357C" w:rsidP="003F357C">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Диспансерното наблюдение в извънболничната помощ</w:t>
      </w:r>
      <w:r w:rsidRPr="006C13DF">
        <w:rPr>
          <w:rFonts w:ascii="Times New Roman" w:eastAsia="Times New Roman" w:hAnsi="Times New Roman" w:cs="Times New Roman"/>
          <w:b/>
          <w:sz w:val="24"/>
          <w:szCs w:val="24"/>
        </w:rPr>
        <w:t xml:space="preserve"> </w:t>
      </w:r>
      <w:r w:rsidRPr="006C13DF">
        <w:rPr>
          <w:rFonts w:ascii="Times New Roman" w:eastAsia="Times New Roman" w:hAnsi="Times New Roman" w:cs="Times New Roman"/>
          <w:sz w:val="24"/>
          <w:szCs w:val="24"/>
        </w:rPr>
        <w:t xml:space="preserve">се осъществява по </w:t>
      </w:r>
      <w:r w:rsidR="00FA1B8C" w:rsidRPr="006C13DF">
        <w:rPr>
          <w:rFonts w:ascii="Times New Roman" w:eastAsia="Times New Roman" w:hAnsi="Times New Roman" w:cs="Times New Roman"/>
          <w:sz w:val="24"/>
          <w:szCs w:val="24"/>
        </w:rPr>
        <w:t>Приложения №</w:t>
      </w:r>
      <w:r w:rsidRPr="006C13DF">
        <w:rPr>
          <w:rFonts w:ascii="Times New Roman" w:eastAsia="Times New Roman" w:hAnsi="Times New Roman" w:cs="Times New Roman"/>
          <w:sz w:val="24"/>
          <w:szCs w:val="24"/>
        </w:rPr>
        <w:t xml:space="preserve">8 „Пакет дейности и изследвания на ЗОЛ по МКБ, диспансеризирани от ОПЛ“ и по </w:t>
      </w:r>
      <w:r w:rsidR="00FA1B8C" w:rsidRPr="006C13DF">
        <w:rPr>
          <w:rFonts w:ascii="Times New Roman" w:eastAsia="Times New Roman" w:hAnsi="Times New Roman" w:cs="Times New Roman"/>
          <w:sz w:val="24"/>
          <w:szCs w:val="24"/>
        </w:rPr>
        <w:t>Приложения №</w:t>
      </w:r>
      <w:r w:rsidRPr="006C13DF">
        <w:rPr>
          <w:rFonts w:ascii="Times New Roman" w:eastAsia="Times New Roman" w:hAnsi="Times New Roman" w:cs="Times New Roman"/>
          <w:sz w:val="24"/>
          <w:szCs w:val="24"/>
        </w:rPr>
        <w:t>13 „Пакет дейности и изследвания на ЗОЛ по МКБ, диспансеризирани от лекар специалист“, съгласно НРД за МД 202</w:t>
      </w:r>
      <w:r w:rsidRPr="006C13DF">
        <w:rPr>
          <w:rFonts w:ascii="Times New Roman" w:eastAsia="Times New Roman" w:hAnsi="Times New Roman" w:cs="Times New Roman"/>
          <w:sz w:val="24"/>
          <w:szCs w:val="24"/>
          <w:lang w:val="en-US"/>
        </w:rPr>
        <w:t>3</w:t>
      </w:r>
      <w:r w:rsidR="00FA1B8C" w:rsidRPr="006C13DF">
        <w:rPr>
          <w:rFonts w:ascii="Times New Roman" w:eastAsia="Times New Roman" w:hAnsi="Times New Roman" w:cs="Times New Roman"/>
          <w:sz w:val="24"/>
          <w:szCs w:val="24"/>
        </w:rPr>
        <w:t xml:space="preserve"> – </w:t>
      </w:r>
      <w:r w:rsidRPr="006C13DF">
        <w:rPr>
          <w:rFonts w:ascii="Times New Roman" w:eastAsia="Times New Roman" w:hAnsi="Times New Roman" w:cs="Times New Roman"/>
          <w:sz w:val="24"/>
          <w:szCs w:val="24"/>
        </w:rPr>
        <w:t>202</w:t>
      </w:r>
      <w:r w:rsidRPr="006C13DF">
        <w:rPr>
          <w:rFonts w:ascii="Times New Roman" w:eastAsia="Times New Roman" w:hAnsi="Times New Roman" w:cs="Times New Roman"/>
          <w:sz w:val="24"/>
          <w:szCs w:val="24"/>
          <w:lang w:val="en-US"/>
        </w:rPr>
        <w:t>5</w:t>
      </w:r>
      <w:r w:rsidRPr="006C13DF">
        <w:rPr>
          <w:rFonts w:ascii="Times New Roman" w:eastAsia="Times New Roman" w:hAnsi="Times New Roman" w:cs="Times New Roman"/>
          <w:sz w:val="24"/>
          <w:szCs w:val="24"/>
        </w:rPr>
        <w:t xml:space="preserve"> г.</w:t>
      </w:r>
    </w:p>
    <w:p w14:paraId="19E12358" w14:textId="77777777" w:rsidR="003F357C" w:rsidRPr="006C13DF" w:rsidRDefault="003F357C" w:rsidP="003F357C">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 xml:space="preserve">Едно диспансеризирано ЗОЛ над 18 г., когато е със заболявания, класифицирани в един клас, но с различни МКБ кодове, за едни от които подлежи на диспансерно </w:t>
      </w:r>
      <w:r w:rsidR="00FA1B8C" w:rsidRPr="006C13DF">
        <w:rPr>
          <w:rFonts w:ascii="Times New Roman" w:eastAsia="Times New Roman" w:hAnsi="Times New Roman" w:cs="Times New Roman"/>
          <w:sz w:val="24"/>
          <w:szCs w:val="24"/>
        </w:rPr>
        <w:t>наблюдение при ОПЛ, а за други –</w:t>
      </w:r>
      <w:r w:rsidRPr="006C13DF">
        <w:rPr>
          <w:rFonts w:ascii="Times New Roman" w:eastAsia="Times New Roman" w:hAnsi="Times New Roman" w:cs="Times New Roman"/>
          <w:sz w:val="24"/>
          <w:szCs w:val="24"/>
        </w:rPr>
        <w:t xml:space="preserve"> при лекар специалист, то този пациент подлежи на диспансерно наблюдение (медицински дейности и изследвания по вид, периодичност и честота) за всички забо</w:t>
      </w:r>
      <w:r w:rsidR="00FA1B8C" w:rsidRPr="006C13DF">
        <w:rPr>
          <w:rFonts w:ascii="Times New Roman" w:eastAsia="Times New Roman" w:hAnsi="Times New Roman" w:cs="Times New Roman"/>
          <w:sz w:val="24"/>
          <w:szCs w:val="24"/>
        </w:rPr>
        <w:t>лявания изцяло от ОПЛ съгласно П</w:t>
      </w:r>
      <w:r w:rsidRPr="006C13DF">
        <w:rPr>
          <w:rFonts w:ascii="Times New Roman" w:eastAsia="Times New Roman" w:hAnsi="Times New Roman" w:cs="Times New Roman"/>
          <w:sz w:val="24"/>
          <w:szCs w:val="24"/>
        </w:rPr>
        <w:t>риложения №8</w:t>
      </w:r>
      <w:r w:rsidRPr="006C13DF">
        <w:rPr>
          <w:rFonts w:ascii="Times New Roman" w:eastAsia="Times New Roman" w:hAnsi="Times New Roman" w:cs="Times New Roman"/>
          <w:sz w:val="24"/>
          <w:szCs w:val="24"/>
          <w:lang w:val="en-US"/>
        </w:rPr>
        <w:t xml:space="preserve"> </w:t>
      </w:r>
      <w:r w:rsidR="00FA1B8C" w:rsidRPr="006C13DF">
        <w:rPr>
          <w:rFonts w:ascii="Times New Roman" w:eastAsia="Times New Roman" w:hAnsi="Times New Roman" w:cs="Times New Roman"/>
          <w:sz w:val="24"/>
          <w:szCs w:val="24"/>
        </w:rPr>
        <w:t>и П</w:t>
      </w:r>
      <w:r w:rsidRPr="006C13DF">
        <w:rPr>
          <w:rFonts w:ascii="Times New Roman" w:eastAsia="Times New Roman" w:hAnsi="Times New Roman" w:cs="Times New Roman"/>
          <w:sz w:val="24"/>
          <w:szCs w:val="24"/>
        </w:rPr>
        <w:t>риложения №13 съгласно НРД за МД 202</w:t>
      </w:r>
      <w:r w:rsidRPr="006C13DF">
        <w:rPr>
          <w:rFonts w:ascii="Times New Roman" w:eastAsia="Times New Roman" w:hAnsi="Times New Roman" w:cs="Times New Roman"/>
          <w:sz w:val="24"/>
          <w:szCs w:val="24"/>
          <w:lang w:val="en-US"/>
        </w:rPr>
        <w:t>3</w:t>
      </w:r>
      <w:r w:rsidR="00FA1B8C" w:rsidRPr="006C13DF">
        <w:rPr>
          <w:rFonts w:ascii="Times New Roman" w:eastAsia="Times New Roman" w:hAnsi="Times New Roman" w:cs="Times New Roman"/>
          <w:sz w:val="24"/>
          <w:szCs w:val="24"/>
        </w:rPr>
        <w:t xml:space="preserve"> – </w:t>
      </w:r>
      <w:r w:rsidRPr="006C13DF">
        <w:rPr>
          <w:rFonts w:ascii="Times New Roman" w:eastAsia="Times New Roman" w:hAnsi="Times New Roman" w:cs="Times New Roman"/>
          <w:sz w:val="24"/>
          <w:szCs w:val="24"/>
        </w:rPr>
        <w:t>202</w:t>
      </w:r>
      <w:r w:rsidRPr="006C13DF">
        <w:rPr>
          <w:rFonts w:ascii="Times New Roman" w:eastAsia="Times New Roman" w:hAnsi="Times New Roman" w:cs="Times New Roman"/>
          <w:sz w:val="24"/>
          <w:szCs w:val="24"/>
          <w:lang w:val="en-US"/>
        </w:rPr>
        <w:t>5</w:t>
      </w:r>
      <w:r w:rsidR="00FA1B8C" w:rsidRPr="006C13DF">
        <w:rPr>
          <w:rFonts w:ascii="Times New Roman" w:eastAsia="Times New Roman" w:hAnsi="Times New Roman" w:cs="Times New Roman"/>
          <w:sz w:val="24"/>
          <w:szCs w:val="24"/>
        </w:rPr>
        <w:t xml:space="preserve"> </w:t>
      </w:r>
      <w:r w:rsidRPr="006C13DF">
        <w:rPr>
          <w:rFonts w:ascii="Times New Roman" w:eastAsia="Times New Roman" w:hAnsi="Times New Roman" w:cs="Times New Roman"/>
          <w:sz w:val="24"/>
          <w:szCs w:val="24"/>
        </w:rPr>
        <w:t xml:space="preserve">г. Изключение се допуска за пациентите с </w:t>
      </w:r>
      <w:proofErr w:type="spellStart"/>
      <w:r w:rsidRPr="006C13DF">
        <w:rPr>
          <w:rFonts w:ascii="Times New Roman" w:eastAsia="Times New Roman" w:hAnsi="Times New Roman" w:cs="Times New Roman"/>
          <w:sz w:val="24"/>
          <w:szCs w:val="24"/>
        </w:rPr>
        <w:t>инсулинозависим</w:t>
      </w:r>
      <w:proofErr w:type="spellEnd"/>
      <w:r w:rsidRPr="006C13DF">
        <w:rPr>
          <w:rFonts w:ascii="Times New Roman" w:eastAsia="Times New Roman" w:hAnsi="Times New Roman" w:cs="Times New Roman"/>
          <w:sz w:val="24"/>
          <w:szCs w:val="24"/>
        </w:rPr>
        <w:t xml:space="preserve"> захарен диабет, </w:t>
      </w:r>
      <w:proofErr w:type="spellStart"/>
      <w:r w:rsidRPr="006C13DF">
        <w:rPr>
          <w:rFonts w:ascii="Times New Roman" w:eastAsia="Times New Roman" w:hAnsi="Times New Roman" w:cs="Times New Roman"/>
          <w:sz w:val="24"/>
          <w:szCs w:val="24"/>
        </w:rPr>
        <w:t>неинсулинозависим</w:t>
      </w:r>
      <w:proofErr w:type="spellEnd"/>
      <w:r w:rsidRPr="006C13DF">
        <w:rPr>
          <w:rFonts w:ascii="Times New Roman" w:eastAsia="Times New Roman" w:hAnsi="Times New Roman" w:cs="Times New Roman"/>
          <w:sz w:val="24"/>
          <w:szCs w:val="24"/>
        </w:rPr>
        <w:t xml:space="preserve"> захарен диабет на </w:t>
      </w:r>
      <w:proofErr w:type="spellStart"/>
      <w:r w:rsidRPr="006C13DF">
        <w:rPr>
          <w:rFonts w:ascii="Times New Roman" w:eastAsia="Times New Roman" w:hAnsi="Times New Roman" w:cs="Times New Roman"/>
          <w:sz w:val="24"/>
          <w:szCs w:val="24"/>
        </w:rPr>
        <w:t>инсулинолечение</w:t>
      </w:r>
      <w:proofErr w:type="spellEnd"/>
      <w:r w:rsidRPr="006C13DF">
        <w:rPr>
          <w:rFonts w:ascii="Times New Roman" w:eastAsia="Times New Roman" w:hAnsi="Times New Roman" w:cs="Times New Roman"/>
          <w:sz w:val="24"/>
          <w:szCs w:val="24"/>
        </w:rPr>
        <w:t xml:space="preserve"> и пациенти, претърпели сърдечни интервенции и/или операции до края на първата година след интервенцията/операцията, при които диспансерното набл</w:t>
      </w:r>
      <w:r w:rsidR="00FA1B8C" w:rsidRPr="006C13DF">
        <w:rPr>
          <w:rFonts w:ascii="Times New Roman" w:eastAsia="Times New Roman" w:hAnsi="Times New Roman" w:cs="Times New Roman"/>
          <w:sz w:val="24"/>
          <w:szCs w:val="24"/>
        </w:rPr>
        <w:t>юдение се осъществява от лекар –</w:t>
      </w:r>
      <w:r w:rsidRPr="006C13DF">
        <w:rPr>
          <w:rFonts w:ascii="Times New Roman" w:eastAsia="Times New Roman" w:hAnsi="Times New Roman" w:cs="Times New Roman"/>
          <w:sz w:val="24"/>
          <w:szCs w:val="24"/>
        </w:rPr>
        <w:t xml:space="preserve"> специалист от СИМП. Когато ЗОЛ подлежи на диспансерно наблюдение за всички заболявания изцяло от ОПЛ, е препоръчително извършването на консултативни преглед</w:t>
      </w:r>
      <w:r w:rsidR="00FA1B8C" w:rsidRPr="006C13DF">
        <w:rPr>
          <w:rFonts w:ascii="Times New Roman" w:eastAsia="Times New Roman" w:hAnsi="Times New Roman" w:cs="Times New Roman"/>
          <w:sz w:val="24"/>
          <w:szCs w:val="24"/>
        </w:rPr>
        <w:t>и от съответния лекар –</w:t>
      </w:r>
      <w:r w:rsidRPr="006C13DF">
        <w:rPr>
          <w:rFonts w:ascii="Times New Roman" w:eastAsia="Times New Roman" w:hAnsi="Times New Roman" w:cs="Times New Roman"/>
          <w:sz w:val="24"/>
          <w:szCs w:val="24"/>
        </w:rPr>
        <w:t xml:space="preserve"> специалист от СИМП, за съответната календарна година по преценка на ОПЛ, като в тези случаи ОПЛ насочва пациента за консултативен преглед със съответното медицинско направление.</w:t>
      </w:r>
    </w:p>
    <w:p w14:paraId="6D15998B" w14:textId="77777777" w:rsidR="003F357C" w:rsidRPr="006C13DF" w:rsidRDefault="003F357C" w:rsidP="003F357C">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За 202</w:t>
      </w:r>
      <w:r w:rsidRPr="006C13DF">
        <w:rPr>
          <w:rFonts w:ascii="Times New Roman" w:eastAsia="Times New Roman" w:hAnsi="Times New Roman" w:cs="Times New Roman"/>
          <w:sz w:val="24"/>
          <w:szCs w:val="24"/>
          <w:lang w:val="en-US"/>
        </w:rPr>
        <w:t>3</w:t>
      </w:r>
      <w:r w:rsidRPr="006C13DF">
        <w:rPr>
          <w:rFonts w:ascii="Times New Roman" w:eastAsia="Times New Roman" w:hAnsi="Times New Roman" w:cs="Times New Roman"/>
          <w:sz w:val="24"/>
          <w:szCs w:val="24"/>
        </w:rPr>
        <w:t xml:space="preserve"> г., за прегледи по диспансерно наблюдение на здравноосигурени лица извършени от изпълнители на ПИМП, са заплатени 4 464,7 хил. бр. прегледи на стойност 95 804,5 хил. лв., а от изпълнители на СИМП – </w:t>
      </w:r>
      <w:r w:rsidRPr="006C13DF">
        <w:rPr>
          <w:rFonts w:ascii="Times New Roman" w:eastAsia="Times New Roman" w:hAnsi="Times New Roman" w:cs="Times New Roman"/>
          <w:sz w:val="24"/>
          <w:szCs w:val="24"/>
          <w:lang w:val="en-US"/>
        </w:rPr>
        <w:t>603</w:t>
      </w:r>
      <w:r w:rsidRPr="006C13DF">
        <w:rPr>
          <w:rFonts w:ascii="Times New Roman" w:eastAsia="Times New Roman" w:hAnsi="Times New Roman" w:cs="Times New Roman"/>
          <w:sz w:val="24"/>
          <w:szCs w:val="24"/>
        </w:rPr>
        <w:t xml:space="preserve"> хил. бр. прегледи</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 xml:space="preserve">за </w:t>
      </w:r>
      <w:r w:rsidRPr="006C13DF">
        <w:rPr>
          <w:rFonts w:ascii="Times New Roman" w:eastAsia="Times New Roman" w:hAnsi="Times New Roman" w:cs="Times New Roman"/>
          <w:sz w:val="24"/>
          <w:szCs w:val="24"/>
          <w:lang w:val="en-US"/>
        </w:rPr>
        <w:t>13 028,5</w:t>
      </w:r>
      <w:r w:rsidRPr="006C13DF">
        <w:rPr>
          <w:rFonts w:ascii="Times New Roman" w:eastAsia="Times New Roman" w:hAnsi="Times New Roman" w:cs="Times New Roman"/>
          <w:sz w:val="24"/>
          <w:szCs w:val="24"/>
        </w:rPr>
        <w:t xml:space="preserve"> хил. лв. Заплатените суми за МДД по повод дисп</w:t>
      </w:r>
      <w:r w:rsidR="00FA1B8C" w:rsidRPr="006C13DF">
        <w:rPr>
          <w:rFonts w:ascii="Times New Roman" w:eastAsia="Times New Roman" w:hAnsi="Times New Roman" w:cs="Times New Roman"/>
          <w:sz w:val="24"/>
          <w:szCs w:val="24"/>
        </w:rPr>
        <w:t>ансерно наблюдение са 20 864,8 </w:t>
      </w:r>
      <w:r w:rsidRPr="006C13DF">
        <w:rPr>
          <w:rFonts w:ascii="Times New Roman" w:eastAsia="Times New Roman" w:hAnsi="Times New Roman" w:cs="Times New Roman"/>
          <w:sz w:val="24"/>
          <w:szCs w:val="24"/>
        </w:rPr>
        <w:t>хил. лв.</w:t>
      </w:r>
    </w:p>
    <w:p w14:paraId="70B05AA3" w14:textId="77777777" w:rsidR="003F357C" w:rsidRPr="006C13DF" w:rsidRDefault="003F357C" w:rsidP="003F357C">
      <w:pPr>
        <w:spacing w:after="0" w:line="240" w:lineRule="auto"/>
        <w:ind w:firstLine="708"/>
        <w:jc w:val="both"/>
        <w:rPr>
          <w:rFonts w:ascii="Times New Roman" w:eastAsia="Times New Roman" w:hAnsi="Times New Roman" w:cs="Times New Roman"/>
          <w:sz w:val="20"/>
          <w:szCs w:val="20"/>
          <w:lang w:val="en-US"/>
        </w:rPr>
      </w:pPr>
      <w:r w:rsidRPr="006C13DF">
        <w:rPr>
          <w:rFonts w:ascii="Times New Roman" w:eastAsia="Times New Roman" w:hAnsi="Times New Roman" w:cs="Times New Roman"/>
          <w:sz w:val="24"/>
          <w:szCs w:val="24"/>
        </w:rPr>
        <w:t>При диспансерното наблюдение на лицата над 65-годишна възраст са заплатени 2 </w:t>
      </w:r>
      <w:r w:rsidRPr="006C13DF">
        <w:rPr>
          <w:rFonts w:ascii="Times New Roman" w:eastAsia="Times New Roman" w:hAnsi="Times New Roman" w:cs="Times New Roman"/>
          <w:sz w:val="24"/>
          <w:szCs w:val="24"/>
          <w:lang w:val="en-US"/>
        </w:rPr>
        <w:t>765 </w:t>
      </w:r>
      <w:r w:rsidRPr="006C13DF">
        <w:rPr>
          <w:rFonts w:ascii="Times New Roman" w:eastAsia="Times New Roman" w:hAnsi="Times New Roman" w:cs="Times New Roman"/>
          <w:sz w:val="24"/>
          <w:szCs w:val="24"/>
        </w:rPr>
        <w:t xml:space="preserve">хил. бр. прегледи на стойност </w:t>
      </w:r>
      <w:r w:rsidRPr="006C13DF">
        <w:rPr>
          <w:rFonts w:ascii="Times New Roman" w:eastAsia="Times New Roman" w:hAnsi="Times New Roman" w:cs="Times New Roman"/>
          <w:sz w:val="24"/>
          <w:szCs w:val="24"/>
          <w:lang w:val="en-US"/>
        </w:rPr>
        <w:t>60 375</w:t>
      </w:r>
      <w:r w:rsidRPr="006C13DF">
        <w:rPr>
          <w:rFonts w:ascii="Times New Roman" w:eastAsia="Times New Roman" w:hAnsi="Times New Roman" w:cs="Times New Roman"/>
          <w:sz w:val="24"/>
          <w:szCs w:val="24"/>
        </w:rPr>
        <w:t xml:space="preserve"> хил.</w:t>
      </w:r>
      <w:r w:rsidR="00FA1B8C" w:rsidRPr="006C13DF">
        <w:rPr>
          <w:rFonts w:ascii="Times New Roman" w:eastAsia="Times New Roman" w:hAnsi="Times New Roman" w:cs="Times New Roman"/>
          <w:sz w:val="24"/>
          <w:szCs w:val="24"/>
        </w:rPr>
        <w:t xml:space="preserve"> </w:t>
      </w:r>
      <w:r w:rsidRPr="006C13DF">
        <w:rPr>
          <w:rFonts w:ascii="Times New Roman" w:eastAsia="Times New Roman" w:hAnsi="Times New Roman" w:cs="Times New Roman"/>
          <w:sz w:val="24"/>
          <w:szCs w:val="24"/>
        </w:rPr>
        <w:t>лв.</w:t>
      </w:r>
      <w:r w:rsidR="00FA1B8C" w:rsidRPr="006C13DF">
        <w:rPr>
          <w:rFonts w:ascii="Times New Roman" w:eastAsia="Times New Roman" w:hAnsi="Times New Roman" w:cs="Times New Roman"/>
          <w:sz w:val="24"/>
          <w:szCs w:val="24"/>
        </w:rPr>
        <w:t>,</w:t>
      </w:r>
      <w:r w:rsidRPr="006C13DF">
        <w:rPr>
          <w:rFonts w:ascii="Times New Roman" w:eastAsia="Times New Roman" w:hAnsi="Times New Roman" w:cs="Times New Roman"/>
          <w:sz w:val="24"/>
          <w:szCs w:val="24"/>
        </w:rPr>
        <w:t xml:space="preserve"> извършени от изпълнители на ПИМП, а от изпълнители на СИМП – 3</w:t>
      </w:r>
      <w:r w:rsidRPr="006C13DF">
        <w:rPr>
          <w:rFonts w:ascii="Times New Roman" w:eastAsia="Times New Roman" w:hAnsi="Times New Roman" w:cs="Times New Roman"/>
          <w:sz w:val="24"/>
          <w:szCs w:val="24"/>
          <w:lang w:val="en-US"/>
        </w:rPr>
        <w:t>33</w:t>
      </w:r>
      <w:r w:rsidR="00FA1B8C" w:rsidRPr="006C13DF">
        <w:rPr>
          <w:rFonts w:ascii="Times New Roman" w:eastAsia="Times New Roman" w:hAnsi="Times New Roman" w:cs="Times New Roman"/>
          <w:sz w:val="24"/>
          <w:szCs w:val="24"/>
        </w:rPr>
        <w:t xml:space="preserve"> хил. бр. </w:t>
      </w:r>
      <w:r w:rsidRPr="006C13DF">
        <w:rPr>
          <w:rFonts w:ascii="Times New Roman" w:eastAsia="Times New Roman" w:hAnsi="Times New Roman" w:cs="Times New Roman"/>
          <w:sz w:val="24"/>
          <w:szCs w:val="24"/>
        </w:rPr>
        <w:t xml:space="preserve">прегледи на стойност </w:t>
      </w:r>
      <w:r w:rsidRPr="006C13DF">
        <w:rPr>
          <w:rFonts w:ascii="Times New Roman" w:eastAsia="Times New Roman" w:hAnsi="Times New Roman" w:cs="Times New Roman"/>
          <w:sz w:val="24"/>
          <w:szCs w:val="24"/>
          <w:lang w:val="en-US"/>
        </w:rPr>
        <w:t>7 092</w:t>
      </w:r>
      <w:r w:rsidRPr="006C13DF">
        <w:rPr>
          <w:rFonts w:ascii="Times New Roman" w:eastAsia="Times New Roman" w:hAnsi="Times New Roman" w:cs="Times New Roman"/>
          <w:sz w:val="24"/>
          <w:szCs w:val="24"/>
        </w:rPr>
        <w:t xml:space="preserve"> хил.</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лв. Заплатените средства за МДД по повод диспансерно наблюдение за лицата над 65-годишна възраст са в размер 11 876 хил. лв.</w:t>
      </w:r>
    </w:p>
    <w:p w14:paraId="389203D8" w14:textId="77777777" w:rsidR="003F357C" w:rsidRPr="006C13DF" w:rsidRDefault="003F357C" w:rsidP="003F357C">
      <w:pPr>
        <w:tabs>
          <w:tab w:val="left" w:pos="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За 202</w:t>
      </w:r>
      <w:r w:rsidRPr="006C13DF">
        <w:rPr>
          <w:rFonts w:ascii="Times New Roman" w:eastAsia="Times New Roman" w:hAnsi="Times New Roman" w:cs="Times New Roman"/>
          <w:sz w:val="24"/>
          <w:szCs w:val="24"/>
          <w:lang w:val="en-US"/>
        </w:rPr>
        <w:t>4</w:t>
      </w:r>
      <w:r w:rsidRPr="006C13DF">
        <w:rPr>
          <w:rFonts w:ascii="Times New Roman" w:eastAsia="Times New Roman" w:hAnsi="Times New Roman" w:cs="Times New Roman"/>
          <w:sz w:val="24"/>
          <w:szCs w:val="24"/>
        </w:rPr>
        <w:t xml:space="preserve"> г., за прегледи по диспансерно наблюдение на здравноосигурени лица извършени от изпълнители на ПИМП, са заплатени 4 667</w:t>
      </w:r>
      <w:r w:rsidRPr="006C13DF">
        <w:rPr>
          <w:rFonts w:ascii="Times New Roman" w:eastAsia="Times New Roman" w:hAnsi="Times New Roman" w:cs="Times New Roman"/>
          <w:sz w:val="24"/>
          <w:szCs w:val="24"/>
          <w:lang w:val="en-US"/>
        </w:rPr>
        <w:t>,</w:t>
      </w:r>
      <w:r w:rsidRPr="006C13DF">
        <w:rPr>
          <w:rFonts w:ascii="Times New Roman" w:eastAsia="Times New Roman" w:hAnsi="Times New Roman" w:cs="Times New Roman"/>
          <w:sz w:val="24"/>
          <w:szCs w:val="24"/>
        </w:rPr>
        <w:t>7</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хил. бр. прегледи на стойност 145</w:t>
      </w:r>
      <w:r w:rsidRPr="006C13DF">
        <w:rPr>
          <w:rFonts w:ascii="Times New Roman" w:eastAsia="Times New Roman" w:hAnsi="Times New Roman" w:cs="Times New Roman"/>
          <w:sz w:val="24"/>
          <w:szCs w:val="24"/>
          <w:lang w:val="en-US"/>
        </w:rPr>
        <w:t> </w:t>
      </w:r>
      <w:r w:rsidRPr="006C13DF">
        <w:rPr>
          <w:rFonts w:ascii="Times New Roman" w:eastAsia="Times New Roman" w:hAnsi="Times New Roman" w:cs="Times New Roman"/>
          <w:sz w:val="24"/>
          <w:szCs w:val="24"/>
        </w:rPr>
        <w:t>044</w:t>
      </w:r>
      <w:r w:rsidRPr="006C13DF">
        <w:rPr>
          <w:rFonts w:ascii="Times New Roman" w:eastAsia="Times New Roman" w:hAnsi="Times New Roman" w:cs="Times New Roman"/>
          <w:sz w:val="24"/>
          <w:szCs w:val="24"/>
          <w:lang w:val="en-US"/>
        </w:rPr>
        <w:t>,</w:t>
      </w:r>
      <w:r w:rsidRPr="006C13DF">
        <w:rPr>
          <w:rFonts w:ascii="Times New Roman" w:eastAsia="Times New Roman" w:hAnsi="Times New Roman" w:cs="Times New Roman"/>
          <w:sz w:val="24"/>
          <w:szCs w:val="24"/>
        </w:rPr>
        <w:t>8</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 xml:space="preserve">хил. лв., а от изпълнители на СИМП – </w:t>
      </w:r>
      <w:r w:rsidRPr="006C13DF">
        <w:rPr>
          <w:rFonts w:ascii="Times New Roman" w:eastAsia="Times New Roman" w:hAnsi="Times New Roman" w:cs="Times New Roman"/>
          <w:sz w:val="24"/>
          <w:szCs w:val="24"/>
          <w:lang w:val="en-US"/>
        </w:rPr>
        <w:t>601,8</w:t>
      </w:r>
      <w:r w:rsidRPr="006C13DF">
        <w:rPr>
          <w:rFonts w:ascii="Times New Roman" w:eastAsia="Times New Roman" w:hAnsi="Times New Roman" w:cs="Times New Roman"/>
          <w:sz w:val="24"/>
          <w:szCs w:val="24"/>
        </w:rPr>
        <w:t> хил. бр. прегледи, за 17 214</w:t>
      </w:r>
      <w:r w:rsidRPr="006C13DF">
        <w:rPr>
          <w:rFonts w:ascii="Times New Roman" w:eastAsia="Times New Roman" w:hAnsi="Times New Roman" w:cs="Times New Roman"/>
          <w:sz w:val="24"/>
          <w:szCs w:val="24"/>
          <w:lang w:val="en-US"/>
        </w:rPr>
        <w:t xml:space="preserve">,2 </w:t>
      </w:r>
      <w:r w:rsidRPr="006C13DF">
        <w:rPr>
          <w:rFonts w:ascii="Times New Roman" w:eastAsia="Times New Roman" w:hAnsi="Times New Roman" w:cs="Times New Roman"/>
          <w:sz w:val="24"/>
          <w:szCs w:val="24"/>
        </w:rPr>
        <w:t>хил. лв. Заплатените суми за МДД по повод диспансерно наблюдение са 28 836 хил.</w:t>
      </w:r>
      <w:r w:rsidR="00FA1B8C" w:rsidRPr="006C13DF">
        <w:rPr>
          <w:rFonts w:ascii="Times New Roman" w:eastAsia="Times New Roman" w:hAnsi="Times New Roman" w:cs="Times New Roman"/>
          <w:sz w:val="24"/>
          <w:szCs w:val="24"/>
        </w:rPr>
        <w:t xml:space="preserve"> </w:t>
      </w:r>
      <w:r w:rsidRPr="006C13DF">
        <w:rPr>
          <w:rFonts w:ascii="Times New Roman" w:eastAsia="Times New Roman" w:hAnsi="Times New Roman" w:cs="Times New Roman"/>
          <w:sz w:val="24"/>
          <w:szCs w:val="24"/>
        </w:rPr>
        <w:t>лв.</w:t>
      </w:r>
    </w:p>
    <w:p w14:paraId="54AA4D35" w14:textId="77777777" w:rsidR="003F357C" w:rsidRPr="006C13DF" w:rsidRDefault="003F357C" w:rsidP="00FA1B8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При диспансерното наблюдение на л</w:t>
      </w:r>
      <w:r w:rsidRPr="00365933">
        <w:rPr>
          <w:rFonts w:ascii="Times New Roman" w:eastAsia="Times New Roman" w:hAnsi="Times New Roman" w:cs="Times New Roman"/>
          <w:b/>
          <w:sz w:val="24"/>
          <w:szCs w:val="24"/>
        </w:rPr>
        <w:t>ицата над 65-годишна възраст</w:t>
      </w:r>
      <w:r w:rsidRPr="006C13DF">
        <w:rPr>
          <w:rFonts w:ascii="Times New Roman" w:eastAsia="Times New Roman" w:hAnsi="Times New Roman" w:cs="Times New Roman"/>
          <w:sz w:val="24"/>
          <w:szCs w:val="24"/>
        </w:rPr>
        <w:t xml:space="preserve"> са заплатени </w:t>
      </w:r>
      <w:r w:rsidRPr="00365933">
        <w:rPr>
          <w:rFonts w:ascii="Times New Roman" w:eastAsia="Times New Roman" w:hAnsi="Times New Roman" w:cs="Times New Roman"/>
          <w:b/>
          <w:sz w:val="24"/>
          <w:szCs w:val="24"/>
          <w:lang w:val="en-US"/>
        </w:rPr>
        <w:t>2 876</w:t>
      </w:r>
      <w:r w:rsidR="00FA1B8C" w:rsidRPr="00365933">
        <w:rPr>
          <w:rFonts w:ascii="Times New Roman" w:eastAsia="Times New Roman" w:hAnsi="Times New Roman" w:cs="Times New Roman"/>
          <w:b/>
          <w:sz w:val="24"/>
          <w:szCs w:val="24"/>
        </w:rPr>
        <w:t xml:space="preserve"> хил. бр. </w:t>
      </w:r>
      <w:r w:rsidRPr="00365933">
        <w:rPr>
          <w:rFonts w:ascii="Times New Roman" w:eastAsia="Times New Roman" w:hAnsi="Times New Roman" w:cs="Times New Roman"/>
          <w:b/>
          <w:sz w:val="24"/>
          <w:szCs w:val="24"/>
        </w:rPr>
        <w:t xml:space="preserve">прегледи </w:t>
      </w:r>
      <w:r w:rsidRPr="006C13DF">
        <w:rPr>
          <w:rFonts w:ascii="Times New Roman" w:eastAsia="Times New Roman" w:hAnsi="Times New Roman" w:cs="Times New Roman"/>
          <w:sz w:val="24"/>
          <w:szCs w:val="24"/>
        </w:rPr>
        <w:t xml:space="preserve">на стойност </w:t>
      </w:r>
      <w:r w:rsidRPr="006C13DF">
        <w:rPr>
          <w:rFonts w:ascii="Times New Roman" w:eastAsia="Times New Roman" w:hAnsi="Times New Roman" w:cs="Times New Roman"/>
          <w:sz w:val="24"/>
          <w:szCs w:val="24"/>
          <w:lang w:val="en-US"/>
        </w:rPr>
        <w:t>88 908,5</w:t>
      </w:r>
      <w:r w:rsidRPr="006C13DF">
        <w:rPr>
          <w:rFonts w:ascii="Times New Roman" w:eastAsia="Times New Roman" w:hAnsi="Times New Roman" w:cs="Times New Roman"/>
          <w:sz w:val="24"/>
          <w:szCs w:val="24"/>
        </w:rPr>
        <w:t xml:space="preserve"> хил.</w:t>
      </w:r>
      <w:r w:rsidR="00FA1B8C" w:rsidRPr="006C13DF">
        <w:rPr>
          <w:rFonts w:ascii="Times New Roman" w:eastAsia="Times New Roman" w:hAnsi="Times New Roman" w:cs="Times New Roman"/>
          <w:sz w:val="24"/>
          <w:szCs w:val="24"/>
        </w:rPr>
        <w:t xml:space="preserve"> </w:t>
      </w:r>
      <w:r w:rsidRPr="006C13DF">
        <w:rPr>
          <w:rFonts w:ascii="Times New Roman" w:eastAsia="Times New Roman" w:hAnsi="Times New Roman" w:cs="Times New Roman"/>
          <w:sz w:val="24"/>
          <w:szCs w:val="24"/>
        </w:rPr>
        <w:t>лв.</w:t>
      </w:r>
      <w:r w:rsidR="00FA1B8C" w:rsidRPr="006C13DF">
        <w:rPr>
          <w:rFonts w:ascii="Times New Roman" w:eastAsia="Times New Roman" w:hAnsi="Times New Roman" w:cs="Times New Roman"/>
          <w:sz w:val="24"/>
          <w:szCs w:val="24"/>
        </w:rPr>
        <w:t>,</w:t>
      </w:r>
      <w:r w:rsidRPr="006C13DF">
        <w:rPr>
          <w:rFonts w:ascii="Times New Roman" w:eastAsia="Times New Roman" w:hAnsi="Times New Roman" w:cs="Times New Roman"/>
          <w:sz w:val="24"/>
          <w:szCs w:val="24"/>
        </w:rPr>
        <w:t xml:space="preserve"> извършени от изпълнители на ПИМП, а от изпълнители на СИМП – 338 хил.</w:t>
      </w:r>
      <w:r w:rsidR="00FA1B8C" w:rsidRPr="006C13DF">
        <w:rPr>
          <w:rFonts w:ascii="Times New Roman" w:eastAsia="Times New Roman" w:hAnsi="Times New Roman" w:cs="Times New Roman"/>
          <w:sz w:val="24"/>
          <w:szCs w:val="24"/>
        </w:rPr>
        <w:t xml:space="preserve"> </w:t>
      </w:r>
      <w:r w:rsidRPr="006C13DF">
        <w:rPr>
          <w:rFonts w:ascii="Times New Roman" w:eastAsia="Times New Roman" w:hAnsi="Times New Roman" w:cs="Times New Roman"/>
          <w:sz w:val="24"/>
          <w:szCs w:val="24"/>
        </w:rPr>
        <w:t>бр. прегледи на стойност 9 381,5 хил.</w:t>
      </w:r>
      <w:r w:rsidR="00FA1B8C" w:rsidRPr="006C13DF">
        <w:rPr>
          <w:rFonts w:ascii="Times New Roman" w:eastAsia="Times New Roman" w:hAnsi="Times New Roman" w:cs="Times New Roman"/>
          <w:sz w:val="24"/>
          <w:szCs w:val="24"/>
        </w:rPr>
        <w:t xml:space="preserve"> </w:t>
      </w:r>
      <w:r w:rsidRPr="006C13DF">
        <w:rPr>
          <w:rFonts w:ascii="Times New Roman" w:eastAsia="Times New Roman" w:hAnsi="Times New Roman" w:cs="Times New Roman"/>
          <w:sz w:val="24"/>
          <w:szCs w:val="24"/>
        </w:rPr>
        <w:t>лв. Заплатените средства за МДД по повод диспансерно наблюдение за лицата над 65-годишна възраст са в размер 16</w:t>
      </w:r>
      <w:r w:rsidR="00FA1B8C" w:rsidRPr="006C13DF">
        <w:rPr>
          <w:rFonts w:ascii="Times New Roman" w:eastAsia="Times New Roman" w:hAnsi="Times New Roman" w:cs="Times New Roman"/>
          <w:sz w:val="24"/>
          <w:szCs w:val="24"/>
        </w:rPr>
        <w:t> </w:t>
      </w:r>
      <w:r w:rsidRPr="006C13DF">
        <w:rPr>
          <w:rFonts w:ascii="Times New Roman" w:eastAsia="Times New Roman" w:hAnsi="Times New Roman" w:cs="Times New Roman"/>
          <w:sz w:val="24"/>
          <w:szCs w:val="24"/>
        </w:rPr>
        <w:t>250</w:t>
      </w:r>
      <w:r w:rsidR="00FA1B8C" w:rsidRPr="006C13DF">
        <w:rPr>
          <w:rFonts w:ascii="Times New Roman" w:eastAsia="Times New Roman" w:hAnsi="Times New Roman" w:cs="Times New Roman"/>
          <w:sz w:val="24"/>
          <w:szCs w:val="24"/>
        </w:rPr>
        <w:t xml:space="preserve"> </w:t>
      </w:r>
      <w:r w:rsidRPr="006C13DF">
        <w:rPr>
          <w:rFonts w:ascii="Times New Roman" w:eastAsia="Times New Roman" w:hAnsi="Times New Roman" w:cs="Times New Roman"/>
          <w:sz w:val="24"/>
          <w:szCs w:val="24"/>
        </w:rPr>
        <w:t>хил. лв.</w:t>
      </w:r>
    </w:p>
    <w:p w14:paraId="2460DEFF" w14:textId="77777777" w:rsidR="003F357C" w:rsidRPr="006C13DF" w:rsidRDefault="003F357C" w:rsidP="003F357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lastRenderedPageBreak/>
        <w:t>Дългосрочните грижи и социална защита на хората с болестта на Алцхаймер и други деменции в световен мащаб се нареждат на едно от челните места по медицински разходи след сърдечно-съдовите и онкологичните заболявания. С цел зачитане достойнството на възрастните хора НЗОК реимбурсира лекарствени продукти за домашно лечение на болни с болест на Алцхаймер.</w:t>
      </w:r>
    </w:p>
    <w:p w14:paraId="33578FF7" w14:textId="77777777" w:rsidR="00FA1B8C" w:rsidRPr="006C13DF" w:rsidRDefault="00FA1B8C" w:rsidP="00FA1B8C">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НАЦИОНАЛНА ЗДРАВНООСИГУРИТЕЛНА КАСА </w:t>
      </w:r>
    </w:p>
    <w:p w14:paraId="413ABA77" w14:textId="77777777" w:rsidR="00447907" w:rsidRPr="006C13DF" w:rsidRDefault="00447907" w:rsidP="00447907">
      <w:pPr>
        <w:pStyle w:val="ListParagraph"/>
        <w:spacing w:after="0" w:line="240" w:lineRule="auto"/>
        <w:ind w:left="0"/>
        <w:jc w:val="both"/>
        <w:rPr>
          <w:rFonts w:ascii="Times New Roman" w:hAnsi="Times New Roman" w:cs="Times New Roman"/>
          <w:b/>
          <w:i/>
          <w:sz w:val="24"/>
          <w:szCs w:val="24"/>
        </w:rPr>
      </w:pPr>
    </w:p>
    <w:p w14:paraId="051048DE" w14:textId="77777777" w:rsidR="00447907" w:rsidRPr="006C13DF" w:rsidRDefault="00447907" w:rsidP="00447907">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3.1.10. Дентално здраве</w:t>
      </w:r>
    </w:p>
    <w:p w14:paraId="5CC813C2" w14:textId="77777777" w:rsidR="00FA1B8C" w:rsidRPr="006C13DF" w:rsidRDefault="00FA1B8C" w:rsidP="00447907">
      <w:pPr>
        <w:pStyle w:val="ListParagraph"/>
        <w:spacing w:after="0" w:line="240" w:lineRule="auto"/>
        <w:ind w:left="0"/>
        <w:jc w:val="both"/>
        <w:rPr>
          <w:rFonts w:ascii="Times New Roman" w:hAnsi="Times New Roman" w:cs="Times New Roman"/>
          <w:b/>
          <w:sz w:val="24"/>
          <w:szCs w:val="24"/>
        </w:rPr>
      </w:pPr>
    </w:p>
    <w:p w14:paraId="02AAF2A4" w14:textId="77777777" w:rsidR="00FA1B8C" w:rsidRPr="006C13DF" w:rsidRDefault="00FA1B8C" w:rsidP="00FA1B8C">
      <w:pPr>
        <w:spacing w:after="0" w:line="240" w:lineRule="auto"/>
        <w:ind w:firstLine="567"/>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 xml:space="preserve">Съгласно Наредба №9 от 2019 г. на Министерството на здравеопазването за определяне на пакета от здравни дейности, гарантиран от бюджета на НЗОК и Националния рамков договор за денталните дейности за 2023 – 2025 г., действащ към настоящия момент, НЗОК заплаща за всички здравноосигурени лица с цялостна </w:t>
      </w:r>
      <w:proofErr w:type="spellStart"/>
      <w:r w:rsidRPr="006C13DF">
        <w:rPr>
          <w:rFonts w:ascii="Times New Roman" w:eastAsia="Calibri" w:hAnsi="Times New Roman" w:cs="Times New Roman"/>
          <w:sz w:val="24"/>
          <w:szCs w:val="24"/>
        </w:rPr>
        <w:t>обеззъбена</w:t>
      </w:r>
      <w:proofErr w:type="spellEnd"/>
      <w:r w:rsidRPr="006C13DF">
        <w:rPr>
          <w:rFonts w:ascii="Times New Roman" w:eastAsia="Calibri" w:hAnsi="Times New Roman" w:cs="Times New Roman"/>
          <w:sz w:val="24"/>
          <w:szCs w:val="24"/>
        </w:rPr>
        <w:t xml:space="preserve"> горна и/или долна челюст за следните дейности по възстановяване функцията на дъвкателния апарат, които се извършват от лекар по дентална медицина:</w:t>
      </w:r>
    </w:p>
    <w:p w14:paraId="732B2609" w14:textId="77777777" w:rsidR="00FA1B8C" w:rsidRPr="006C13DF" w:rsidRDefault="00FA1B8C" w:rsidP="00554703">
      <w:pPr>
        <w:pStyle w:val="ListParagraph"/>
        <w:numPr>
          <w:ilvl w:val="0"/>
          <w:numId w:val="12"/>
        </w:numPr>
        <w:spacing w:after="0" w:line="240" w:lineRule="auto"/>
        <w:ind w:left="0" w:firstLine="360"/>
        <w:jc w:val="both"/>
        <w:rPr>
          <w:rFonts w:ascii="Times New Roman" w:eastAsia="Calibri" w:hAnsi="Times New Roman" w:cs="Times New Roman"/>
          <w:sz w:val="24"/>
          <w:szCs w:val="24"/>
        </w:rPr>
      </w:pPr>
      <w:bookmarkStart w:id="5" w:name="_Hlk162010153"/>
      <w:r w:rsidRPr="006C13DF">
        <w:rPr>
          <w:rFonts w:ascii="Times New Roman" w:hAnsi="Times New Roman" w:cs="Times New Roman"/>
          <w:sz w:val="24"/>
          <w:szCs w:val="24"/>
          <w:lang w:val="x-none"/>
        </w:rPr>
        <w:t xml:space="preserve">дейности по възстановяване функцията на дъвкателния апарат с горна цяла </w:t>
      </w:r>
      <w:proofErr w:type="spellStart"/>
      <w:r w:rsidRPr="006C13DF">
        <w:rPr>
          <w:rFonts w:ascii="Times New Roman" w:hAnsi="Times New Roman" w:cs="Times New Roman"/>
          <w:sz w:val="24"/>
          <w:szCs w:val="24"/>
          <w:lang w:val="x-none"/>
        </w:rPr>
        <w:t>плакова</w:t>
      </w:r>
      <w:proofErr w:type="spellEnd"/>
      <w:r w:rsidRPr="006C13DF">
        <w:rPr>
          <w:rFonts w:ascii="Times New Roman" w:hAnsi="Times New Roman" w:cs="Times New Roman"/>
          <w:sz w:val="24"/>
          <w:szCs w:val="24"/>
          <w:lang w:val="x-none"/>
        </w:rPr>
        <w:t xml:space="preserve"> зъбна протеза за период от 4 години, в т. ч. и контролни прегледи до два месеца след поставяне на протезата</w:t>
      </w:r>
      <w:bookmarkEnd w:id="5"/>
      <w:r w:rsidRPr="006C13DF">
        <w:rPr>
          <w:rFonts w:ascii="Times New Roman" w:hAnsi="Times New Roman" w:cs="Times New Roman"/>
          <w:sz w:val="24"/>
          <w:szCs w:val="24"/>
          <w:lang w:val="x-none"/>
        </w:rPr>
        <w:t>;</w:t>
      </w:r>
    </w:p>
    <w:p w14:paraId="595F2AC5" w14:textId="77777777" w:rsidR="00FA1B8C" w:rsidRPr="006C13DF" w:rsidRDefault="00FA1B8C" w:rsidP="00554703">
      <w:pPr>
        <w:pStyle w:val="ListParagraph"/>
        <w:numPr>
          <w:ilvl w:val="0"/>
          <w:numId w:val="12"/>
        </w:numPr>
        <w:spacing w:after="0" w:line="240" w:lineRule="auto"/>
        <w:ind w:left="0" w:firstLine="360"/>
        <w:jc w:val="both"/>
        <w:rPr>
          <w:rFonts w:ascii="Times New Roman" w:eastAsia="Calibri" w:hAnsi="Times New Roman" w:cs="Times New Roman"/>
          <w:sz w:val="24"/>
          <w:szCs w:val="24"/>
        </w:rPr>
      </w:pPr>
      <w:r w:rsidRPr="006C13DF">
        <w:rPr>
          <w:rFonts w:ascii="Times New Roman" w:hAnsi="Times New Roman" w:cs="Times New Roman"/>
          <w:sz w:val="24"/>
          <w:szCs w:val="24"/>
          <w:lang w:val="x-none"/>
        </w:rPr>
        <w:t xml:space="preserve">дейности по възстановяване функцията на дъвкателния апарат с долна цяла </w:t>
      </w:r>
      <w:proofErr w:type="spellStart"/>
      <w:r w:rsidRPr="006C13DF">
        <w:rPr>
          <w:rFonts w:ascii="Times New Roman" w:hAnsi="Times New Roman" w:cs="Times New Roman"/>
          <w:sz w:val="24"/>
          <w:szCs w:val="24"/>
          <w:lang w:val="x-none"/>
        </w:rPr>
        <w:t>плакова</w:t>
      </w:r>
      <w:proofErr w:type="spellEnd"/>
      <w:r w:rsidRPr="006C13DF">
        <w:rPr>
          <w:rFonts w:ascii="Times New Roman" w:hAnsi="Times New Roman" w:cs="Times New Roman"/>
          <w:sz w:val="24"/>
          <w:szCs w:val="24"/>
          <w:lang w:val="x-none"/>
        </w:rPr>
        <w:t xml:space="preserve"> зъбна протеза за период от 4 години, в т. ч. и контролни прегледи до два месеца след поставяне на протезата</w:t>
      </w:r>
      <w:r w:rsidRPr="006C13DF">
        <w:rPr>
          <w:rFonts w:ascii="Times New Roman" w:hAnsi="Times New Roman" w:cs="Times New Roman"/>
          <w:sz w:val="24"/>
          <w:szCs w:val="24"/>
        </w:rPr>
        <w:t>.</w:t>
      </w:r>
    </w:p>
    <w:p w14:paraId="32F8AFF1" w14:textId="77777777" w:rsidR="00FA1B8C" w:rsidRPr="006C13DF" w:rsidRDefault="00FA1B8C" w:rsidP="00FA1B8C">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 xml:space="preserve">При извършване на дейности по възстановяване функцията на дъвкателния апарат при </w:t>
      </w:r>
      <w:proofErr w:type="spellStart"/>
      <w:r w:rsidRPr="006C13DF">
        <w:rPr>
          <w:rFonts w:ascii="Times New Roman" w:eastAsia="Calibri" w:hAnsi="Times New Roman" w:cs="Times New Roman"/>
          <w:sz w:val="24"/>
          <w:szCs w:val="24"/>
        </w:rPr>
        <w:t>обеззъбени</w:t>
      </w:r>
      <w:proofErr w:type="spellEnd"/>
      <w:r w:rsidRPr="006C13DF">
        <w:rPr>
          <w:rFonts w:ascii="Times New Roman" w:eastAsia="Calibri" w:hAnsi="Times New Roman" w:cs="Times New Roman"/>
          <w:sz w:val="24"/>
          <w:szCs w:val="24"/>
        </w:rPr>
        <w:t xml:space="preserve"> здравноосигурени лица, НЗОК</w:t>
      </w:r>
      <w:r w:rsidRPr="006C13DF">
        <w:rPr>
          <w:rFonts w:ascii="Times New Roman" w:eastAsia="Calibri" w:hAnsi="Times New Roman" w:cs="Times New Roman"/>
          <w:sz w:val="24"/>
          <w:szCs w:val="24"/>
          <w:lang w:val="en-US"/>
        </w:rPr>
        <w:t xml:space="preserve"> </w:t>
      </w:r>
      <w:r w:rsidRPr="006C13DF">
        <w:rPr>
          <w:rFonts w:ascii="Times New Roman" w:eastAsia="Calibri" w:hAnsi="Times New Roman" w:cs="Times New Roman"/>
          <w:sz w:val="24"/>
          <w:szCs w:val="24"/>
        </w:rPr>
        <w:t xml:space="preserve">заплаща и за изработка на медицинско изделие тотална горна и/или долна цяла </w:t>
      </w:r>
      <w:proofErr w:type="spellStart"/>
      <w:r w:rsidRPr="006C13DF">
        <w:rPr>
          <w:rFonts w:ascii="Times New Roman" w:eastAsia="Calibri" w:hAnsi="Times New Roman" w:cs="Times New Roman"/>
          <w:sz w:val="24"/>
          <w:szCs w:val="24"/>
        </w:rPr>
        <w:t>плакова</w:t>
      </w:r>
      <w:proofErr w:type="spellEnd"/>
      <w:r w:rsidRPr="006C13DF">
        <w:rPr>
          <w:rFonts w:ascii="Times New Roman" w:eastAsia="Calibri" w:hAnsi="Times New Roman" w:cs="Times New Roman"/>
          <w:sz w:val="24"/>
          <w:szCs w:val="24"/>
        </w:rPr>
        <w:t xml:space="preserve"> зъбна протеза.</w:t>
      </w:r>
    </w:p>
    <w:p w14:paraId="09828B5E" w14:textId="77777777" w:rsidR="00FA1B8C" w:rsidRPr="006C13DF" w:rsidRDefault="00FA1B8C" w:rsidP="00FA1B8C">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През 20</w:t>
      </w:r>
      <w:r w:rsidRPr="006C13DF">
        <w:rPr>
          <w:rFonts w:ascii="Times New Roman" w:eastAsia="Times New Roman" w:hAnsi="Times New Roman" w:cs="Times New Roman"/>
          <w:sz w:val="24"/>
          <w:szCs w:val="24"/>
          <w:lang w:val="en-US"/>
        </w:rPr>
        <w:t>23</w:t>
      </w:r>
      <w:r w:rsidRPr="006C13DF">
        <w:rPr>
          <w:rFonts w:ascii="Times New Roman" w:eastAsia="Times New Roman" w:hAnsi="Times New Roman" w:cs="Times New Roman"/>
          <w:sz w:val="24"/>
          <w:szCs w:val="24"/>
        </w:rPr>
        <w:t xml:space="preserve"> г. за дейностите по възстановяване функцията на дъвкателния апарат при цялостна </w:t>
      </w:r>
      <w:proofErr w:type="spellStart"/>
      <w:r w:rsidRPr="006C13DF">
        <w:rPr>
          <w:rFonts w:ascii="Times New Roman" w:eastAsia="Times New Roman" w:hAnsi="Times New Roman" w:cs="Times New Roman"/>
          <w:sz w:val="24"/>
          <w:szCs w:val="24"/>
        </w:rPr>
        <w:t>обеззъбена</w:t>
      </w:r>
      <w:proofErr w:type="spellEnd"/>
      <w:r w:rsidRPr="006C13DF">
        <w:rPr>
          <w:rFonts w:ascii="Times New Roman" w:eastAsia="Times New Roman" w:hAnsi="Times New Roman" w:cs="Times New Roman"/>
          <w:sz w:val="24"/>
          <w:szCs w:val="24"/>
        </w:rPr>
        <w:t xml:space="preserve"> горна и/или долна челюст на здравноосигурени лица без ограничения във възрастта са заплатени средства в размер на </w:t>
      </w:r>
      <w:r w:rsidRPr="006C13DF">
        <w:rPr>
          <w:rFonts w:ascii="Times New Roman" w:eastAsia="Times New Roman" w:hAnsi="Times New Roman" w:cs="Times New Roman"/>
          <w:sz w:val="24"/>
          <w:szCs w:val="24"/>
          <w:lang w:val="en-US"/>
        </w:rPr>
        <w:t>14 142</w:t>
      </w:r>
      <w:r w:rsidRPr="006C13DF">
        <w:rPr>
          <w:rFonts w:ascii="Times New Roman" w:eastAsia="Times New Roman" w:hAnsi="Times New Roman" w:cs="Times New Roman"/>
          <w:sz w:val="24"/>
          <w:szCs w:val="24"/>
        </w:rPr>
        <w:t>,</w:t>
      </w:r>
      <w:r w:rsidRPr="006C13DF">
        <w:rPr>
          <w:rFonts w:ascii="Times New Roman" w:eastAsia="Times New Roman" w:hAnsi="Times New Roman" w:cs="Times New Roman"/>
          <w:sz w:val="24"/>
          <w:szCs w:val="24"/>
          <w:lang w:val="en-US"/>
        </w:rPr>
        <w:t xml:space="preserve">6 </w:t>
      </w:r>
      <w:r w:rsidRPr="006C13DF">
        <w:rPr>
          <w:rFonts w:ascii="Times New Roman" w:eastAsia="Times New Roman" w:hAnsi="Times New Roman" w:cs="Times New Roman"/>
          <w:sz w:val="24"/>
          <w:szCs w:val="24"/>
        </w:rPr>
        <w:t xml:space="preserve">хил. лв. </w:t>
      </w:r>
    </w:p>
    <w:p w14:paraId="70294E51" w14:textId="77777777" w:rsidR="00FA1B8C" w:rsidRPr="006C13DF" w:rsidRDefault="00FA1B8C" w:rsidP="00FA1B8C">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C13DF">
        <w:rPr>
          <w:rFonts w:ascii="Times New Roman" w:eastAsia="Times New Roman" w:hAnsi="Times New Roman" w:cs="Times New Roman"/>
          <w:sz w:val="24"/>
          <w:szCs w:val="24"/>
        </w:rPr>
        <w:tab/>
        <w:t>През 202</w:t>
      </w:r>
      <w:r w:rsidRPr="006C13DF">
        <w:rPr>
          <w:rFonts w:ascii="Times New Roman" w:eastAsia="Times New Roman" w:hAnsi="Times New Roman" w:cs="Times New Roman"/>
          <w:sz w:val="24"/>
          <w:szCs w:val="24"/>
          <w:lang w:val="en-US"/>
        </w:rPr>
        <w:t>4</w:t>
      </w:r>
      <w:r w:rsidRPr="006C13DF">
        <w:rPr>
          <w:rFonts w:ascii="Times New Roman" w:eastAsia="Times New Roman" w:hAnsi="Times New Roman" w:cs="Times New Roman"/>
          <w:sz w:val="24"/>
          <w:szCs w:val="24"/>
        </w:rPr>
        <w:t xml:space="preserve"> г. за дейностите по възстановяване функцията на дъвкателния апарат при цялостна </w:t>
      </w:r>
      <w:proofErr w:type="spellStart"/>
      <w:r w:rsidRPr="006C13DF">
        <w:rPr>
          <w:rFonts w:ascii="Times New Roman" w:eastAsia="Times New Roman" w:hAnsi="Times New Roman" w:cs="Times New Roman"/>
          <w:sz w:val="24"/>
          <w:szCs w:val="24"/>
        </w:rPr>
        <w:t>обеззъбена</w:t>
      </w:r>
      <w:proofErr w:type="spellEnd"/>
      <w:r w:rsidRPr="006C13DF">
        <w:rPr>
          <w:rFonts w:ascii="Times New Roman" w:eastAsia="Times New Roman" w:hAnsi="Times New Roman" w:cs="Times New Roman"/>
          <w:sz w:val="24"/>
          <w:szCs w:val="24"/>
        </w:rPr>
        <w:t xml:space="preserve"> горна и/или долна челюст на здравноосигурени лица без ограничения във възрастта са заплатени </w:t>
      </w:r>
      <w:r w:rsidRPr="006C13DF">
        <w:rPr>
          <w:rFonts w:ascii="Times New Roman" w:eastAsia="Times New Roman" w:hAnsi="Times New Roman" w:cs="Times New Roman"/>
          <w:sz w:val="24"/>
          <w:szCs w:val="24"/>
          <w:lang w:val="en-US"/>
        </w:rPr>
        <w:t>18 209</w:t>
      </w:r>
      <w:r w:rsidRPr="006C13DF">
        <w:rPr>
          <w:rFonts w:ascii="Times New Roman" w:eastAsia="Times New Roman" w:hAnsi="Times New Roman" w:cs="Times New Roman"/>
          <w:sz w:val="24"/>
          <w:szCs w:val="24"/>
        </w:rPr>
        <w:t>,3</w:t>
      </w:r>
      <w:r w:rsidRPr="006C13DF">
        <w:rPr>
          <w:rFonts w:ascii="Times New Roman" w:eastAsia="Times New Roman" w:hAnsi="Times New Roman" w:cs="Times New Roman"/>
          <w:sz w:val="24"/>
          <w:szCs w:val="24"/>
          <w:lang w:val="en-US"/>
        </w:rPr>
        <w:t xml:space="preserve"> </w:t>
      </w:r>
      <w:r w:rsidRPr="006C13DF">
        <w:rPr>
          <w:rFonts w:ascii="Times New Roman" w:eastAsia="Times New Roman" w:hAnsi="Times New Roman" w:cs="Times New Roman"/>
          <w:sz w:val="24"/>
          <w:szCs w:val="24"/>
        </w:rPr>
        <w:t>хил. лв., като в стойността е включена и изработката на медицинско изделие „тотална зъбна протеза“.</w:t>
      </w:r>
    </w:p>
    <w:p w14:paraId="7BAE69F7" w14:textId="77777777" w:rsidR="00FA1B8C" w:rsidRPr="006C13DF" w:rsidRDefault="00FA1B8C" w:rsidP="00447907">
      <w:pPr>
        <w:pStyle w:val="ListParagraph"/>
        <w:spacing w:after="0" w:line="240" w:lineRule="auto"/>
        <w:ind w:left="0"/>
        <w:jc w:val="both"/>
        <w:rPr>
          <w:rFonts w:ascii="Times New Roman" w:hAnsi="Times New Roman" w:cs="Times New Roman"/>
          <w:sz w:val="24"/>
          <w:szCs w:val="24"/>
        </w:rPr>
      </w:pPr>
    </w:p>
    <w:p w14:paraId="6D242256" w14:textId="77777777" w:rsidR="00E96D64" w:rsidRPr="006C13DF" w:rsidRDefault="00E96D64" w:rsidP="00E96D64">
      <w:pPr>
        <w:spacing w:after="0" w:line="240" w:lineRule="auto"/>
        <w:jc w:val="center"/>
        <w:rPr>
          <w:rFonts w:ascii="Times New Roman" w:hAnsi="Times New Roman" w:cs="Times New Roman"/>
          <w:b/>
          <w:color w:val="ED7D31" w:themeColor="accent2"/>
          <w:sz w:val="24"/>
          <w:szCs w:val="24"/>
        </w:rPr>
      </w:pPr>
      <w:r w:rsidRPr="006C13DF">
        <w:rPr>
          <w:rFonts w:ascii="Times New Roman" w:eastAsia="Calibri" w:hAnsi="Times New Roman" w:cs="Times New Roman"/>
          <w:b/>
          <w:color w:val="C0504D"/>
          <w:sz w:val="24"/>
          <w:szCs w:val="24"/>
        </w:rPr>
        <w:t>БЪЛГАРСКИ ЧЕРВЕН КРЪСТ</w:t>
      </w:r>
    </w:p>
    <w:p w14:paraId="1E4635F4" w14:textId="77777777" w:rsidR="00E96D64" w:rsidRPr="006C13DF" w:rsidRDefault="00E96D64" w:rsidP="00447907">
      <w:pPr>
        <w:pStyle w:val="ListParagraph"/>
        <w:spacing w:after="0" w:line="240" w:lineRule="auto"/>
        <w:ind w:left="0"/>
        <w:jc w:val="both"/>
        <w:rPr>
          <w:rFonts w:ascii="Times New Roman" w:hAnsi="Times New Roman" w:cs="Times New Roman"/>
          <w:b/>
          <w:i/>
          <w:sz w:val="24"/>
          <w:szCs w:val="24"/>
        </w:rPr>
      </w:pPr>
    </w:p>
    <w:p w14:paraId="06909D19" w14:textId="77777777" w:rsidR="00447907" w:rsidRPr="006C13DF" w:rsidRDefault="00447907" w:rsidP="00447907">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3.1.11. Проект „Иновативни модели за грижи в общността за хора с хронични заболявания и трайни увреждания“</w:t>
      </w:r>
    </w:p>
    <w:p w14:paraId="74E7782F" w14:textId="77777777" w:rsidR="00E96D64" w:rsidRPr="006C13DF" w:rsidRDefault="00E96D64" w:rsidP="00E96D64">
      <w:pPr>
        <w:pStyle w:val="ListParagraph"/>
        <w:spacing w:after="0" w:line="240" w:lineRule="auto"/>
        <w:ind w:left="0"/>
        <w:jc w:val="both"/>
        <w:rPr>
          <w:rFonts w:ascii="Times New Roman" w:hAnsi="Times New Roman" w:cs="Times New Roman"/>
          <w:b/>
          <w:sz w:val="24"/>
          <w:szCs w:val="24"/>
        </w:rPr>
      </w:pPr>
    </w:p>
    <w:p w14:paraId="6EFA9470" w14:textId="77777777" w:rsidR="00E96D64" w:rsidRPr="006C13DF" w:rsidRDefault="00E96D64" w:rsidP="00E96D64">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В периода май 2019 г. – април 2024 г. БЧК осъществи проект </w:t>
      </w:r>
      <w:r w:rsidRPr="00365933">
        <w:rPr>
          <w:rFonts w:ascii="Times New Roman" w:hAnsi="Times New Roman" w:cs="Times New Roman"/>
          <w:b/>
          <w:sz w:val="24"/>
          <w:szCs w:val="24"/>
        </w:rPr>
        <w:t>„Иновативни модели за грижи в общността за хора с хронични заболявания и трайни увреждания“</w:t>
      </w:r>
      <w:r w:rsidRPr="006C13DF">
        <w:rPr>
          <w:rFonts w:ascii="Times New Roman" w:hAnsi="Times New Roman" w:cs="Times New Roman"/>
          <w:sz w:val="24"/>
          <w:szCs w:val="24"/>
        </w:rPr>
        <w:t xml:space="preserve"> съвместно с МЗ, МТСП и Норвежката асоциация на местните и регионални власти и с подкрепата на Финансовия механизъм на Европейското икономическо пространство 2014-2021 г.</w:t>
      </w:r>
    </w:p>
    <w:p w14:paraId="1E1D8626" w14:textId="77777777" w:rsidR="00E96D64" w:rsidRPr="006C13DF" w:rsidRDefault="00E96D64" w:rsidP="00E96D64">
      <w:pPr>
        <w:spacing w:after="0" w:line="240" w:lineRule="auto"/>
        <w:ind w:firstLine="720"/>
        <w:jc w:val="both"/>
        <w:rPr>
          <w:rFonts w:ascii="Times New Roman" w:hAnsi="Times New Roman" w:cs="Times New Roman"/>
          <w:sz w:val="24"/>
          <w:szCs w:val="24"/>
        </w:rPr>
      </w:pPr>
      <w:r w:rsidRPr="006C13DF">
        <w:rPr>
          <w:rFonts w:ascii="Times New Roman" w:hAnsi="Times New Roman" w:cs="Times New Roman"/>
          <w:sz w:val="24"/>
          <w:szCs w:val="24"/>
        </w:rPr>
        <w:t xml:space="preserve">Благодарение на проекта е разширена мрежата от Центрове „Домашни грижи“ на БЧК за предоставяне на интегрирани здравно-социални грижи в дома от квалифицирани екипи от медицински сестри и домашни помощници. В периода 2023 – 2024 г. </w:t>
      </w:r>
      <w:r w:rsidRPr="002D67B2">
        <w:rPr>
          <w:rFonts w:ascii="Times New Roman" w:hAnsi="Times New Roman" w:cs="Times New Roman"/>
          <w:b/>
          <w:sz w:val="24"/>
          <w:szCs w:val="24"/>
        </w:rPr>
        <w:t>Центрове „Домашни грижи“ функционира</w:t>
      </w:r>
      <w:r w:rsidR="00C424DF" w:rsidRPr="002D67B2">
        <w:rPr>
          <w:rFonts w:ascii="Times New Roman" w:hAnsi="Times New Roman" w:cs="Times New Roman"/>
          <w:b/>
          <w:sz w:val="24"/>
          <w:szCs w:val="24"/>
        </w:rPr>
        <w:t>т</w:t>
      </w:r>
      <w:r w:rsidRPr="002D67B2">
        <w:rPr>
          <w:rFonts w:ascii="Times New Roman" w:hAnsi="Times New Roman" w:cs="Times New Roman"/>
          <w:b/>
          <w:sz w:val="24"/>
          <w:szCs w:val="24"/>
        </w:rPr>
        <w:t xml:space="preserve"> на територията на общините Враца, Оряхово, Бяла Слатина, Криводол, Видин, Белоградчик и Монтана</w:t>
      </w:r>
      <w:r w:rsidRPr="006C13DF">
        <w:rPr>
          <w:rFonts w:ascii="Times New Roman" w:hAnsi="Times New Roman" w:cs="Times New Roman"/>
          <w:sz w:val="24"/>
          <w:szCs w:val="24"/>
        </w:rPr>
        <w:t xml:space="preserve">. За целия период на проекта </w:t>
      </w:r>
      <w:r w:rsidR="00C424DF" w:rsidRPr="006C13DF">
        <w:rPr>
          <w:rFonts w:ascii="Times New Roman" w:hAnsi="Times New Roman" w:cs="Times New Roman"/>
          <w:sz w:val="24"/>
          <w:szCs w:val="24"/>
        </w:rPr>
        <w:t>са</w:t>
      </w:r>
      <w:r w:rsidRPr="006C13DF">
        <w:rPr>
          <w:rFonts w:ascii="Times New Roman" w:hAnsi="Times New Roman" w:cs="Times New Roman"/>
          <w:sz w:val="24"/>
          <w:szCs w:val="24"/>
        </w:rPr>
        <w:t xml:space="preserve"> създадени 81 работни места за медицински сестри и домашни помощници, а </w:t>
      </w:r>
      <w:r w:rsidRPr="002D67B2">
        <w:rPr>
          <w:rFonts w:ascii="Times New Roman" w:hAnsi="Times New Roman" w:cs="Times New Roman"/>
          <w:b/>
          <w:sz w:val="24"/>
          <w:szCs w:val="24"/>
        </w:rPr>
        <w:t xml:space="preserve">редовни грижи в дома </w:t>
      </w:r>
      <w:r w:rsidR="00C424DF" w:rsidRPr="002D67B2">
        <w:rPr>
          <w:rFonts w:ascii="Times New Roman" w:hAnsi="Times New Roman" w:cs="Times New Roman"/>
          <w:b/>
          <w:sz w:val="24"/>
          <w:szCs w:val="24"/>
        </w:rPr>
        <w:t xml:space="preserve">са </w:t>
      </w:r>
      <w:r w:rsidRPr="002D67B2">
        <w:rPr>
          <w:rFonts w:ascii="Times New Roman" w:hAnsi="Times New Roman" w:cs="Times New Roman"/>
          <w:b/>
          <w:sz w:val="24"/>
          <w:szCs w:val="24"/>
        </w:rPr>
        <w:t>получи</w:t>
      </w:r>
      <w:r w:rsidR="00C424DF" w:rsidRPr="002D67B2">
        <w:rPr>
          <w:rFonts w:ascii="Times New Roman" w:hAnsi="Times New Roman" w:cs="Times New Roman"/>
          <w:b/>
          <w:sz w:val="24"/>
          <w:szCs w:val="24"/>
        </w:rPr>
        <w:t>ли</w:t>
      </w:r>
      <w:r w:rsidRPr="002D67B2">
        <w:rPr>
          <w:rFonts w:ascii="Times New Roman" w:hAnsi="Times New Roman" w:cs="Times New Roman"/>
          <w:b/>
          <w:sz w:val="24"/>
          <w:szCs w:val="24"/>
        </w:rPr>
        <w:t xml:space="preserve"> повече от 1200 души</w:t>
      </w:r>
      <w:r w:rsidRPr="006C13DF">
        <w:rPr>
          <w:rFonts w:ascii="Times New Roman" w:hAnsi="Times New Roman" w:cs="Times New Roman"/>
          <w:sz w:val="24"/>
          <w:szCs w:val="24"/>
        </w:rPr>
        <w:t>, голяма част от тях самотно живеещи в 34 малки и отдалечени населени места на територията на 7-те общини.</w:t>
      </w:r>
    </w:p>
    <w:p w14:paraId="6DB02436" w14:textId="77777777" w:rsidR="00E96D64" w:rsidRPr="006C13DF" w:rsidRDefault="00C424DF" w:rsidP="00C424DF">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lastRenderedPageBreak/>
        <w:tab/>
      </w:r>
      <w:r w:rsidR="00E96D64" w:rsidRPr="006C13DF">
        <w:rPr>
          <w:rFonts w:ascii="Times New Roman" w:hAnsi="Times New Roman" w:cs="Times New Roman"/>
          <w:sz w:val="24"/>
          <w:szCs w:val="24"/>
        </w:rPr>
        <w:t xml:space="preserve">Сред основните успехи на проекта е въвеждането на </w:t>
      </w:r>
      <w:r w:rsidR="00E96D64" w:rsidRPr="002D67B2">
        <w:rPr>
          <w:rFonts w:ascii="Times New Roman" w:hAnsi="Times New Roman" w:cs="Times New Roman"/>
          <w:sz w:val="24"/>
          <w:szCs w:val="24"/>
        </w:rPr>
        <w:t xml:space="preserve">услугата </w:t>
      </w:r>
      <w:proofErr w:type="spellStart"/>
      <w:r w:rsidR="00E96D64" w:rsidRPr="002D67B2">
        <w:rPr>
          <w:rFonts w:ascii="Times New Roman" w:hAnsi="Times New Roman" w:cs="Times New Roman"/>
          <w:sz w:val="24"/>
          <w:szCs w:val="24"/>
        </w:rPr>
        <w:t>телекеър</w:t>
      </w:r>
      <w:proofErr w:type="spellEnd"/>
      <w:r w:rsidR="00E96D64" w:rsidRPr="002D67B2">
        <w:rPr>
          <w:rFonts w:ascii="Times New Roman" w:hAnsi="Times New Roman" w:cs="Times New Roman"/>
          <w:sz w:val="24"/>
          <w:szCs w:val="24"/>
        </w:rPr>
        <w:t xml:space="preserve"> в Северозападна България</w:t>
      </w:r>
      <w:r w:rsidR="00E96D64" w:rsidRPr="006C13DF">
        <w:rPr>
          <w:rFonts w:ascii="Times New Roman" w:hAnsi="Times New Roman" w:cs="Times New Roman"/>
          <w:sz w:val="24"/>
          <w:szCs w:val="24"/>
        </w:rPr>
        <w:t xml:space="preserve"> като част от системата на интегрираните здравно-социални услуги в домашна среда. Посредством изградения за целта Контролно-комуникационен център в гр. Враца и използването на два типа персонални устройства, е осъществявано постоянно наблюдение на различни физиологични показатели на потребителите 24 часа 7 дни в седмицата. Това доприн</w:t>
      </w:r>
      <w:r w:rsidRPr="006C13DF">
        <w:rPr>
          <w:rFonts w:ascii="Times New Roman" w:hAnsi="Times New Roman" w:cs="Times New Roman"/>
          <w:sz w:val="24"/>
          <w:szCs w:val="24"/>
        </w:rPr>
        <w:t>ася</w:t>
      </w:r>
      <w:r w:rsidR="00E96D64" w:rsidRPr="006C13DF">
        <w:rPr>
          <w:rFonts w:ascii="Times New Roman" w:hAnsi="Times New Roman" w:cs="Times New Roman"/>
          <w:sz w:val="24"/>
          <w:szCs w:val="24"/>
        </w:rPr>
        <w:t xml:space="preserve"> за предотвратяване на множество рискови ситуации, навременна намеса и предотвратяване на усложнения, както и до подобряване на психо-социалния статус на възрастните хора. За периода 2023 – 2024 г. в услугата </w:t>
      </w:r>
      <w:proofErr w:type="spellStart"/>
      <w:r w:rsidR="00E96D64" w:rsidRPr="006C13DF">
        <w:rPr>
          <w:rFonts w:ascii="Times New Roman" w:hAnsi="Times New Roman" w:cs="Times New Roman"/>
          <w:sz w:val="24"/>
          <w:szCs w:val="24"/>
        </w:rPr>
        <w:t>телекеър</w:t>
      </w:r>
      <w:proofErr w:type="spellEnd"/>
      <w:r w:rsidR="00E96D64" w:rsidRPr="006C13DF">
        <w:rPr>
          <w:rFonts w:ascii="Times New Roman" w:hAnsi="Times New Roman" w:cs="Times New Roman"/>
          <w:sz w:val="24"/>
          <w:szCs w:val="24"/>
        </w:rPr>
        <w:t xml:space="preserve"> </w:t>
      </w:r>
      <w:r w:rsidRPr="006C13DF">
        <w:rPr>
          <w:rFonts w:ascii="Times New Roman" w:hAnsi="Times New Roman" w:cs="Times New Roman"/>
          <w:sz w:val="24"/>
          <w:szCs w:val="24"/>
        </w:rPr>
        <w:t>с</w:t>
      </w:r>
      <w:r w:rsidR="00E96D64" w:rsidRPr="006C13DF">
        <w:rPr>
          <w:rFonts w:ascii="Times New Roman" w:hAnsi="Times New Roman" w:cs="Times New Roman"/>
          <w:sz w:val="24"/>
          <w:szCs w:val="24"/>
        </w:rPr>
        <w:t>а включени 650 потребители, а за целия пер</w:t>
      </w:r>
      <w:r w:rsidRPr="006C13DF">
        <w:rPr>
          <w:rFonts w:ascii="Times New Roman" w:hAnsi="Times New Roman" w:cs="Times New Roman"/>
          <w:sz w:val="24"/>
          <w:szCs w:val="24"/>
        </w:rPr>
        <w:t>иод на проекта този брой достиг</w:t>
      </w:r>
      <w:r w:rsidR="00E96D64" w:rsidRPr="006C13DF">
        <w:rPr>
          <w:rFonts w:ascii="Times New Roman" w:hAnsi="Times New Roman" w:cs="Times New Roman"/>
          <w:sz w:val="24"/>
          <w:szCs w:val="24"/>
        </w:rPr>
        <w:t>а  950 души от всички 7 общини.</w:t>
      </w:r>
    </w:p>
    <w:p w14:paraId="196A259A" w14:textId="77777777" w:rsidR="00E96D64" w:rsidRPr="006C13DF" w:rsidRDefault="00E96D64" w:rsidP="00E96D64">
      <w:pPr>
        <w:spacing w:after="0" w:line="240" w:lineRule="auto"/>
        <w:ind w:firstLine="720"/>
        <w:jc w:val="both"/>
        <w:rPr>
          <w:rFonts w:ascii="Times New Roman" w:hAnsi="Times New Roman" w:cs="Times New Roman"/>
          <w:sz w:val="24"/>
          <w:szCs w:val="24"/>
        </w:rPr>
      </w:pPr>
      <w:r w:rsidRPr="006C13DF">
        <w:rPr>
          <w:rFonts w:ascii="Times New Roman" w:hAnsi="Times New Roman" w:cs="Times New Roman"/>
          <w:sz w:val="24"/>
          <w:szCs w:val="24"/>
        </w:rPr>
        <w:t xml:space="preserve">След приключване на проекта </w:t>
      </w:r>
      <w:r w:rsidR="00FE3A88" w:rsidRPr="006C13DF">
        <w:rPr>
          <w:rFonts w:ascii="Times New Roman" w:hAnsi="Times New Roman" w:cs="Times New Roman"/>
          <w:sz w:val="24"/>
          <w:szCs w:val="24"/>
        </w:rPr>
        <w:t>Министерският съвет</w:t>
      </w:r>
      <w:r w:rsidRPr="006C13DF">
        <w:rPr>
          <w:rFonts w:ascii="Times New Roman" w:hAnsi="Times New Roman" w:cs="Times New Roman"/>
          <w:sz w:val="24"/>
          <w:szCs w:val="24"/>
        </w:rPr>
        <w:t xml:space="preserve"> </w:t>
      </w:r>
      <w:r w:rsidR="00FE3A88" w:rsidRPr="006C13DF">
        <w:rPr>
          <w:rFonts w:ascii="Times New Roman" w:hAnsi="Times New Roman" w:cs="Times New Roman"/>
          <w:sz w:val="24"/>
          <w:szCs w:val="24"/>
        </w:rPr>
        <w:t xml:space="preserve">одобри </w:t>
      </w:r>
      <w:r w:rsidRPr="006C13DF">
        <w:rPr>
          <w:rFonts w:ascii="Times New Roman" w:hAnsi="Times New Roman" w:cs="Times New Roman"/>
          <w:sz w:val="24"/>
          <w:szCs w:val="24"/>
        </w:rPr>
        <w:t xml:space="preserve">Решение №328/09.05.2024 г. </w:t>
      </w:r>
      <w:r w:rsidR="00FE3A88" w:rsidRPr="006C13DF">
        <w:rPr>
          <w:rFonts w:ascii="Times New Roman" w:hAnsi="Times New Roman" w:cs="Times New Roman"/>
          <w:sz w:val="24"/>
          <w:szCs w:val="24"/>
        </w:rPr>
        <w:t>за п</w:t>
      </w:r>
      <w:r w:rsidRPr="006C13DF">
        <w:rPr>
          <w:rFonts w:ascii="Times New Roman" w:hAnsi="Times New Roman" w:cs="Times New Roman"/>
          <w:sz w:val="24"/>
          <w:szCs w:val="24"/>
        </w:rPr>
        <w:t>риемане на Програма „Иновативен модел за грижи в общността за хора с хронични заболявания и трайни увреждания 2024“ и Постановление №163/09.05.2024 г.</w:t>
      </w:r>
      <w:r w:rsidR="00FE3A88" w:rsidRPr="006C13DF">
        <w:rPr>
          <w:rFonts w:ascii="Times New Roman" w:hAnsi="Times New Roman" w:cs="Times New Roman"/>
          <w:sz w:val="24"/>
          <w:szCs w:val="24"/>
        </w:rPr>
        <w:t xml:space="preserve"> за </w:t>
      </w:r>
      <w:r w:rsidRPr="006C13DF">
        <w:rPr>
          <w:rFonts w:ascii="Times New Roman" w:hAnsi="Times New Roman" w:cs="Times New Roman"/>
          <w:sz w:val="24"/>
          <w:szCs w:val="24"/>
        </w:rPr>
        <w:t xml:space="preserve">одобряване на допълнителни трансфери на 7-те общини за предоставяне на интегрирани здравно-социални услуги в домашна среда – мобилно и от разстояние – </w:t>
      </w:r>
      <w:proofErr w:type="spellStart"/>
      <w:r w:rsidRPr="006C13DF">
        <w:rPr>
          <w:rFonts w:ascii="Times New Roman" w:hAnsi="Times New Roman" w:cs="Times New Roman"/>
          <w:sz w:val="24"/>
          <w:szCs w:val="24"/>
        </w:rPr>
        <w:t>телекеър</w:t>
      </w:r>
      <w:proofErr w:type="spellEnd"/>
      <w:r w:rsidRPr="006C13DF">
        <w:rPr>
          <w:rFonts w:ascii="Times New Roman" w:hAnsi="Times New Roman" w:cs="Times New Roman"/>
          <w:sz w:val="24"/>
          <w:szCs w:val="24"/>
        </w:rPr>
        <w:t xml:space="preserve">. С предоставения финансов ресурс дейността на Центровете „Домашни грижи“ е продължена от страна на общинските администрации до края на 2024 г., като за целта БЧК предостави за ползване материална база и оборудване, закупени по проекта и предназначени за нуждите на Центровете „Домашни грижи“. </w:t>
      </w:r>
    </w:p>
    <w:p w14:paraId="183153B3" w14:textId="77777777" w:rsidR="00FE1619" w:rsidRPr="006C13DF" w:rsidRDefault="00FE1619" w:rsidP="00FE1619">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E96D64" w:rsidRPr="006C13DF">
        <w:rPr>
          <w:rFonts w:ascii="Times New Roman" w:hAnsi="Times New Roman" w:cs="Times New Roman"/>
          <w:sz w:val="24"/>
          <w:szCs w:val="24"/>
        </w:rPr>
        <w:t xml:space="preserve">БЧК продължи да осъществява услугата </w:t>
      </w:r>
      <w:proofErr w:type="spellStart"/>
      <w:r w:rsidR="00E96D64" w:rsidRPr="006C13DF">
        <w:rPr>
          <w:rFonts w:ascii="Times New Roman" w:hAnsi="Times New Roman" w:cs="Times New Roman"/>
          <w:sz w:val="24"/>
          <w:szCs w:val="24"/>
        </w:rPr>
        <w:t>телекеър</w:t>
      </w:r>
      <w:proofErr w:type="spellEnd"/>
      <w:r w:rsidR="00E96D64" w:rsidRPr="006C13DF">
        <w:rPr>
          <w:rFonts w:ascii="Times New Roman" w:hAnsi="Times New Roman" w:cs="Times New Roman"/>
          <w:sz w:val="24"/>
          <w:szCs w:val="24"/>
        </w:rPr>
        <w:t xml:space="preserve"> за потребители на интегрирани здравно-социални услуги от 7-те общини – обект на Постановление №163/09.05.2024</w:t>
      </w:r>
      <w:r w:rsidR="002D67B2">
        <w:rPr>
          <w:rFonts w:ascii="Times New Roman" w:hAnsi="Times New Roman" w:cs="Times New Roman"/>
          <w:sz w:val="24"/>
          <w:szCs w:val="24"/>
        </w:rPr>
        <w:t xml:space="preserve"> г.</w:t>
      </w:r>
      <w:r w:rsidR="00E96D64" w:rsidRPr="006C13DF">
        <w:rPr>
          <w:rFonts w:ascii="Times New Roman" w:hAnsi="Times New Roman" w:cs="Times New Roman"/>
          <w:sz w:val="24"/>
          <w:szCs w:val="24"/>
        </w:rPr>
        <w:t>, по силата на Договор за възлагане от страна н</w:t>
      </w:r>
      <w:r w:rsidRPr="006C13DF">
        <w:rPr>
          <w:rFonts w:ascii="Times New Roman" w:hAnsi="Times New Roman" w:cs="Times New Roman"/>
          <w:sz w:val="24"/>
          <w:szCs w:val="24"/>
        </w:rPr>
        <w:t>а Община Враца. За периода май –</w:t>
      </w:r>
      <w:r w:rsidR="00E96D64" w:rsidRPr="006C13DF">
        <w:rPr>
          <w:rFonts w:ascii="Times New Roman" w:hAnsi="Times New Roman" w:cs="Times New Roman"/>
          <w:sz w:val="24"/>
          <w:szCs w:val="24"/>
        </w:rPr>
        <w:t xml:space="preserve"> декември</w:t>
      </w:r>
      <w:r w:rsidRPr="006C13DF">
        <w:rPr>
          <w:rFonts w:ascii="Times New Roman" w:hAnsi="Times New Roman" w:cs="Times New Roman"/>
          <w:sz w:val="24"/>
          <w:szCs w:val="24"/>
        </w:rPr>
        <w:t xml:space="preserve"> 2024 г. </w:t>
      </w:r>
      <w:r w:rsidRPr="002D67B2">
        <w:rPr>
          <w:rFonts w:ascii="Times New Roman" w:hAnsi="Times New Roman" w:cs="Times New Roman"/>
          <w:b/>
          <w:sz w:val="24"/>
          <w:szCs w:val="24"/>
        </w:rPr>
        <w:t xml:space="preserve">в услугата </w:t>
      </w:r>
      <w:proofErr w:type="spellStart"/>
      <w:r w:rsidRPr="002D67B2">
        <w:rPr>
          <w:rFonts w:ascii="Times New Roman" w:hAnsi="Times New Roman" w:cs="Times New Roman"/>
          <w:b/>
          <w:sz w:val="24"/>
          <w:szCs w:val="24"/>
        </w:rPr>
        <w:t>телекеър</w:t>
      </w:r>
      <w:proofErr w:type="spellEnd"/>
      <w:r w:rsidRPr="002D67B2">
        <w:rPr>
          <w:rFonts w:ascii="Times New Roman" w:hAnsi="Times New Roman" w:cs="Times New Roman"/>
          <w:b/>
          <w:sz w:val="24"/>
          <w:szCs w:val="24"/>
        </w:rPr>
        <w:t xml:space="preserve"> с</w:t>
      </w:r>
      <w:r w:rsidR="00E96D64" w:rsidRPr="002D67B2">
        <w:rPr>
          <w:rFonts w:ascii="Times New Roman" w:hAnsi="Times New Roman" w:cs="Times New Roman"/>
          <w:b/>
          <w:sz w:val="24"/>
          <w:szCs w:val="24"/>
        </w:rPr>
        <w:t>а обхванати 200 самотно живеещи възрастни хора с хронични заболявания и трайни увреждания</w:t>
      </w:r>
      <w:r w:rsidR="00E96D64" w:rsidRPr="006C13DF">
        <w:rPr>
          <w:rFonts w:ascii="Times New Roman" w:hAnsi="Times New Roman" w:cs="Times New Roman"/>
          <w:sz w:val="24"/>
          <w:szCs w:val="24"/>
        </w:rPr>
        <w:t>.</w:t>
      </w:r>
    </w:p>
    <w:p w14:paraId="3764A9D5" w14:textId="77777777" w:rsidR="00E96D64" w:rsidRPr="006C13DF" w:rsidRDefault="00FE1619" w:rsidP="00FE1619">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E96D64" w:rsidRPr="006C13DF">
        <w:rPr>
          <w:rFonts w:ascii="Times New Roman" w:hAnsi="Times New Roman" w:cs="Times New Roman"/>
          <w:sz w:val="24"/>
          <w:szCs w:val="24"/>
        </w:rPr>
        <w:t>Използването на новите технологии като част от системата за предоставяне на интегрирани здравно-социални услуги в домашна среда доведе до подобряване на достъпа до навременни и професионални грижи, включително за хора в отдалечени и трудно достъпни населени места с ограничен достъп до качествени медицински грижи и социална подкрепа. Предвид задълбочаващата се демографска криза в България и намаляващия финансов и човешки ресурс следва да се има предвид, че натрупаният опит и ноу-хау от БЧК в сферата на дългосрочните грижи, в частност и по о</w:t>
      </w:r>
      <w:r w:rsidRPr="006C13DF">
        <w:rPr>
          <w:rFonts w:ascii="Times New Roman" w:hAnsi="Times New Roman" w:cs="Times New Roman"/>
          <w:sz w:val="24"/>
          <w:szCs w:val="24"/>
        </w:rPr>
        <w:t xml:space="preserve">тношение на услугата </w:t>
      </w:r>
      <w:proofErr w:type="spellStart"/>
      <w:r w:rsidRPr="006C13DF">
        <w:rPr>
          <w:rFonts w:ascii="Times New Roman" w:hAnsi="Times New Roman" w:cs="Times New Roman"/>
          <w:sz w:val="24"/>
          <w:szCs w:val="24"/>
        </w:rPr>
        <w:t>телекеър</w:t>
      </w:r>
      <w:proofErr w:type="spellEnd"/>
      <w:r w:rsidRPr="006C13DF">
        <w:rPr>
          <w:rFonts w:ascii="Times New Roman" w:hAnsi="Times New Roman" w:cs="Times New Roman"/>
          <w:sz w:val="24"/>
          <w:szCs w:val="24"/>
        </w:rPr>
        <w:t xml:space="preserve">, </w:t>
      </w:r>
      <w:r w:rsidR="00E96D64" w:rsidRPr="006C13DF">
        <w:rPr>
          <w:rFonts w:ascii="Times New Roman" w:hAnsi="Times New Roman" w:cs="Times New Roman"/>
          <w:sz w:val="24"/>
          <w:szCs w:val="24"/>
        </w:rPr>
        <w:t xml:space="preserve">създават база за надграждане и възможности за развитие на иновативни услуги, които да доведат до задоволяване на нарастващите нужди на възрастните хора в страната от качествени грижи. </w:t>
      </w:r>
    </w:p>
    <w:p w14:paraId="2BD425E0" w14:textId="77777777" w:rsidR="005366F8" w:rsidRPr="006C13DF" w:rsidRDefault="005366F8" w:rsidP="005366F8">
      <w:pPr>
        <w:spacing w:after="0" w:line="240" w:lineRule="auto"/>
        <w:jc w:val="center"/>
        <w:rPr>
          <w:rFonts w:ascii="Times New Roman" w:hAnsi="Times New Roman" w:cs="Times New Roman"/>
          <w:b/>
          <w:color w:val="ED7D31" w:themeColor="accent2"/>
          <w:sz w:val="24"/>
          <w:szCs w:val="24"/>
        </w:rPr>
      </w:pPr>
    </w:p>
    <w:p w14:paraId="04BDBF85" w14:textId="77777777" w:rsidR="00DB74D4" w:rsidRPr="006C13DF" w:rsidRDefault="00447907" w:rsidP="00DB74D4">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3.1.12. Предоставяне на интегрирани здравно-социални услуги в домашна среда на възрастни хора над 65 г. с хронични заболявания и трайни увреждания</w:t>
      </w:r>
    </w:p>
    <w:p w14:paraId="7E690D2E" w14:textId="77777777" w:rsidR="00DB74D4" w:rsidRPr="006C13DF" w:rsidRDefault="00DB74D4" w:rsidP="00DB74D4">
      <w:pPr>
        <w:pStyle w:val="ListParagraph"/>
        <w:spacing w:after="0" w:line="240" w:lineRule="auto"/>
        <w:ind w:left="0"/>
        <w:jc w:val="both"/>
        <w:rPr>
          <w:rFonts w:ascii="Times New Roman" w:hAnsi="Times New Roman" w:cs="Times New Roman"/>
          <w:b/>
          <w:i/>
          <w:sz w:val="24"/>
          <w:szCs w:val="24"/>
        </w:rPr>
      </w:pPr>
    </w:p>
    <w:p w14:paraId="1F2BA2F0" w14:textId="77777777" w:rsidR="005366F8" w:rsidRPr="006C13DF" w:rsidRDefault="005366F8" w:rsidP="005366F8">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6816832A" w14:textId="77777777" w:rsidR="005366F8" w:rsidRPr="006C13DF" w:rsidRDefault="005366F8" w:rsidP="00DB74D4">
      <w:pPr>
        <w:pStyle w:val="ListParagraph"/>
        <w:spacing w:after="0" w:line="240" w:lineRule="auto"/>
        <w:ind w:left="0"/>
        <w:jc w:val="both"/>
        <w:rPr>
          <w:rFonts w:ascii="Times New Roman" w:hAnsi="Times New Roman" w:cs="Times New Roman"/>
          <w:b/>
          <w:i/>
          <w:sz w:val="24"/>
          <w:szCs w:val="24"/>
        </w:rPr>
      </w:pPr>
    </w:p>
    <w:p w14:paraId="42B2C204" w14:textId="77777777" w:rsidR="00DB74D4" w:rsidRPr="006C13DF" w:rsidRDefault="00DB74D4" w:rsidP="00DB74D4">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В рамките на ПРЧР 2021-2027 през 2023 г. стартира изпълнението на процедура BG05SFPR002-2.001 </w:t>
      </w:r>
      <w:r w:rsidRPr="006C13DF">
        <w:rPr>
          <w:rFonts w:ascii="Times New Roman" w:hAnsi="Times New Roman" w:cs="Times New Roman"/>
          <w:b/>
          <w:bCs/>
          <w:sz w:val="24"/>
          <w:szCs w:val="24"/>
        </w:rPr>
        <w:t>„Грижа в дома“</w:t>
      </w:r>
      <w:r w:rsidRPr="006C13DF">
        <w:rPr>
          <w:rFonts w:ascii="Times New Roman" w:hAnsi="Times New Roman" w:cs="Times New Roman"/>
          <w:sz w:val="24"/>
          <w:szCs w:val="24"/>
        </w:rPr>
        <w:t xml:space="preserve"> с бенефициенти общините в Република България. Сключени са 229 договора на обща стойност 236 797 229 лв., като до края на 2024 г. са </w:t>
      </w:r>
      <w:r w:rsidRPr="002D67B2">
        <w:rPr>
          <w:rFonts w:ascii="Times New Roman" w:hAnsi="Times New Roman" w:cs="Times New Roman"/>
          <w:b/>
          <w:sz w:val="24"/>
          <w:szCs w:val="24"/>
        </w:rPr>
        <w:t>обхванати 45 312 лица с увреждания и възрастни в невъзможност за самообслужване</w:t>
      </w:r>
      <w:r w:rsidR="002D67B2">
        <w:rPr>
          <w:rFonts w:ascii="Times New Roman" w:hAnsi="Times New Roman" w:cs="Times New Roman"/>
          <w:sz w:val="24"/>
          <w:szCs w:val="24"/>
        </w:rPr>
        <w:t xml:space="preserve">. По операцията </w:t>
      </w:r>
      <w:r w:rsidRPr="006C13DF">
        <w:rPr>
          <w:rFonts w:ascii="Times New Roman" w:hAnsi="Times New Roman" w:cs="Times New Roman"/>
          <w:sz w:val="24"/>
          <w:szCs w:val="24"/>
        </w:rPr>
        <w:t xml:space="preserve">е изграден модел за грижи за възрастни хора и лица с увреждания, включително с хронични заболявания и трайни увреждания, чрез осигурени почасови мобилни интегрирани здравно-социални услуги в домовете на потребителите. </w:t>
      </w:r>
      <w:r w:rsidR="002D67B2">
        <w:rPr>
          <w:rFonts w:ascii="Times New Roman" w:hAnsi="Times New Roman" w:cs="Times New Roman"/>
          <w:sz w:val="24"/>
          <w:szCs w:val="24"/>
        </w:rPr>
        <w:tab/>
      </w:r>
      <w:r w:rsidRPr="006C13DF">
        <w:rPr>
          <w:rFonts w:ascii="Times New Roman" w:hAnsi="Times New Roman" w:cs="Times New Roman"/>
          <w:sz w:val="24"/>
          <w:szCs w:val="24"/>
        </w:rPr>
        <w:t xml:space="preserve">Създадени са условия за независим и достоен живот на възрастните хора и хората с увреждания посредством предоставянето на качествени, достъпни и устойчиви услуги за дългосрочна грижа според индивидуалните им потребности при постигне на по-добър баланс между качество на услугите и ефективното и ефикасното им предоставяне. За </w:t>
      </w:r>
      <w:r w:rsidRPr="006C13DF">
        <w:rPr>
          <w:rFonts w:ascii="Times New Roman" w:hAnsi="Times New Roman" w:cs="Times New Roman"/>
          <w:sz w:val="24"/>
          <w:szCs w:val="24"/>
        </w:rPr>
        <w:lastRenderedPageBreak/>
        <w:t>служителите, които предоставяха услугите се организираха обучения и супервизия, както и транспорт до домовете на ползвателите на услугите.</w:t>
      </w:r>
    </w:p>
    <w:p w14:paraId="5EC9F289" w14:textId="77777777" w:rsidR="006E5C93" w:rsidRDefault="006E5C93" w:rsidP="00447907">
      <w:pPr>
        <w:pStyle w:val="ListParagraph"/>
        <w:spacing w:after="0" w:line="240" w:lineRule="auto"/>
        <w:ind w:left="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 </w:t>
      </w:r>
    </w:p>
    <w:p w14:paraId="046A5EDE" w14:textId="77777777" w:rsidR="00CF5D86" w:rsidRDefault="00CF5D86" w:rsidP="00447907">
      <w:pPr>
        <w:pStyle w:val="ListParagraph"/>
        <w:spacing w:after="0" w:line="240" w:lineRule="auto"/>
        <w:ind w:left="0"/>
        <w:jc w:val="both"/>
        <w:rPr>
          <w:rFonts w:ascii="Times New Roman" w:eastAsia="Times New Roman" w:hAnsi="Times New Roman" w:cs="Times New Roman"/>
          <w:sz w:val="24"/>
          <w:szCs w:val="24"/>
          <w:lang w:eastAsia="bg-BG"/>
        </w:rPr>
      </w:pPr>
    </w:p>
    <w:p w14:paraId="7FC6301A" w14:textId="77777777" w:rsidR="00CF5D86" w:rsidRDefault="00CF5D86" w:rsidP="00447907">
      <w:pPr>
        <w:pStyle w:val="ListParagraph"/>
        <w:spacing w:after="0" w:line="240" w:lineRule="auto"/>
        <w:ind w:left="0"/>
        <w:jc w:val="both"/>
        <w:rPr>
          <w:rFonts w:ascii="Times New Roman" w:eastAsia="Times New Roman" w:hAnsi="Times New Roman" w:cs="Times New Roman"/>
          <w:sz w:val="24"/>
          <w:szCs w:val="24"/>
          <w:lang w:eastAsia="bg-BG"/>
        </w:rPr>
      </w:pPr>
    </w:p>
    <w:p w14:paraId="71306442" w14:textId="77777777" w:rsidR="00CF5D86" w:rsidRPr="006C13DF" w:rsidRDefault="00CF5D86" w:rsidP="00447907">
      <w:pPr>
        <w:pStyle w:val="ListParagraph"/>
        <w:spacing w:after="0" w:line="240" w:lineRule="auto"/>
        <w:ind w:left="0"/>
        <w:jc w:val="both"/>
        <w:rPr>
          <w:rFonts w:ascii="Times New Roman" w:eastAsia="Times New Roman" w:hAnsi="Times New Roman" w:cs="Times New Roman"/>
          <w:sz w:val="24"/>
          <w:szCs w:val="24"/>
          <w:lang w:eastAsia="bg-BG"/>
        </w:rPr>
      </w:pPr>
    </w:p>
    <w:p w14:paraId="688319E8" w14:textId="77777777" w:rsidR="005366F8" w:rsidRPr="006C13DF" w:rsidRDefault="005366F8" w:rsidP="005366F8">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БЪЛГАРСКИ ЧЕРВЕН КРЪСТ</w:t>
      </w:r>
    </w:p>
    <w:p w14:paraId="0885C2B6" w14:textId="77777777" w:rsidR="005366F8" w:rsidRPr="006C13DF" w:rsidRDefault="005366F8" w:rsidP="005366F8">
      <w:pPr>
        <w:pStyle w:val="ListParagraph"/>
        <w:spacing w:after="0" w:line="240" w:lineRule="auto"/>
        <w:ind w:left="0"/>
        <w:jc w:val="both"/>
        <w:rPr>
          <w:rFonts w:ascii="Times New Roman" w:eastAsia="Times New Roman" w:hAnsi="Times New Roman" w:cs="Times New Roman"/>
          <w:sz w:val="24"/>
          <w:szCs w:val="24"/>
          <w:lang w:eastAsia="bg-BG"/>
        </w:rPr>
      </w:pPr>
    </w:p>
    <w:p w14:paraId="0E8B630A" w14:textId="77777777" w:rsidR="005366F8" w:rsidRPr="006C13DF" w:rsidRDefault="005366F8" w:rsidP="005366F8">
      <w:pPr>
        <w:shd w:val="clear" w:color="auto" w:fill="FFFFFF"/>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sz w:val="24"/>
          <w:szCs w:val="24"/>
        </w:rPr>
        <w:tab/>
        <w:t>Извън общините, обхванати по проект „</w:t>
      </w:r>
      <w:r w:rsidRPr="006C13DF">
        <w:rPr>
          <w:rFonts w:ascii="Times New Roman" w:hAnsi="Times New Roman" w:cs="Times New Roman"/>
          <w:sz w:val="24"/>
          <w:szCs w:val="24"/>
        </w:rPr>
        <w:t>Иновативни модели за грижи в общността за хора с хронични заболявания и трайни увреждания“, п</w:t>
      </w:r>
      <w:r w:rsidRPr="006C13DF">
        <w:rPr>
          <w:rFonts w:ascii="Times New Roman" w:eastAsia="Times New Roman" w:hAnsi="Times New Roman" w:cs="Times New Roman"/>
          <w:sz w:val="24"/>
          <w:szCs w:val="24"/>
        </w:rPr>
        <w:t xml:space="preserve">редоставянето на </w:t>
      </w:r>
      <w:r w:rsidRPr="006C13DF">
        <w:rPr>
          <w:rFonts w:ascii="Times New Roman" w:eastAsia="Times New Roman" w:hAnsi="Times New Roman" w:cs="Times New Roman"/>
          <w:bCs/>
          <w:sz w:val="24"/>
          <w:szCs w:val="24"/>
        </w:rPr>
        <w:t>интегрирани здравно-социални услуги в домашна среда продължи през 2023 – 2024 г. и на територията на гр. София и гр. Варна. Над 120 потребители общо от тези общини са получавали редовни грижи от квалифицирани медицински сестри</w:t>
      </w:r>
      <w:r w:rsidRPr="006C13DF">
        <w:rPr>
          <w:rFonts w:ascii="Times New Roman" w:eastAsia="Times New Roman" w:hAnsi="Times New Roman" w:cs="Times New Roman"/>
          <w:sz w:val="24"/>
          <w:szCs w:val="24"/>
        </w:rPr>
        <w:t xml:space="preserve"> и домашни помощници.</w:t>
      </w:r>
      <w:r w:rsidRPr="006C13DF">
        <w:rPr>
          <w:rFonts w:ascii="Times New Roman" w:eastAsia="Times New Roman" w:hAnsi="Times New Roman" w:cs="Times New Roman"/>
          <w:bCs/>
          <w:sz w:val="24"/>
          <w:szCs w:val="24"/>
        </w:rPr>
        <w:t xml:space="preserve"> </w:t>
      </w:r>
      <w:proofErr w:type="spellStart"/>
      <w:r w:rsidRPr="006C13DF">
        <w:rPr>
          <w:rFonts w:ascii="Times New Roman" w:eastAsia="Times New Roman" w:hAnsi="Times New Roman" w:cs="Times New Roman"/>
          <w:sz w:val="24"/>
          <w:szCs w:val="24"/>
          <w:lang w:val="ru-RU"/>
        </w:rPr>
        <w:t>Услугите</w:t>
      </w:r>
      <w:proofErr w:type="spellEnd"/>
      <w:r w:rsidRPr="006C13DF">
        <w:rPr>
          <w:rFonts w:ascii="Times New Roman" w:eastAsia="Times New Roman" w:hAnsi="Times New Roman" w:cs="Times New Roman"/>
          <w:sz w:val="24"/>
          <w:szCs w:val="24"/>
          <w:lang w:val="ru-RU"/>
        </w:rPr>
        <w:t xml:space="preserve"> в гр. София </w:t>
      </w:r>
      <w:proofErr w:type="spellStart"/>
      <w:r w:rsidRPr="006C13DF">
        <w:rPr>
          <w:rFonts w:ascii="Times New Roman" w:eastAsia="Times New Roman" w:hAnsi="Times New Roman" w:cs="Times New Roman"/>
          <w:sz w:val="24"/>
          <w:szCs w:val="24"/>
          <w:lang w:val="ru-RU"/>
        </w:rPr>
        <w:t>са</w:t>
      </w:r>
      <w:proofErr w:type="spellEnd"/>
      <w:r w:rsidRPr="006C13DF">
        <w:rPr>
          <w:rFonts w:ascii="Times New Roman" w:eastAsia="Times New Roman" w:hAnsi="Times New Roman" w:cs="Times New Roman"/>
          <w:sz w:val="24"/>
          <w:szCs w:val="24"/>
          <w:lang w:val="ru-RU"/>
        </w:rPr>
        <w:t xml:space="preserve"> се </w:t>
      </w:r>
      <w:proofErr w:type="spellStart"/>
      <w:r w:rsidRPr="006C13DF">
        <w:rPr>
          <w:rFonts w:ascii="Times New Roman" w:eastAsia="Times New Roman" w:hAnsi="Times New Roman" w:cs="Times New Roman"/>
          <w:sz w:val="24"/>
          <w:szCs w:val="24"/>
          <w:lang w:val="ru-RU"/>
        </w:rPr>
        <w:t>предоставяли</w:t>
      </w:r>
      <w:proofErr w:type="spellEnd"/>
      <w:r w:rsidRPr="006C13DF">
        <w:rPr>
          <w:rFonts w:ascii="Times New Roman" w:eastAsia="Times New Roman" w:hAnsi="Times New Roman" w:cs="Times New Roman"/>
          <w:sz w:val="24"/>
          <w:szCs w:val="24"/>
          <w:lang w:val="ru-RU"/>
        </w:rPr>
        <w:t xml:space="preserve"> на 20 потребители с финансов</w:t>
      </w:r>
      <w:r w:rsidRPr="006C13DF">
        <w:rPr>
          <w:rFonts w:ascii="Times New Roman" w:eastAsia="Times New Roman" w:hAnsi="Times New Roman" w:cs="Times New Roman"/>
          <w:sz w:val="24"/>
          <w:szCs w:val="24"/>
        </w:rPr>
        <w:t>ата подкрепа на НС на БЧК.</w:t>
      </w:r>
    </w:p>
    <w:p w14:paraId="14631C79" w14:textId="77777777" w:rsidR="005366F8" w:rsidRPr="006C13DF" w:rsidRDefault="005366F8" w:rsidP="005366F8">
      <w:pPr>
        <w:shd w:val="clear" w:color="auto" w:fill="FFFFFF"/>
        <w:spacing w:after="0" w:line="240" w:lineRule="auto"/>
        <w:jc w:val="both"/>
        <w:rPr>
          <w:rFonts w:ascii="Times New Roman" w:eastAsia="Times New Roman" w:hAnsi="Times New Roman" w:cs="Times New Roman"/>
          <w:bCs/>
          <w:sz w:val="24"/>
          <w:szCs w:val="24"/>
        </w:rPr>
      </w:pPr>
      <w:r w:rsidRPr="006C13DF">
        <w:rPr>
          <w:rFonts w:ascii="Times New Roman" w:eastAsia="Times New Roman" w:hAnsi="Times New Roman" w:cs="Times New Roman"/>
          <w:bCs/>
          <w:sz w:val="24"/>
          <w:szCs w:val="24"/>
        </w:rPr>
        <w:tab/>
      </w:r>
      <w:proofErr w:type="spellStart"/>
      <w:r w:rsidRPr="006C13DF">
        <w:rPr>
          <w:rFonts w:ascii="Times New Roman" w:hAnsi="Times New Roman" w:cs="Times New Roman"/>
          <w:sz w:val="24"/>
          <w:szCs w:val="24"/>
          <w:lang w:val="ru-RU"/>
        </w:rPr>
        <w:t>Комплексът</w:t>
      </w:r>
      <w:proofErr w:type="spellEnd"/>
      <w:r w:rsidRPr="006C13DF">
        <w:rPr>
          <w:rFonts w:ascii="Times New Roman" w:hAnsi="Times New Roman" w:cs="Times New Roman"/>
          <w:sz w:val="24"/>
          <w:szCs w:val="24"/>
          <w:lang w:val="ru-RU"/>
        </w:rPr>
        <w:t xml:space="preserve"> за </w:t>
      </w:r>
      <w:proofErr w:type="spellStart"/>
      <w:r w:rsidRPr="006C13DF">
        <w:rPr>
          <w:rFonts w:ascii="Times New Roman" w:hAnsi="Times New Roman" w:cs="Times New Roman"/>
          <w:sz w:val="24"/>
          <w:szCs w:val="24"/>
          <w:lang w:val="ru-RU"/>
        </w:rPr>
        <w:t>социални</w:t>
      </w:r>
      <w:proofErr w:type="spellEnd"/>
      <w:r w:rsidRPr="006C13DF">
        <w:rPr>
          <w:rFonts w:ascii="Times New Roman" w:hAnsi="Times New Roman" w:cs="Times New Roman"/>
          <w:sz w:val="24"/>
          <w:szCs w:val="24"/>
          <w:lang w:val="ru-RU"/>
        </w:rPr>
        <w:t xml:space="preserve"> услуги „</w:t>
      </w:r>
      <w:proofErr w:type="spellStart"/>
      <w:r w:rsidRPr="006C13DF">
        <w:rPr>
          <w:rFonts w:ascii="Times New Roman" w:hAnsi="Times New Roman" w:cs="Times New Roman"/>
          <w:sz w:val="24"/>
          <w:szCs w:val="24"/>
          <w:lang w:val="ru-RU"/>
        </w:rPr>
        <w:t>Център</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Домашни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грижи</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Областен</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съвет</w:t>
      </w:r>
      <w:proofErr w:type="spellEnd"/>
      <w:r w:rsidRPr="006C13DF">
        <w:rPr>
          <w:rFonts w:ascii="Times New Roman" w:hAnsi="Times New Roman" w:cs="Times New Roman"/>
          <w:sz w:val="24"/>
          <w:szCs w:val="24"/>
          <w:lang w:val="ru-RU"/>
        </w:rPr>
        <w:t xml:space="preserve"> на БЧК – Варна предоставя </w:t>
      </w:r>
      <w:r w:rsidRPr="002D67B2">
        <w:rPr>
          <w:rFonts w:ascii="Times New Roman" w:hAnsi="Times New Roman" w:cs="Times New Roman"/>
          <w:b/>
          <w:sz w:val="24"/>
          <w:szCs w:val="24"/>
          <w:lang w:val="ru-RU"/>
        </w:rPr>
        <w:t xml:space="preserve">4 вида </w:t>
      </w:r>
      <w:proofErr w:type="spellStart"/>
      <w:r w:rsidRPr="002D67B2">
        <w:rPr>
          <w:rFonts w:ascii="Times New Roman" w:hAnsi="Times New Roman" w:cs="Times New Roman"/>
          <w:b/>
          <w:sz w:val="24"/>
          <w:szCs w:val="24"/>
          <w:lang w:val="ru-RU"/>
        </w:rPr>
        <w:t>лицензирани</w:t>
      </w:r>
      <w:proofErr w:type="spellEnd"/>
      <w:r w:rsidRPr="002D67B2">
        <w:rPr>
          <w:rFonts w:ascii="Times New Roman" w:hAnsi="Times New Roman" w:cs="Times New Roman"/>
          <w:b/>
          <w:sz w:val="24"/>
          <w:szCs w:val="24"/>
          <w:lang w:val="ru-RU"/>
        </w:rPr>
        <w:t xml:space="preserve"> услуги</w:t>
      </w:r>
      <w:r w:rsidRPr="006C13DF">
        <w:rPr>
          <w:rFonts w:ascii="Times New Roman" w:hAnsi="Times New Roman" w:cs="Times New Roman"/>
          <w:sz w:val="24"/>
          <w:szCs w:val="24"/>
          <w:lang w:val="ru-RU"/>
        </w:rPr>
        <w:t xml:space="preserve"> – </w:t>
      </w:r>
      <w:proofErr w:type="spellStart"/>
      <w:r w:rsidRPr="006C13DF">
        <w:rPr>
          <w:rFonts w:ascii="Times New Roman" w:hAnsi="Times New Roman" w:cs="Times New Roman"/>
          <w:sz w:val="24"/>
          <w:szCs w:val="24"/>
          <w:lang w:val="ru-RU"/>
        </w:rPr>
        <w:t>информиране</w:t>
      </w:r>
      <w:proofErr w:type="spellEnd"/>
      <w:r w:rsidRPr="006C13DF">
        <w:rPr>
          <w:rFonts w:ascii="Times New Roman" w:hAnsi="Times New Roman" w:cs="Times New Roman"/>
          <w:sz w:val="24"/>
          <w:szCs w:val="24"/>
          <w:lang w:val="ru-RU"/>
        </w:rPr>
        <w:t xml:space="preserve"> и </w:t>
      </w:r>
      <w:proofErr w:type="spellStart"/>
      <w:r w:rsidRPr="006C13DF">
        <w:rPr>
          <w:rFonts w:ascii="Times New Roman" w:hAnsi="Times New Roman" w:cs="Times New Roman"/>
          <w:sz w:val="24"/>
          <w:szCs w:val="24"/>
          <w:lang w:val="ru-RU"/>
        </w:rPr>
        <w:t>консултиране</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застъпничество</w:t>
      </w:r>
      <w:proofErr w:type="spellEnd"/>
      <w:r w:rsidRPr="006C13DF">
        <w:rPr>
          <w:rFonts w:ascii="Times New Roman" w:hAnsi="Times New Roman" w:cs="Times New Roman"/>
          <w:sz w:val="24"/>
          <w:szCs w:val="24"/>
          <w:lang w:val="ru-RU"/>
        </w:rPr>
        <w:t xml:space="preserve"> и посредничество, терапия и </w:t>
      </w:r>
      <w:proofErr w:type="spellStart"/>
      <w:r w:rsidRPr="006C13DF">
        <w:rPr>
          <w:rFonts w:ascii="Times New Roman" w:hAnsi="Times New Roman" w:cs="Times New Roman"/>
          <w:sz w:val="24"/>
          <w:szCs w:val="24"/>
          <w:lang w:val="ru-RU"/>
        </w:rPr>
        <w:t>рехабилитация</w:t>
      </w:r>
      <w:proofErr w:type="spellEnd"/>
      <w:r w:rsidRPr="006C13DF">
        <w:rPr>
          <w:rFonts w:ascii="Times New Roman" w:hAnsi="Times New Roman" w:cs="Times New Roman"/>
          <w:sz w:val="24"/>
          <w:szCs w:val="24"/>
          <w:lang w:val="ru-RU"/>
        </w:rPr>
        <w:t xml:space="preserve"> и </w:t>
      </w:r>
      <w:proofErr w:type="spellStart"/>
      <w:r w:rsidRPr="006C13DF">
        <w:rPr>
          <w:rFonts w:ascii="Times New Roman" w:hAnsi="Times New Roman" w:cs="Times New Roman"/>
          <w:sz w:val="24"/>
          <w:szCs w:val="24"/>
          <w:lang w:val="ru-RU"/>
        </w:rPr>
        <w:t>асистентска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подкрепа</w:t>
      </w:r>
      <w:proofErr w:type="spellEnd"/>
      <w:r w:rsidRPr="006C13DF">
        <w:rPr>
          <w:rFonts w:ascii="Times New Roman" w:hAnsi="Times New Roman" w:cs="Times New Roman"/>
          <w:sz w:val="24"/>
          <w:szCs w:val="24"/>
          <w:lang w:val="ru-RU"/>
        </w:rPr>
        <w:t xml:space="preserve">, при </w:t>
      </w:r>
      <w:proofErr w:type="spellStart"/>
      <w:r w:rsidRPr="006C13DF">
        <w:rPr>
          <w:rFonts w:ascii="Times New Roman" w:hAnsi="Times New Roman" w:cs="Times New Roman"/>
          <w:sz w:val="24"/>
          <w:szCs w:val="24"/>
          <w:lang w:val="ru-RU"/>
        </w:rPr>
        <w:t>спазване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стандартите</w:t>
      </w:r>
      <w:proofErr w:type="spellEnd"/>
      <w:r w:rsidRPr="006C13DF">
        <w:rPr>
          <w:rFonts w:ascii="Times New Roman" w:hAnsi="Times New Roman" w:cs="Times New Roman"/>
          <w:sz w:val="24"/>
          <w:szCs w:val="24"/>
          <w:lang w:val="ru-RU"/>
        </w:rPr>
        <w:t xml:space="preserve"> за качество </w:t>
      </w:r>
      <w:proofErr w:type="spellStart"/>
      <w:r w:rsidRPr="006C13DF">
        <w:rPr>
          <w:rFonts w:ascii="Times New Roman" w:hAnsi="Times New Roman" w:cs="Times New Roman"/>
          <w:sz w:val="24"/>
          <w:szCs w:val="24"/>
          <w:lang w:val="ru-RU"/>
        </w:rPr>
        <w:t>съгласно</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Наредбата</w:t>
      </w:r>
      <w:proofErr w:type="spellEnd"/>
      <w:r w:rsidRPr="006C13DF">
        <w:rPr>
          <w:rFonts w:ascii="Times New Roman" w:hAnsi="Times New Roman" w:cs="Times New Roman"/>
          <w:sz w:val="24"/>
          <w:szCs w:val="24"/>
          <w:lang w:val="ru-RU"/>
        </w:rPr>
        <w:t xml:space="preserve"> за </w:t>
      </w:r>
      <w:proofErr w:type="spellStart"/>
      <w:r w:rsidRPr="006C13DF">
        <w:rPr>
          <w:rFonts w:ascii="Times New Roman" w:hAnsi="Times New Roman" w:cs="Times New Roman"/>
          <w:sz w:val="24"/>
          <w:szCs w:val="24"/>
          <w:lang w:val="ru-RU"/>
        </w:rPr>
        <w:t>социалните</w:t>
      </w:r>
      <w:proofErr w:type="spellEnd"/>
      <w:r w:rsidRPr="006C13DF">
        <w:rPr>
          <w:rFonts w:ascii="Times New Roman" w:hAnsi="Times New Roman" w:cs="Times New Roman"/>
          <w:sz w:val="24"/>
          <w:szCs w:val="24"/>
          <w:lang w:val="ru-RU"/>
        </w:rPr>
        <w:t xml:space="preserve"> услуги. </w:t>
      </w:r>
      <w:proofErr w:type="spellStart"/>
      <w:r w:rsidRPr="006C13DF">
        <w:rPr>
          <w:rFonts w:ascii="Times New Roman" w:hAnsi="Times New Roman" w:cs="Times New Roman"/>
          <w:sz w:val="24"/>
          <w:szCs w:val="24"/>
          <w:lang w:val="ru-RU"/>
        </w:rPr>
        <w:t>Комплексът</w:t>
      </w:r>
      <w:proofErr w:type="spellEnd"/>
      <w:r w:rsidRPr="006C13DF">
        <w:rPr>
          <w:rFonts w:ascii="Times New Roman" w:hAnsi="Times New Roman" w:cs="Times New Roman"/>
          <w:sz w:val="24"/>
          <w:szCs w:val="24"/>
          <w:lang w:val="ru-RU"/>
        </w:rPr>
        <w:t xml:space="preserve"> е </w:t>
      </w:r>
      <w:r w:rsidRPr="002D67B2">
        <w:rPr>
          <w:rFonts w:ascii="Times New Roman" w:hAnsi="Times New Roman" w:cs="Times New Roman"/>
          <w:b/>
          <w:sz w:val="24"/>
          <w:szCs w:val="24"/>
          <w:lang w:val="ru-RU"/>
        </w:rPr>
        <w:t xml:space="preserve">с </w:t>
      </w:r>
      <w:proofErr w:type="spellStart"/>
      <w:r w:rsidRPr="002D67B2">
        <w:rPr>
          <w:rFonts w:ascii="Times New Roman" w:hAnsi="Times New Roman" w:cs="Times New Roman"/>
          <w:b/>
          <w:sz w:val="24"/>
          <w:szCs w:val="24"/>
          <w:lang w:val="ru-RU"/>
        </w:rPr>
        <w:t>капацитет</w:t>
      </w:r>
      <w:proofErr w:type="spellEnd"/>
      <w:r w:rsidRPr="002D67B2">
        <w:rPr>
          <w:rFonts w:ascii="Times New Roman" w:hAnsi="Times New Roman" w:cs="Times New Roman"/>
          <w:b/>
          <w:sz w:val="24"/>
          <w:szCs w:val="24"/>
          <w:lang w:val="ru-RU"/>
        </w:rPr>
        <w:t xml:space="preserve"> 80 </w:t>
      </w:r>
      <w:proofErr w:type="spellStart"/>
      <w:r w:rsidRPr="002D67B2">
        <w:rPr>
          <w:rFonts w:ascii="Times New Roman" w:hAnsi="Times New Roman" w:cs="Times New Roman"/>
          <w:b/>
          <w:sz w:val="24"/>
          <w:szCs w:val="24"/>
          <w:lang w:val="ru-RU"/>
        </w:rPr>
        <w:t>обслужвани</w:t>
      </w:r>
      <w:proofErr w:type="spellEnd"/>
      <w:r w:rsidRPr="002D67B2">
        <w:rPr>
          <w:rFonts w:ascii="Times New Roman" w:hAnsi="Times New Roman" w:cs="Times New Roman"/>
          <w:b/>
          <w:sz w:val="24"/>
          <w:szCs w:val="24"/>
          <w:lang w:val="ru-RU"/>
        </w:rPr>
        <w:t xml:space="preserve"> лица </w:t>
      </w:r>
      <w:proofErr w:type="spellStart"/>
      <w:r w:rsidRPr="002D67B2">
        <w:rPr>
          <w:rFonts w:ascii="Times New Roman" w:hAnsi="Times New Roman" w:cs="Times New Roman"/>
          <w:b/>
          <w:sz w:val="24"/>
          <w:szCs w:val="24"/>
          <w:lang w:val="ru-RU"/>
        </w:rPr>
        <w:t>месечно</w:t>
      </w:r>
      <w:proofErr w:type="spellEnd"/>
      <w:r w:rsidRPr="006C13DF">
        <w:rPr>
          <w:rFonts w:ascii="Times New Roman" w:hAnsi="Times New Roman" w:cs="Times New Roman"/>
          <w:sz w:val="24"/>
          <w:szCs w:val="24"/>
          <w:lang w:val="ru-RU"/>
        </w:rPr>
        <w:t xml:space="preserve">, </w:t>
      </w:r>
      <w:r w:rsidRPr="002D67B2">
        <w:rPr>
          <w:rFonts w:ascii="Times New Roman" w:hAnsi="Times New Roman" w:cs="Times New Roman"/>
          <w:b/>
          <w:sz w:val="24"/>
          <w:szCs w:val="24"/>
          <w:lang w:val="ru-RU"/>
        </w:rPr>
        <w:t xml:space="preserve">а </w:t>
      </w:r>
      <w:proofErr w:type="spellStart"/>
      <w:r w:rsidRPr="002D67B2">
        <w:rPr>
          <w:rFonts w:ascii="Times New Roman" w:hAnsi="Times New Roman" w:cs="Times New Roman"/>
          <w:b/>
          <w:sz w:val="24"/>
          <w:szCs w:val="24"/>
          <w:lang w:val="ru-RU"/>
        </w:rPr>
        <w:t>броят</w:t>
      </w:r>
      <w:proofErr w:type="spellEnd"/>
      <w:r w:rsidRPr="002D67B2">
        <w:rPr>
          <w:rFonts w:ascii="Times New Roman" w:hAnsi="Times New Roman" w:cs="Times New Roman"/>
          <w:b/>
          <w:sz w:val="24"/>
          <w:szCs w:val="24"/>
          <w:lang w:val="ru-RU"/>
        </w:rPr>
        <w:t xml:space="preserve"> на </w:t>
      </w:r>
      <w:proofErr w:type="spellStart"/>
      <w:r w:rsidRPr="002D67B2">
        <w:rPr>
          <w:rFonts w:ascii="Times New Roman" w:hAnsi="Times New Roman" w:cs="Times New Roman"/>
          <w:b/>
          <w:sz w:val="24"/>
          <w:szCs w:val="24"/>
          <w:lang w:val="ru-RU"/>
        </w:rPr>
        <w:t>всички</w:t>
      </w:r>
      <w:proofErr w:type="spellEnd"/>
      <w:r w:rsidRPr="002D67B2">
        <w:rPr>
          <w:rFonts w:ascii="Times New Roman" w:hAnsi="Times New Roman" w:cs="Times New Roman"/>
          <w:b/>
          <w:sz w:val="24"/>
          <w:szCs w:val="24"/>
          <w:lang w:val="ru-RU"/>
        </w:rPr>
        <w:t xml:space="preserve"> </w:t>
      </w:r>
      <w:proofErr w:type="spellStart"/>
      <w:r w:rsidRPr="002D67B2">
        <w:rPr>
          <w:rFonts w:ascii="Times New Roman" w:hAnsi="Times New Roman" w:cs="Times New Roman"/>
          <w:b/>
          <w:sz w:val="24"/>
          <w:szCs w:val="24"/>
          <w:lang w:val="ru-RU"/>
        </w:rPr>
        <w:t>обслужени</w:t>
      </w:r>
      <w:proofErr w:type="spellEnd"/>
      <w:r w:rsidRPr="002D67B2">
        <w:rPr>
          <w:rFonts w:ascii="Times New Roman" w:hAnsi="Times New Roman" w:cs="Times New Roman"/>
          <w:b/>
          <w:sz w:val="24"/>
          <w:szCs w:val="24"/>
          <w:lang w:val="ru-RU"/>
        </w:rPr>
        <w:t xml:space="preserve"> на </w:t>
      </w:r>
      <w:proofErr w:type="spellStart"/>
      <w:r w:rsidRPr="002D67B2">
        <w:rPr>
          <w:rFonts w:ascii="Times New Roman" w:hAnsi="Times New Roman" w:cs="Times New Roman"/>
          <w:b/>
          <w:sz w:val="24"/>
          <w:szCs w:val="24"/>
          <w:lang w:val="ru-RU"/>
        </w:rPr>
        <w:t>годишна</w:t>
      </w:r>
      <w:proofErr w:type="spellEnd"/>
      <w:r w:rsidRPr="002D67B2">
        <w:rPr>
          <w:rFonts w:ascii="Times New Roman" w:hAnsi="Times New Roman" w:cs="Times New Roman"/>
          <w:b/>
          <w:sz w:val="24"/>
          <w:szCs w:val="24"/>
          <w:lang w:val="ru-RU"/>
        </w:rPr>
        <w:t xml:space="preserve"> база </w:t>
      </w:r>
      <w:proofErr w:type="spellStart"/>
      <w:r w:rsidRPr="002D67B2">
        <w:rPr>
          <w:rFonts w:ascii="Times New Roman" w:hAnsi="Times New Roman" w:cs="Times New Roman"/>
          <w:b/>
          <w:sz w:val="24"/>
          <w:szCs w:val="24"/>
          <w:lang w:val="ru-RU"/>
        </w:rPr>
        <w:t>надвишава</w:t>
      </w:r>
      <w:proofErr w:type="spellEnd"/>
      <w:r w:rsidRPr="002D67B2">
        <w:rPr>
          <w:rFonts w:ascii="Times New Roman" w:hAnsi="Times New Roman" w:cs="Times New Roman"/>
          <w:b/>
          <w:sz w:val="24"/>
          <w:szCs w:val="24"/>
          <w:lang w:val="ru-RU"/>
        </w:rPr>
        <w:t xml:space="preserve"> 100 души</w:t>
      </w:r>
      <w:r w:rsidRPr="006C13DF">
        <w:rPr>
          <w:rFonts w:ascii="Times New Roman" w:hAnsi="Times New Roman" w:cs="Times New Roman"/>
          <w:sz w:val="24"/>
          <w:szCs w:val="24"/>
          <w:lang w:val="ru-RU"/>
        </w:rPr>
        <w:t>.</w:t>
      </w:r>
    </w:p>
    <w:p w14:paraId="39481D62" w14:textId="77777777" w:rsidR="005366F8" w:rsidRPr="006C13DF" w:rsidRDefault="005366F8" w:rsidP="005366F8">
      <w:pPr>
        <w:spacing w:after="0" w:line="240" w:lineRule="auto"/>
        <w:ind w:firstLine="708"/>
        <w:jc w:val="both"/>
        <w:rPr>
          <w:rFonts w:ascii="Times New Roman" w:hAnsi="Times New Roman" w:cs="Times New Roman"/>
          <w:sz w:val="24"/>
          <w:szCs w:val="24"/>
          <w:lang w:val="ru-RU"/>
        </w:rPr>
      </w:pPr>
      <w:proofErr w:type="spellStart"/>
      <w:r w:rsidRPr="006C13DF">
        <w:rPr>
          <w:rFonts w:ascii="Times New Roman" w:hAnsi="Times New Roman" w:cs="Times New Roman"/>
          <w:sz w:val="24"/>
          <w:szCs w:val="24"/>
          <w:lang w:val="ru-RU"/>
        </w:rPr>
        <w:t>През</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септември</w:t>
      </w:r>
      <w:proofErr w:type="spellEnd"/>
      <w:r w:rsidRPr="006C13DF">
        <w:rPr>
          <w:rFonts w:ascii="Times New Roman" w:hAnsi="Times New Roman" w:cs="Times New Roman"/>
          <w:sz w:val="24"/>
          <w:szCs w:val="24"/>
          <w:lang w:val="ru-RU"/>
        </w:rPr>
        <w:t xml:space="preserve"> 2024 г. е </w:t>
      </w:r>
      <w:proofErr w:type="spellStart"/>
      <w:r w:rsidRPr="006C13DF">
        <w:rPr>
          <w:rFonts w:ascii="Times New Roman" w:hAnsi="Times New Roman" w:cs="Times New Roman"/>
          <w:sz w:val="24"/>
          <w:szCs w:val="24"/>
          <w:lang w:val="ru-RU"/>
        </w:rPr>
        <w:t>сключен</w:t>
      </w:r>
      <w:proofErr w:type="spellEnd"/>
      <w:r w:rsidRPr="006C13DF">
        <w:rPr>
          <w:rFonts w:ascii="Times New Roman" w:hAnsi="Times New Roman" w:cs="Times New Roman"/>
          <w:sz w:val="24"/>
          <w:szCs w:val="24"/>
          <w:lang w:val="ru-RU"/>
        </w:rPr>
        <w:t xml:space="preserve"> нов договор между Община Варна и БЧК за </w:t>
      </w:r>
      <w:r w:rsidRPr="006C13DF">
        <w:rPr>
          <w:rFonts w:ascii="Times New Roman" w:hAnsi="Times New Roman" w:cs="Times New Roman"/>
          <w:sz w:val="24"/>
          <w:szCs w:val="24"/>
          <w:lang w:val="ru-RU"/>
        </w:rPr>
        <w:br/>
        <w:t xml:space="preserve">3-годишен период за </w:t>
      </w:r>
      <w:proofErr w:type="spellStart"/>
      <w:r w:rsidRPr="006C13DF">
        <w:rPr>
          <w:rFonts w:ascii="Times New Roman" w:hAnsi="Times New Roman" w:cs="Times New Roman"/>
          <w:sz w:val="24"/>
          <w:szCs w:val="24"/>
          <w:lang w:val="ru-RU"/>
        </w:rPr>
        <w:t>продължаване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дейността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като</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общинска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делегирана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дейност</w:t>
      </w:r>
      <w:proofErr w:type="spellEnd"/>
      <w:r w:rsidRPr="006C13DF">
        <w:rPr>
          <w:rFonts w:ascii="Times New Roman" w:hAnsi="Times New Roman" w:cs="Times New Roman"/>
          <w:sz w:val="24"/>
          <w:szCs w:val="24"/>
          <w:lang w:val="ru-RU"/>
        </w:rPr>
        <w:t xml:space="preserve">.  </w:t>
      </w:r>
    </w:p>
    <w:p w14:paraId="1E9C00C3" w14:textId="77777777" w:rsidR="00C5527F" w:rsidRPr="006C13DF" w:rsidRDefault="00C5527F" w:rsidP="00C5527F">
      <w:pPr>
        <w:spacing w:after="0" w:line="240" w:lineRule="auto"/>
        <w:jc w:val="center"/>
        <w:rPr>
          <w:rFonts w:ascii="Times New Roman" w:eastAsia="Calibri" w:hAnsi="Times New Roman" w:cs="Times New Roman"/>
          <w:b/>
          <w:caps/>
          <w:color w:val="C0504D"/>
          <w:sz w:val="24"/>
          <w:szCs w:val="24"/>
        </w:rPr>
      </w:pPr>
    </w:p>
    <w:p w14:paraId="61D5E93E" w14:textId="77777777" w:rsidR="00C5527F" w:rsidRPr="006C13DF" w:rsidRDefault="00C5527F" w:rsidP="00C5527F">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ТРАНСПОРТА И СЪОБЩЕНИЯТА</w:t>
      </w:r>
    </w:p>
    <w:p w14:paraId="6661D666" w14:textId="77777777" w:rsidR="00C5527F" w:rsidRPr="006C13DF" w:rsidRDefault="00C5527F" w:rsidP="00C5527F">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НАЦИОНАЛНА КОМПАНИЯ „ЖЕЛЕЗОПЪТНА ИНФРАСТРУКТУРА“ (НКЖИ)</w:t>
      </w:r>
    </w:p>
    <w:p w14:paraId="526AEFF4" w14:textId="77777777" w:rsidR="00C5527F" w:rsidRPr="006C13DF" w:rsidRDefault="00C5527F" w:rsidP="00C5527F">
      <w:pPr>
        <w:spacing w:after="0" w:line="240" w:lineRule="auto"/>
        <w:jc w:val="center"/>
        <w:rPr>
          <w:rFonts w:ascii="Times New Roman" w:eastAsia="Calibri" w:hAnsi="Times New Roman" w:cs="Times New Roman"/>
          <w:b/>
          <w:caps/>
          <w:color w:val="C0504D"/>
          <w:sz w:val="24"/>
          <w:szCs w:val="24"/>
        </w:rPr>
      </w:pPr>
    </w:p>
    <w:p w14:paraId="6B8448DE" w14:textId="77777777" w:rsidR="00C5527F" w:rsidRPr="006C13DF" w:rsidRDefault="00C5527F" w:rsidP="00C5527F">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3.1.13. Осигуряване право на безплатни пътувания за цялата железопътна мрежа, включително и за пенсионирани от системата на ДП НКЖИ</w:t>
      </w:r>
    </w:p>
    <w:p w14:paraId="4CEC55B3" w14:textId="77777777" w:rsidR="00C5527F" w:rsidRPr="006C13DF" w:rsidRDefault="00C5527F" w:rsidP="00C5527F">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bg-BG"/>
        </w:rPr>
      </w:pPr>
    </w:p>
    <w:p w14:paraId="21A080FB" w14:textId="77777777" w:rsidR="00C5527F" w:rsidRPr="006C13DF" w:rsidRDefault="00C5527F" w:rsidP="00C5527F">
      <w:pPr>
        <w:spacing w:after="0" w:line="240" w:lineRule="auto"/>
        <w:ind w:firstLine="709"/>
        <w:jc w:val="both"/>
        <w:rPr>
          <w:rFonts w:ascii="Times New Roman" w:eastAsia="Calibri" w:hAnsi="Times New Roman" w:cs="Times New Roman"/>
          <w:kern w:val="2"/>
          <w:sz w:val="24"/>
          <w:szCs w:val="24"/>
          <w14:ligatures w14:val="standardContextual"/>
        </w:rPr>
      </w:pPr>
      <w:r w:rsidRPr="006C13DF">
        <w:rPr>
          <w:rFonts w:ascii="Times New Roman" w:eastAsia="Calibri" w:hAnsi="Times New Roman" w:cs="Times New Roman"/>
          <w:kern w:val="2"/>
          <w:sz w:val="24"/>
          <w:szCs w:val="24"/>
          <w14:ligatures w14:val="standardContextual"/>
        </w:rPr>
        <w:t xml:space="preserve">Във връзка с изпълнението на социалния ангажимент към работниците и служителите, НКЖИ се задължава да осигурява на работещите </w:t>
      </w:r>
      <w:r w:rsidRPr="002D67B2">
        <w:rPr>
          <w:rFonts w:ascii="Times New Roman" w:eastAsia="Calibri" w:hAnsi="Times New Roman" w:cs="Times New Roman"/>
          <w:b/>
          <w:kern w:val="2"/>
          <w:sz w:val="24"/>
          <w:szCs w:val="24"/>
          <w14:ligatures w14:val="standardContextual"/>
        </w:rPr>
        <w:t>право на неограничен брой безплатни пътувания</w:t>
      </w:r>
      <w:r w:rsidRPr="006C13DF">
        <w:rPr>
          <w:rFonts w:ascii="Times New Roman" w:eastAsia="Calibri" w:hAnsi="Times New Roman" w:cs="Times New Roman"/>
          <w:kern w:val="2"/>
          <w:sz w:val="24"/>
          <w:szCs w:val="24"/>
          <w14:ligatures w14:val="standardContextual"/>
        </w:rPr>
        <w:t xml:space="preserve"> по цялата железопътна мрежа в страната. </w:t>
      </w:r>
    </w:p>
    <w:p w14:paraId="2580E591" w14:textId="77777777" w:rsidR="00C5527F" w:rsidRPr="006C13DF" w:rsidRDefault="00C5527F" w:rsidP="00C5527F">
      <w:pPr>
        <w:spacing w:after="0" w:line="240" w:lineRule="auto"/>
        <w:ind w:firstLine="709"/>
        <w:jc w:val="both"/>
        <w:rPr>
          <w:rFonts w:ascii="Times New Roman" w:eastAsia="Calibri" w:hAnsi="Times New Roman" w:cs="Times New Roman"/>
          <w:kern w:val="2"/>
          <w:sz w:val="24"/>
          <w:szCs w:val="24"/>
          <w14:ligatures w14:val="standardContextual"/>
        </w:rPr>
      </w:pPr>
      <w:r w:rsidRPr="006C13DF">
        <w:rPr>
          <w:rFonts w:ascii="Times New Roman" w:eastAsia="Calibri" w:hAnsi="Times New Roman" w:cs="Times New Roman"/>
          <w:kern w:val="2"/>
          <w:sz w:val="24"/>
          <w:szCs w:val="24"/>
          <w14:ligatures w14:val="standardContextual"/>
        </w:rPr>
        <w:t>На база дългогодишен натрупан стаж в сферата на железопътния транспорт, пенсионираните служители придобиват възможност да се възползват от пенсионерска карта, която се издава съгласно</w:t>
      </w:r>
      <w:r w:rsidRPr="006C13DF">
        <w:rPr>
          <w:rFonts w:ascii="Times New Roman" w:eastAsia="Calibri" w:hAnsi="Times New Roman" w:cs="Times New Roman"/>
          <w:i/>
          <w:iCs/>
          <w:kern w:val="2"/>
          <w:sz w:val="24"/>
          <w:szCs w:val="24"/>
          <w14:ligatures w14:val="standardContextual"/>
        </w:rPr>
        <w:t xml:space="preserve"> </w:t>
      </w:r>
      <w:r w:rsidRPr="006C13DF">
        <w:rPr>
          <w:rFonts w:ascii="Times New Roman" w:eastAsia="Calibri" w:hAnsi="Times New Roman" w:cs="Times New Roman"/>
          <w:iCs/>
          <w:kern w:val="2"/>
          <w:sz w:val="24"/>
          <w:szCs w:val="24"/>
          <w14:ligatures w14:val="standardContextual"/>
        </w:rPr>
        <w:t>„Правилата за служебни и специални пътувания по железопътния транспорт на Република България“</w:t>
      </w:r>
      <w:r w:rsidRPr="006C13DF">
        <w:rPr>
          <w:rFonts w:ascii="Times New Roman" w:eastAsia="Calibri" w:hAnsi="Times New Roman" w:cs="Times New Roman"/>
          <w:kern w:val="2"/>
          <w:sz w:val="24"/>
          <w:szCs w:val="24"/>
          <w14:ligatures w14:val="standardContextual"/>
        </w:rPr>
        <w:t xml:space="preserve"> от „БДЖ – Пътнически превози“</w:t>
      </w:r>
      <w:r w:rsidRPr="006C13DF">
        <w:rPr>
          <w:rFonts w:ascii="Times New Roman" w:eastAsia="Calibri" w:hAnsi="Times New Roman" w:cs="Times New Roman"/>
          <w:i/>
          <w:iCs/>
          <w:kern w:val="2"/>
          <w:sz w:val="24"/>
          <w:szCs w:val="24"/>
          <w:lang w:val="en-US"/>
          <w14:ligatures w14:val="standardContextual"/>
        </w:rPr>
        <w:t xml:space="preserve"> </w:t>
      </w:r>
      <w:r w:rsidRPr="006C13DF">
        <w:rPr>
          <w:rFonts w:ascii="Times New Roman" w:eastAsia="Calibri" w:hAnsi="Times New Roman" w:cs="Times New Roman"/>
          <w:kern w:val="2"/>
          <w:sz w:val="24"/>
          <w:szCs w:val="24"/>
          <w14:ligatures w14:val="standardContextual"/>
        </w:rPr>
        <w:t>ЕООД.</w:t>
      </w:r>
    </w:p>
    <w:p w14:paraId="5CF3B0FC" w14:textId="77777777" w:rsidR="006040DF" w:rsidRPr="006C13DF" w:rsidRDefault="006040DF" w:rsidP="00E91E47">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p>
    <w:p w14:paraId="0BD98E10" w14:textId="77777777" w:rsidR="00C5527F" w:rsidRPr="006C13DF" w:rsidRDefault="006040DF" w:rsidP="006040DF">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ЗЕМЕДЕЛИЕТО И ХРАНИТЕ</w:t>
      </w:r>
    </w:p>
    <w:p w14:paraId="342BBF79" w14:textId="77777777" w:rsidR="006040DF" w:rsidRPr="006C13DF" w:rsidRDefault="00C5527F" w:rsidP="006040DF">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aps/>
          <w:color w:val="C0504D"/>
          <w:sz w:val="24"/>
          <w:szCs w:val="24"/>
        </w:rPr>
        <w:t xml:space="preserve">българска агенция по безопасност на храните </w:t>
      </w:r>
      <w:r w:rsidR="006040DF" w:rsidRPr="006C13DF">
        <w:rPr>
          <w:rFonts w:ascii="Times New Roman" w:eastAsia="Calibri" w:hAnsi="Times New Roman" w:cs="Times New Roman"/>
          <w:b/>
          <w:caps/>
          <w:color w:val="C0504D"/>
          <w:sz w:val="24"/>
          <w:szCs w:val="24"/>
        </w:rPr>
        <w:t xml:space="preserve"> </w:t>
      </w:r>
    </w:p>
    <w:p w14:paraId="0D5D5FA0" w14:textId="77777777" w:rsidR="006040DF" w:rsidRPr="006C13DF" w:rsidRDefault="006040DF"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p>
    <w:p w14:paraId="522A285C" w14:textId="77777777" w:rsidR="00447907" w:rsidRPr="006C13DF" w:rsidRDefault="00447907"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3.1.14. Информиране на гражданите за здравословно хранене на възрастните хора</w:t>
      </w:r>
    </w:p>
    <w:p w14:paraId="365B23D8" w14:textId="77777777" w:rsidR="00447907" w:rsidRPr="006C13DF" w:rsidRDefault="00447907" w:rsidP="00E91E47">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p>
    <w:p w14:paraId="617AE7D0" w14:textId="77777777" w:rsidR="006040DF" w:rsidRPr="006C13DF" w:rsidRDefault="006040DF" w:rsidP="006040DF">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През периода 2023 – 2024 г. Българската агенция по безопасност на храните (БАБХ) е предприела действия за </w:t>
      </w:r>
      <w:r w:rsidRPr="002D67B2">
        <w:rPr>
          <w:rFonts w:ascii="Times New Roman" w:eastAsia="Times New Roman" w:hAnsi="Times New Roman" w:cs="Times New Roman"/>
          <w:b/>
          <w:sz w:val="24"/>
          <w:szCs w:val="24"/>
          <w:lang w:eastAsia="bg-BG"/>
        </w:rPr>
        <w:t>информиране на гражданите относно организирането на безплатни обществени трапезарии</w:t>
      </w:r>
      <w:r w:rsidRPr="006C13DF">
        <w:rPr>
          <w:rFonts w:ascii="Times New Roman" w:eastAsia="Times New Roman" w:hAnsi="Times New Roman" w:cs="Times New Roman"/>
          <w:sz w:val="24"/>
          <w:szCs w:val="24"/>
          <w:lang w:eastAsia="bg-BG"/>
        </w:rPr>
        <w:t xml:space="preserve"> (предимно през есенно-зимния период). Едновременно с това Агенцията е осъществявала стриктен контрол, който да гарантира безопасна и качествена храна, достигаща до нуждаещите се лица. </w:t>
      </w:r>
    </w:p>
    <w:p w14:paraId="431C084E" w14:textId="77777777" w:rsidR="006040DF" w:rsidRPr="006C13DF" w:rsidRDefault="006040DF"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На интернет-страницата на БАБХ са публикувани 15 материали, насочени към </w:t>
      </w:r>
      <w:r w:rsidRPr="002D67B2">
        <w:rPr>
          <w:rFonts w:ascii="Times New Roman" w:eastAsia="Times New Roman" w:hAnsi="Times New Roman" w:cs="Times New Roman"/>
          <w:b/>
          <w:sz w:val="24"/>
          <w:szCs w:val="24"/>
          <w:lang w:eastAsia="bg-BG"/>
        </w:rPr>
        <w:t>повишаване на информираността относно възможностите за безплатен достъп до храна</w:t>
      </w:r>
      <w:r w:rsidRPr="006C13DF">
        <w:rPr>
          <w:rFonts w:ascii="Times New Roman" w:eastAsia="Times New Roman" w:hAnsi="Times New Roman" w:cs="Times New Roman"/>
          <w:sz w:val="24"/>
          <w:szCs w:val="24"/>
          <w:lang w:eastAsia="bg-BG"/>
        </w:rPr>
        <w:t xml:space="preserve"> на всички граждани, в т. ч. и на възрастните хора. Осъществени са около 40 </w:t>
      </w:r>
      <w:r w:rsidRPr="006C13DF">
        <w:rPr>
          <w:rFonts w:ascii="Times New Roman" w:eastAsia="Times New Roman" w:hAnsi="Times New Roman" w:cs="Times New Roman"/>
          <w:sz w:val="24"/>
          <w:szCs w:val="24"/>
          <w:lang w:eastAsia="bg-BG"/>
        </w:rPr>
        <w:lastRenderedPageBreak/>
        <w:t>медийни изяви, които показват нагледно как се извършва официалният контрол за безопасност и качество на храните и за какво трябва да внимават потребителите при избора на храна. На средствата за масова информация са предоставени около 25 писмени материал</w:t>
      </w:r>
      <w:r w:rsidR="005D418B" w:rsidRPr="006C13DF">
        <w:rPr>
          <w:rFonts w:ascii="Times New Roman" w:eastAsia="Times New Roman" w:hAnsi="Times New Roman" w:cs="Times New Roman"/>
          <w:sz w:val="24"/>
          <w:szCs w:val="24"/>
          <w:lang w:eastAsia="bg-BG"/>
        </w:rPr>
        <w:t>и</w:t>
      </w:r>
      <w:r w:rsidRPr="006C13DF">
        <w:rPr>
          <w:rFonts w:ascii="Times New Roman" w:eastAsia="Times New Roman" w:hAnsi="Times New Roman" w:cs="Times New Roman"/>
          <w:sz w:val="24"/>
          <w:szCs w:val="24"/>
          <w:lang w:eastAsia="bg-BG"/>
        </w:rPr>
        <w:t xml:space="preserve"> по теми, свързани с безопасността на храните. </w:t>
      </w:r>
    </w:p>
    <w:p w14:paraId="257767D6" w14:textId="77777777" w:rsidR="006040DF" w:rsidRPr="006C13DF" w:rsidRDefault="006040DF" w:rsidP="006040DF">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С оглед ограничаването на евентуални измами с храни, засягащи най-чувствително  възрастните хора, в рамките на около 30 интервюта в средствата за комуникация и информация, </w:t>
      </w:r>
      <w:r w:rsidRPr="002D67B2">
        <w:rPr>
          <w:rFonts w:ascii="Times New Roman" w:eastAsia="Times New Roman" w:hAnsi="Times New Roman" w:cs="Times New Roman"/>
          <w:b/>
          <w:sz w:val="24"/>
          <w:szCs w:val="24"/>
          <w:lang w:eastAsia="bg-BG"/>
        </w:rPr>
        <w:t xml:space="preserve">на обществеността са предоставени данни за планирания и извънплановия контрол </w:t>
      </w:r>
      <w:r w:rsidRPr="006C13DF">
        <w:rPr>
          <w:rFonts w:ascii="Times New Roman" w:eastAsia="Times New Roman" w:hAnsi="Times New Roman" w:cs="Times New Roman"/>
          <w:sz w:val="24"/>
          <w:szCs w:val="24"/>
          <w:lang w:eastAsia="bg-BG"/>
        </w:rPr>
        <w:t xml:space="preserve">в обектите за производство, преработка и дистрибуция на храни, извършван по време на официалните празници в страната. </w:t>
      </w:r>
    </w:p>
    <w:p w14:paraId="70D74BDD" w14:textId="77777777" w:rsidR="006040DF" w:rsidRPr="006C13DF" w:rsidRDefault="006040DF"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p>
    <w:p w14:paraId="0E86564C" w14:textId="77777777" w:rsidR="00C5527F" w:rsidRPr="006C13DF" w:rsidRDefault="006040DF" w:rsidP="006040DF">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ЗЕМЕДЕЛИЕТО И ХРАНИТЕ</w:t>
      </w:r>
    </w:p>
    <w:p w14:paraId="52A96292" w14:textId="77777777" w:rsidR="00C5527F" w:rsidRPr="006C13DF" w:rsidRDefault="00C5527F" w:rsidP="00C5527F">
      <w:pPr>
        <w:spacing w:after="0" w:line="240" w:lineRule="auto"/>
        <w:jc w:val="center"/>
        <w:rPr>
          <w:rFonts w:ascii="Times New Roman" w:hAnsi="Times New Roman" w:cs="Times New Roman"/>
          <w:b/>
          <w:bCs/>
          <w:i/>
          <w:sz w:val="24"/>
        </w:rPr>
      </w:pPr>
      <w:r w:rsidRPr="006C13DF">
        <w:rPr>
          <w:rFonts w:ascii="Times New Roman" w:eastAsia="Calibri" w:hAnsi="Times New Roman" w:cs="Times New Roman"/>
          <w:b/>
          <w:caps/>
          <w:color w:val="C0504D"/>
          <w:sz w:val="24"/>
          <w:szCs w:val="24"/>
        </w:rPr>
        <w:t xml:space="preserve">българска агенция по безопасност на храните  </w:t>
      </w:r>
    </w:p>
    <w:p w14:paraId="47376763" w14:textId="77777777" w:rsidR="006040DF" w:rsidRPr="006C13DF" w:rsidRDefault="006040DF" w:rsidP="00C5527F">
      <w:pPr>
        <w:spacing w:after="0" w:line="240" w:lineRule="auto"/>
        <w:jc w:val="center"/>
        <w:rPr>
          <w:rFonts w:ascii="Times New Roman" w:hAnsi="Times New Roman" w:cs="Times New Roman"/>
          <w:b/>
          <w:bCs/>
          <w:sz w:val="24"/>
        </w:rPr>
      </w:pPr>
      <w:r w:rsidRPr="006C13DF">
        <w:rPr>
          <w:rFonts w:ascii="Times New Roman" w:eastAsia="Calibri" w:hAnsi="Times New Roman" w:cs="Times New Roman"/>
          <w:b/>
          <w:caps/>
          <w:color w:val="C0504D"/>
          <w:sz w:val="24"/>
          <w:szCs w:val="24"/>
        </w:rPr>
        <w:t xml:space="preserve"> </w:t>
      </w:r>
    </w:p>
    <w:p w14:paraId="33860D78" w14:textId="77777777" w:rsidR="00447907" w:rsidRPr="006C13DF" w:rsidRDefault="00447907"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3.1.15. Информиране на обществеността, отправяне на препоръки чрез електронната страница на БАБХ за повишаване на познанията за качеството и безопасността на храните и начина на хранене на възрастните хора</w:t>
      </w:r>
    </w:p>
    <w:p w14:paraId="38BF7987" w14:textId="77777777" w:rsidR="006040DF" w:rsidRPr="006C13DF" w:rsidRDefault="006040DF"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bg-BG"/>
        </w:rPr>
      </w:pPr>
    </w:p>
    <w:p w14:paraId="24A60E14" w14:textId="77777777" w:rsidR="006040DF" w:rsidRPr="006C13DF" w:rsidRDefault="006040DF"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Българската агенция по безопасност на храните регулярно публикува на електронната си страница </w:t>
      </w:r>
      <w:r w:rsidRPr="002D67B2">
        <w:rPr>
          <w:rFonts w:ascii="Times New Roman" w:eastAsia="Times New Roman" w:hAnsi="Times New Roman" w:cs="Times New Roman"/>
          <w:b/>
          <w:sz w:val="24"/>
          <w:szCs w:val="24"/>
          <w:lang w:eastAsia="bg-BG"/>
        </w:rPr>
        <w:t xml:space="preserve">съвети и препоръки </w:t>
      </w:r>
      <w:r w:rsidRPr="002D67B2">
        <w:rPr>
          <w:rFonts w:ascii="Times New Roman" w:eastAsia="Times New Roman" w:hAnsi="Times New Roman" w:cs="Times New Roman"/>
          <w:sz w:val="24"/>
          <w:szCs w:val="24"/>
          <w:lang w:eastAsia="bg-BG"/>
        </w:rPr>
        <w:t>към потребителите, включително насочени към възрастните хора,</w:t>
      </w:r>
      <w:r w:rsidRPr="002D67B2">
        <w:rPr>
          <w:rFonts w:ascii="Times New Roman" w:eastAsia="Times New Roman" w:hAnsi="Times New Roman" w:cs="Times New Roman"/>
          <w:b/>
          <w:sz w:val="24"/>
          <w:szCs w:val="24"/>
          <w:lang w:eastAsia="bg-BG"/>
        </w:rPr>
        <w:t xml:space="preserve"> касаещи начина на хранене и избягването на свързани с храната и храненето неблагоприятни фактори, които влияят отрицателно на човешкото здраве</w:t>
      </w:r>
      <w:r w:rsidRPr="006C13DF">
        <w:rPr>
          <w:rFonts w:ascii="Times New Roman" w:eastAsia="Times New Roman" w:hAnsi="Times New Roman" w:cs="Times New Roman"/>
          <w:sz w:val="24"/>
          <w:szCs w:val="24"/>
          <w:lang w:eastAsia="bg-BG"/>
        </w:rPr>
        <w:t>.</w:t>
      </w:r>
    </w:p>
    <w:p w14:paraId="1176ED89" w14:textId="77777777" w:rsidR="006040DF" w:rsidRPr="006C13DF" w:rsidRDefault="006040DF"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През периода 2023 – 2024 г. на електронната страница на БАБХ по темата са </w:t>
      </w:r>
      <w:r w:rsidR="005D418B" w:rsidRPr="006C13DF">
        <w:rPr>
          <w:rFonts w:ascii="Times New Roman" w:eastAsia="Times New Roman" w:hAnsi="Times New Roman" w:cs="Times New Roman"/>
          <w:sz w:val="24"/>
          <w:szCs w:val="24"/>
          <w:lang w:eastAsia="bg-BG"/>
        </w:rPr>
        <w:t>публикувани 20 печатни материали</w:t>
      </w:r>
      <w:r w:rsidRPr="006C13DF">
        <w:rPr>
          <w:rFonts w:ascii="Times New Roman" w:eastAsia="Times New Roman" w:hAnsi="Times New Roman" w:cs="Times New Roman"/>
          <w:sz w:val="24"/>
          <w:szCs w:val="24"/>
          <w:lang w:eastAsia="bg-BG"/>
        </w:rPr>
        <w:t xml:space="preserve">, а на средствата за масова комуникация са предоставени 16 статии и информации с препоръки за гражданите. </w:t>
      </w:r>
    </w:p>
    <w:p w14:paraId="1A835333" w14:textId="77777777" w:rsidR="006040DF" w:rsidRPr="006C13DF" w:rsidRDefault="006040DF"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Представители на БАБХ са взели участие в над </w:t>
      </w:r>
      <w:r w:rsidRPr="002D67B2">
        <w:rPr>
          <w:rFonts w:ascii="Times New Roman" w:eastAsia="Times New Roman" w:hAnsi="Times New Roman" w:cs="Times New Roman"/>
          <w:b/>
          <w:sz w:val="24"/>
          <w:szCs w:val="24"/>
          <w:lang w:eastAsia="bg-BG"/>
        </w:rPr>
        <w:t>40 различни форуми и събития</w:t>
      </w:r>
      <w:r w:rsidRPr="006C13DF">
        <w:rPr>
          <w:rFonts w:ascii="Times New Roman" w:eastAsia="Times New Roman" w:hAnsi="Times New Roman" w:cs="Times New Roman"/>
          <w:sz w:val="24"/>
          <w:szCs w:val="24"/>
          <w:lang w:eastAsia="bg-BG"/>
        </w:rPr>
        <w:t>, организирани от други институции, асоциации и неправителствени организации, предоставяйки информация по въпроси, свързани с безопасността на храните и ползите от здравословното хранене.</w:t>
      </w:r>
    </w:p>
    <w:p w14:paraId="3B1B885F" w14:textId="77777777" w:rsidR="006040DF" w:rsidRPr="006C13DF" w:rsidRDefault="006040DF" w:rsidP="006040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Във връзка с осъществяване на контролната си дейност инспектори от Областните дирекции по безопасност на храните извършват </w:t>
      </w:r>
      <w:r w:rsidRPr="002D67B2">
        <w:rPr>
          <w:rFonts w:ascii="Times New Roman" w:eastAsia="Times New Roman" w:hAnsi="Times New Roman" w:cs="Times New Roman"/>
          <w:b/>
          <w:sz w:val="24"/>
          <w:szCs w:val="24"/>
          <w:lang w:eastAsia="bg-BG"/>
        </w:rPr>
        <w:t>постоянни проверки</w:t>
      </w:r>
      <w:r w:rsidRPr="006C13DF">
        <w:rPr>
          <w:rFonts w:ascii="Times New Roman" w:eastAsia="Times New Roman" w:hAnsi="Times New Roman" w:cs="Times New Roman"/>
          <w:sz w:val="24"/>
          <w:szCs w:val="24"/>
          <w:lang w:eastAsia="bg-BG"/>
        </w:rPr>
        <w:t xml:space="preserve"> и в специализирани заведения за възрастни хора, както и в </w:t>
      </w:r>
      <w:proofErr w:type="spellStart"/>
      <w:r w:rsidRPr="006C13DF">
        <w:rPr>
          <w:rFonts w:ascii="Times New Roman" w:eastAsia="Times New Roman" w:hAnsi="Times New Roman" w:cs="Times New Roman"/>
          <w:sz w:val="24"/>
          <w:szCs w:val="24"/>
          <w:lang w:eastAsia="bg-BG"/>
        </w:rPr>
        <w:t>кетърингови</w:t>
      </w:r>
      <w:proofErr w:type="spellEnd"/>
      <w:r w:rsidRPr="006C13DF">
        <w:rPr>
          <w:rFonts w:ascii="Times New Roman" w:eastAsia="Times New Roman" w:hAnsi="Times New Roman" w:cs="Times New Roman"/>
          <w:sz w:val="24"/>
          <w:szCs w:val="24"/>
          <w:lang w:eastAsia="bg-BG"/>
        </w:rPr>
        <w:t xml:space="preserve"> фирми, доставящи храни в старчески и други домове за настаняване на възрастни хора.   </w:t>
      </w:r>
    </w:p>
    <w:p w14:paraId="2A4B6ADF" w14:textId="77777777" w:rsidR="00C5527F" w:rsidRPr="006C13DF" w:rsidRDefault="00C5527F" w:rsidP="00E91E47">
      <w:pPr>
        <w:spacing w:after="0" w:line="240" w:lineRule="auto"/>
        <w:jc w:val="both"/>
        <w:rPr>
          <w:rFonts w:ascii="Times New Roman" w:eastAsia="Times New Roman" w:hAnsi="Times New Roman" w:cs="Times New Roman"/>
          <w:sz w:val="24"/>
          <w:szCs w:val="24"/>
          <w:lang w:eastAsia="bg-BG"/>
        </w:rPr>
      </w:pPr>
    </w:p>
    <w:p w14:paraId="2A4FB5FE" w14:textId="77777777" w:rsidR="00C5527F" w:rsidRPr="006C13DF" w:rsidRDefault="00C5527F" w:rsidP="00C5527F">
      <w:pPr>
        <w:spacing w:after="0" w:line="240" w:lineRule="auto"/>
        <w:jc w:val="center"/>
        <w:rPr>
          <w:rFonts w:ascii="Times New Roman" w:eastAsia="Calibri" w:hAnsi="Times New Roman" w:cs="Times New Roman"/>
          <w:b/>
          <w:caps/>
          <w:color w:val="C0504D"/>
          <w:sz w:val="24"/>
          <w:szCs w:val="24"/>
        </w:rPr>
      </w:pPr>
      <w:bookmarkStart w:id="6" w:name="_Hlk199626470"/>
      <w:r w:rsidRPr="006C13DF">
        <w:rPr>
          <w:rFonts w:ascii="Times New Roman" w:eastAsia="Calibri" w:hAnsi="Times New Roman" w:cs="Times New Roman"/>
          <w:b/>
          <w:caps/>
          <w:color w:val="C0504D"/>
          <w:sz w:val="24"/>
          <w:szCs w:val="24"/>
        </w:rPr>
        <w:t>МИНИСТЕРСТВО НА ТРАНСПОРТА И СЪОБЩЕНИЯТА</w:t>
      </w:r>
    </w:p>
    <w:p w14:paraId="4F05A7F7" w14:textId="77777777" w:rsidR="00C5527F" w:rsidRPr="006C13DF" w:rsidRDefault="00C5527F" w:rsidP="00C5527F">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НАЦИОНАЛНА КОМПАНИЯ „ЖЕЛЕЗОПЪТНА ИНФРАСТРУКТУРА“ (НКЖИ)</w:t>
      </w:r>
    </w:p>
    <w:p w14:paraId="27098EA4" w14:textId="77777777" w:rsidR="00C5527F" w:rsidRPr="006C13DF" w:rsidRDefault="00C5527F" w:rsidP="00C5527F">
      <w:pPr>
        <w:spacing w:after="0" w:line="240" w:lineRule="auto"/>
        <w:jc w:val="center"/>
        <w:rPr>
          <w:rFonts w:ascii="Times New Roman" w:eastAsia="Calibri" w:hAnsi="Times New Roman" w:cs="Times New Roman"/>
          <w:b/>
          <w:caps/>
          <w:color w:val="C0504D"/>
          <w:sz w:val="24"/>
          <w:szCs w:val="24"/>
        </w:rPr>
      </w:pPr>
    </w:p>
    <w:bookmarkEnd w:id="6"/>
    <w:p w14:paraId="34B1F03D" w14:textId="77777777" w:rsidR="00C5527F" w:rsidRPr="006C13DF" w:rsidRDefault="00C5527F" w:rsidP="00C5527F">
      <w:pPr>
        <w:spacing w:after="0" w:line="240" w:lineRule="auto"/>
        <w:jc w:val="both"/>
        <w:rPr>
          <w:rFonts w:ascii="Times New Roman" w:eastAsia="Calibri" w:hAnsi="Times New Roman" w:cs="Times New Roman"/>
          <w:b/>
          <w:sz w:val="24"/>
          <w:szCs w:val="24"/>
        </w:rPr>
      </w:pPr>
      <w:r w:rsidRPr="006C13DF">
        <w:rPr>
          <w:rFonts w:ascii="Times New Roman" w:eastAsia="Times New Roman" w:hAnsi="Times New Roman" w:cs="Times New Roman"/>
          <w:b/>
          <w:sz w:val="24"/>
          <w:szCs w:val="24"/>
          <w:lang w:eastAsia="bg-BG"/>
        </w:rPr>
        <w:t>3.1.16. Отпускане на социални парични помощи на работници и служители със здравословни проблеми и/или тежки хронични  заболявания, които ползват скъпи лекарства и терапия при лечението си.</w:t>
      </w:r>
    </w:p>
    <w:p w14:paraId="295A12A7" w14:textId="77777777" w:rsidR="00C5527F" w:rsidRPr="006C13DF" w:rsidRDefault="00C5527F" w:rsidP="00C5527F">
      <w:pPr>
        <w:spacing w:after="0" w:line="240" w:lineRule="auto"/>
        <w:ind w:firstLine="709"/>
        <w:jc w:val="both"/>
        <w:rPr>
          <w:rFonts w:ascii="Times New Roman" w:eastAsia="Calibri" w:hAnsi="Times New Roman" w:cs="Times New Roman"/>
          <w:kern w:val="2"/>
          <w:sz w:val="24"/>
          <w:szCs w:val="24"/>
          <w14:ligatures w14:val="standardContextual"/>
        </w:rPr>
      </w:pPr>
    </w:p>
    <w:p w14:paraId="7F8A56DF" w14:textId="77777777" w:rsidR="00C5527F" w:rsidRPr="00B74D6E" w:rsidRDefault="00C5527F" w:rsidP="00C5527F">
      <w:pPr>
        <w:spacing w:after="0" w:line="240" w:lineRule="auto"/>
        <w:ind w:firstLine="709"/>
        <w:jc w:val="both"/>
        <w:rPr>
          <w:rFonts w:ascii="Times New Roman" w:eastAsia="Calibri" w:hAnsi="Times New Roman" w:cs="Times New Roman"/>
          <w:kern w:val="2"/>
          <w:sz w:val="24"/>
          <w:szCs w:val="24"/>
          <w14:ligatures w14:val="standardContextual"/>
        </w:rPr>
      </w:pPr>
      <w:r w:rsidRPr="00B74D6E">
        <w:rPr>
          <w:rFonts w:ascii="Times New Roman" w:eastAsia="Calibri" w:hAnsi="Times New Roman" w:cs="Times New Roman"/>
          <w:kern w:val="2"/>
          <w:sz w:val="24"/>
          <w:szCs w:val="24"/>
          <w14:ligatures w14:val="standardContextual"/>
        </w:rPr>
        <w:t xml:space="preserve">В компанията има разработени </w:t>
      </w:r>
      <w:r w:rsidRPr="00B74D6E">
        <w:rPr>
          <w:rFonts w:ascii="Times New Roman" w:eastAsia="Calibri" w:hAnsi="Times New Roman" w:cs="Times New Roman"/>
          <w:iCs/>
          <w:kern w:val="2"/>
          <w:sz w:val="24"/>
          <w:szCs w:val="24"/>
          <w14:ligatures w14:val="standardContextual"/>
        </w:rPr>
        <w:t>„Правила за отпускане на парични помощи</w:t>
      </w:r>
      <w:r w:rsidRPr="00B74D6E">
        <w:rPr>
          <w:rFonts w:ascii="Times New Roman" w:eastAsia="Calibri" w:hAnsi="Times New Roman" w:cs="Times New Roman"/>
          <w:kern w:val="2"/>
          <w:sz w:val="24"/>
          <w:szCs w:val="24"/>
          <w14:ligatures w14:val="standardContextual"/>
        </w:rPr>
        <w:t xml:space="preserve"> </w:t>
      </w:r>
      <w:r w:rsidRPr="00B74D6E">
        <w:rPr>
          <w:rFonts w:ascii="Times New Roman" w:eastAsia="Calibri" w:hAnsi="Times New Roman" w:cs="Times New Roman"/>
          <w:iCs/>
          <w:kern w:val="2"/>
          <w:sz w:val="24"/>
          <w:szCs w:val="24"/>
          <w14:ligatures w14:val="standardContextual"/>
        </w:rPr>
        <w:t>в НКЖИ“,</w:t>
      </w:r>
      <w:r w:rsidRPr="00B74D6E">
        <w:rPr>
          <w:rFonts w:ascii="Times New Roman" w:eastAsia="Calibri" w:hAnsi="Times New Roman" w:cs="Times New Roman"/>
          <w:i/>
          <w:iCs/>
          <w:kern w:val="2"/>
          <w:sz w:val="24"/>
          <w:szCs w:val="24"/>
          <w14:ligatures w14:val="standardContextual"/>
        </w:rPr>
        <w:t xml:space="preserve"> </w:t>
      </w:r>
      <w:r w:rsidRPr="00B74D6E">
        <w:rPr>
          <w:rFonts w:ascii="Times New Roman" w:eastAsia="Calibri" w:hAnsi="Times New Roman" w:cs="Times New Roman"/>
          <w:kern w:val="2"/>
          <w:sz w:val="24"/>
          <w:szCs w:val="24"/>
          <w14:ligatures w14:val="standardContextual"/>
        </w:rPr>
        <w:t>предоставящи възможност след разглеждане на подадени документи от работници и служители, да им бъде отпусната парична помощ. Тя се отпуска при спазване на регламентираните правила, като случаите, при които се отпускат помощи са следните:</w:t>
      </w:r>
    </w:p>
    <w:p w14:paraId="7933B0C7" w14:textId="77777777" w:rsidR="00C5527F" w:rsidRPr="00B74D6E" w:rsidRDefault="00B74D6E" w:rsidP="00554703">
      <w:pPr>
        <w:pStyle w:val="ListParagraph"/>
        <w:numPr>
          <w:ilvl w:val="0"/>
          <w:numId w:val="17"/>
        </w:numPr>
        <w:spacing w:after="0" w:line="240" w:lineRule="auto"/>
        <w:jc w:val="both"/>
        <w:rPr>
          <w:rFonts w:ascii="Times New Roman" w:eastAsia="Calibri" w:hAnsi="Times New Roman" w:cs="Times New Roman"/>
          <w:kern w:val="2"/>
          <w:sz w:val="24"/>
          <w:szCs w:val="24"/>
          <w14:ligatures w14:val="standardContextual"/>
        </w:rPr>
      </w:pPr>
      <w:r w:rsidRPr="00B74D6E">
        <w:rPr>
          <w:rFonts w:ascii="Times New Roman" w:eastAsia="Calibri" w:hAnsi="Times New Roman" w:cs="Times New Roman"/>
          <w:kern w:val="2"/>
          <w:sz w:val="24"/>
          <w:szCs w:val="24"/>
          <w14:ligatures w14:val="standardContextual"/>
        </w:rPr>
        <w:t>в</w:t>
      </w:r>
      <w:r w:rsidR="00C5527F" w:rsidRPr="00B74D6E">
        <w:rPr>
          <w:rFonts w:ascii="Times New Roman" w:eastAsia="Calibri" w:hAnsi="Times New Roman" w:cs="Times New Roman"/>
          <w:kern w:val="2"/>
          <w:sz w:val="24"/>
          <w:szCs w:val="24"/>
          <w14:ligatures w14:val="standardContextual"/>
        </w:rPr>
        <w:t>ременна неработоспособност;</w:t>
      </w:r>
    </w:p>
    <w:p w14:paraId="4F11C797" w14:textId="77777777" w:rsidR="00C5527F" w:rsidRPr="00B74D6E" w:rsidRDefault="00B74D6E" w:rsidP="00554703">
      <w:pPr>
        <w:pStyle w:val="ListParagraph"/>
        <w:numPr>
          <w:ilvl w:val="0"/>
          <w:numId w:val="17"/>
        </w:numPr>
        <w:spacing w:after="0" w:line="240" w:lineRule="auto"/>
        <w:jc w:val="both"/>
        <w:rPr>
          <w:rFonts w:ascii="Times New Roman" w:eastAsia="Calibri" w:hAnsi="Times New Roman" w:cs="Times New Roman"/>
          <w:kern w:val="2"/>
          <w:sz w:val="24"/>
          <w:szCs w:val="24"/>
          <w14:ligatures w14:val="standardContextual"/>
        </w:rPr>
      </w:pPr>
      <w:r w:rsidRPr="00B74D6E">
        <w:rPr>
          <w:rFonts w:ascii="Times New Roman" w:eastAsia="Calibri" w:hAnsi="Times New Roman" w:cs="Times New Roman"/>
          <w:kern w:val="2"/>
          <w:sz w:val="24"/>
          <w:szCs w:val="24"/>
          <w14:ligatures w14:val="standardContextual"/>
        </w:rPr>
        <w:t>н</w:t>
      </w:r>
      <w:r w:rsidR="00C5527F" w:rsidRPr="00B74D6E">
        <w:rPr>
          <w:rFonts w:ascii="Times New Roman" w:eastAsia="Calibri" w:hAnsi="Times New Roman" w:cs="Times New Roman"/>
          <w:kern w:val="2"/>
          <w:sz w:val="24"/>
          <w:szCs w:val="24"/>
          <w14:ligatures w14:val="standardContextual"/>
        </w:rPr>
        <w:t>еобходимост от скъпо струващо лечение;</w:t>
      </w:r>
    </w:p>
    <w:p w14:paraId="7822CB16" w14:textId="77777777" w:rsidR="00C5527F" w:rsidRPr="00B74D6E" w:rsidRDefault="00B74D6E" w:rsidP="00554703">
      <w:pPr>
        <w:pStyle w:val="ListParagraph"/>
        <w:numPr>
          <w:ilvl w:val="0"/>
          <w:numId w:val="17"/>
        </w:numPr>
        <w:spacing w:after="0" w:line="240" w:lineRule="auto"/>
        <w:jc w:val="both"/>
        <w:rPr>
          <w:rFonts w:ascii="Times New Roman" w:eastAsia="Calibri" w:hAnsi="Times New Roman" w:cs="Times New Roman"/>
          <w:kern w:val="2"/>
          <w:sz w:val="24"/>
          <w:szCs w:val="24"/>
          <w14:ligatures w14:val="standardContextual"/>
        </w:rPr>
      </w:pPr>
      <w:r w:rsidRPr="00B74D6E">
        <w:rPr>
          <w:rFonts w:ascii="Times New Roman" w:eastAsia="Calibri" w:hAnsi="Times New Roman" w:cs="Times New Roman"/>
          <w:kern w:val="2"/>
          <w:sz w:val="24"/>
          <w:szCs w:val="24"/>
          <w14:ligatures w14:val="standardContextual"/>
        </w:rPr>
        <w:t>м</w:t>
      </w:r>
      <w:r w:rsidR="00C5527F" w:rsidRPr="00B74D6E">
        <w:rPr>
          <w:rFonts w:ascii="Times New Roman" w:eastAsia="Calibri" w:hAnsi="Times New Roman" w:cs="Times New Roman"/>
          <w:kern w:val="2"/>
          <w:sz w:val="24"/>
          <w:szCs w:val="24"/>
          <w14:ligatures w14:val="standardContextual"/>
        </w:rPr>
        <w:t>атериално затруднени работници/служители.</w:t>
      </w:r>
    </w:p>
    <w:p w14:paraId="69D60606" w14:textId="77777777" w:rsidR="00C5527F" w:rsidRPr="00B74D6E" w:rsidRDefault="00C5527F" w:rsidP="00C5527F">
      <w:pPr>
        <w:spacing w:after="0" w:line="240" w:lineRule="auto"/>
        <w:jc w:val="both"/>
        <w:rPr>
          <w:rFonts w:ascii="Times New Roman" w:eastAsia="Calibri" w:hAnsi="Times New Roman" w:cs="Times New Roman"/>
          <w:kern w:val="2"/>
          <w:sz w:val="24"/>
          <w:szCs w:val="24"/>
          <w14:ligatures w14:val="standardContextual"/>
        </w:rPr>
      </w:pPr>
      <w:r w:rsidRPr="00B74D6E">
        <w:rPr>
          <w:rFonts w:ascii="Times New Roman" w:eastAsia="Calibri" w:hAnsi="Times New Roman" w:cs="Times New Roman"/>
          <w:kern w:val="2"/>
          <w:sz w:val="24"/>
          <w:szCs w:val="24"/>
          <w14:ligatures w14:val="standardContextual"/>
        </w:rPr>
        <w:tab/>
        <w:t>През 2023 г. отпуснатите парични помощи за 75 бр. служители на НКЖИ са в размер на 120 584,33 лв.</w:t>
      </w:r>
    </w:p>
    <w:p w14:paraId="52B1F7E9" w14:textId="77777777" w:rsidR="00C5527F" w:rsidRPr="00B74D6E" w:rsidRDefault="00C5527F" w:rsidP="00C5527F">
      <w:pPr>
        <w:spacing w:after="0" w:line="240" w:lineRule="auto"/>
        <w:jc w:val="both"/>
        <w:rPr>
          <w:rFonts w:ascii="Times New Roman" w:eastAsia="Calibri" w:hAnsi="Times New Roman" w:cs="Times New Roman"/>
          <w:kern w:val="2"/>
          <w:sz w:val="24"/>
          <w:szCs w:val="24"/>
          <w14:ligatures w14:val="standardContextual"/>
        </w:rPr>
      </w:pPr>
      <w:r w:rsidRPr="00B74D6E">
        <w:rPr>
          <w:rFonts w:ascii="Times New Roman" w:eastAsia="Calibri" w:hAnsi="Times New Roman" w:cs="Times New Roman"/>
          <w:kern w:val="2"/>
          <w:sz w:val="24"/>
          <w:szCs w:val="24"/>
          <w14:ligatures w14:val="standardContextual"/>
        </w:rPr>
        <w:lastRenderedPageBreak/>
        <w:tab/>
        <w:t xml:space="preserve">През 2024 г. отпуснатите парични помощи за 70 бр. служители са в размер на 109 980 лв. </w:t>
      </w:r>
    </w:p>
    <w:p w14:paraId="1080766C" w14:textId="77777777" w:rsidR="00C5527F" w:rsidRDefault="00C5527F" w:rsidP="00D64FBE">
      <w:pPr>
        <w:spacing w:after="0" w:line="240" w:lineRule="auto"/>
        <w:jc w:val="both"/>
        <w:rPr>
          <w:rFonts w:ascii="Times New Roman" w:eastAsia="Calibri" w:hAnsi="Times New Roman" w:cs="Times New Roman"/>
          <w:kern w:val="2"/>
          <w:sz w:val="24"/>
          <w:szCs w:val="24"/>
          <w14:ligatures w14:val="standardContextual"/>
        </w:rPr>
      </w:pPr>
    </w:p>
    <w:p w14:paraId="2B4BB95E" w14:textId="77777777" w:rsidR="00B302CF" w:rsidRDefault="00B302CF" w:rsidP="00D64FBE">
      <w:pPr>
        <w:spacing w:after="0" w:line="240" w:lineRule="auto"/>
        <w:jc w:val="both"/>
        <w:rPr>
          <w:rFonts w:ascii="Times New Roman" w:eastAsia="Calibri" w:hAnsi="Times New Roman" w:cs="Times New Roman"/>
          <w:kern w:val="2"/>
          <w:sz w:val="24"/>
          <w:szCs w:val="24"/>
          <w14:ligatures w14:val="standardContextual"/>
        </w:rPr>
      </w:pPr>
    </w:p>
    <w:p w14:paraId="13132477" w14:textId="77777777" w:rsidR="00B302CF" w:rsidRPr="006C13DF" w:rsidRDefault="00B302CF" w:rsidP="00D64FBE">
      <w:pPr>
        <w:spacing w:after="0" w:line="240" w:lineRule="auto"/>
        <w:jc w:val="both"/>
        <w:rPr>
          <w:rFonts w:ascii="Times New Roman" w:eastAsia="Calibri" w:hAnsi="Times New Roman" w:cs="Times New Roman"/>
          <w:kern w:val="2"/>
          <w:sz w:val="24"/>
          <w:szCs w:val="24"/>
          <w14:ligatures w14:val="standardContextual"/>
        </w:rPr>
      </w:pPr>
    </w:p>
    <w:p w14:paraId="606AB07C" w14:textId="77777777" w:rsidR="00C5527F" w:rsidRPr="006C13DF" w:rsidRDefault="00C5527F" w:rsidP="00C5527F">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„ХОЛДИНГ БДЖ“ ЕАД, „БДЖ – Пътнически превози“ ЕООД  и „БДЖ – Товарни превози“ ЕООД</w:t>
      </w:r>
    </w:p>
    <w:p w14:paraId="78017B48" w14:textId="77777777" w:rsidR="00A167F2" w:rsidRPr="006C13DF" w:rsidRDefault="00A167F2" w:rsidP="00C5527F">
      <w:pPr>
        <w:spacing w:after="0" w:line="240" w:lineRule="auto"/>
        <w:jc w:val="center"/>
        <w:rPr>
          <w:rFonts w:ascii="Times New Roman" w:eastAsia="Calibri" w:hAnsi="Times New Roman" w:cs="Times New Roman"/>
          <w:b/>
          <w:caps/>
          <w:color w:val="C0504D"/>
          <w:sz w:val="24"/>
          <w:szCs w:val="24"/>
        </w:rPr>
      </w:pPr>
    </w:p>
    <w:p w14:paraId="6BE36B1F" w14:textId="77777777" w:rsidR="00C5527F" w:rsidRPr="006C13DF" w:rsidRDefault="00C5527F" w:rsidP="00C5527F">
      <w:pPr>
        <w:spacing w:after="0" w:line="240" w:lineRule="auto"/>
        <w:ind w:firstLine="708"/>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В „Холдинг БДЖ“ ЕАД за 2023 г. и 2024 г. не са отпуснати парични помощи на служители в дружеството.</w:t>
      </w:r>
    </w:p>
    <w:p w14:paraId="0E9168BE" w14:textId="77777777" w:rsidR="00C5527F" w:rsidRPr="006C13DF" w:rsidRDefault="00C5527F" w:rsidP="00C5527F">
      <w:pPr>
        <w:spacing w:after="0" w:line="240" w:lineRule="auto"/>
        <w:ind w:firstLine="708"/>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През 2023 г. са отпуснати парични помощи на 334 бр. служители на „БДЖ – Пътнически превози“ ЕООД, в размер на 485 755 лв. През 2024 г. са отпуснати парични помощи на 353 бр. служители на „БДЖ – Пътнически превози“ ЕООД, в размер на 578 349 лв.</w:t>
      </w:r>
    </w:p>
    <w:p w14:paraId="7B6C0AD3" w14:textId="77777777" w:rsidR="00C5527F" w:rsidRPr="006C13DF" w:rsidRDefault="00C5527F" w:rsidP="00C5527F">
      <w:pPr>
        <w:spacing w:after="0" w:line="240" w:lineRule="auto"/>
        <w:ind w:firstLine="708"/>
        <w:jc w:val="both"/>
        <w:rPr>
          <w:rFonts w:ascii="Times New Roman" w:eastAsia="Calibri" w:hAnsi="Times New Roman" w:cs="Times New Roman"/>
          <w:sz w:val="24"/>
          <w:szCs w:val="24"/>
        </w:rPr>
      </w:pPr>
      <w:r w:rsidRPr="006C13DF">
        <w:rPr>
          <w:rFonts w:ascii="Times New Roman" w:eastAsia="Calibri" w:hAnsi="Times New Roman" w:cs="Times New Roman"/>
          <w:sz w:val="24"/>
          <w:szCs w:val="24"/>
        </w:rPr>
        <w:t xml:space="preserve">През 2024 г. „БДЖ – Товарни превози“ ЕООД е подпомогнало работници/служители със здравословни проблеми и/или тежки хронични заболявания, нуждаещи се от скъпо струващо лечение, като през 2024 г. е изплатило социални парични помощи в общ размер 43 194 лв. </w:t>
      </w:r>
    </w:p>
    <w:p w14:paraId="7AE83DA1" w14:textId="77777777" w:rsidR="00C5527F" w:rsidRDefault="00C5527F" w:rsidP="00E91E47">
      <w:pPr>
        <w:spacing w:after="0" w:line="240" w:lineRule="auto"/>
        <w:jc w:val="both"/>
        <w:rPr>
          <w:rFonts w:ascii="Times New Roman" w:eastAsia="Times New Roman" w:hAnsi="Times New Roman" w:cs="Times New Roman"/>
          <w:sz w:val="24"/>
          <w:szCs w:val="24"/>
          <w:lang w:eastAsia="bg-BG"/>
        </w:rPr>
      </w:pPr>
    </w:p>
    <w:p w14:paraId="3A9148CB" w14:textId="77777777" w:rsidR="00B74D6E" w:rsidRPr="00B74D6E" w:rsidRDefault="00B74D6E" w:rsidP="00B74D6E">
      <w:pPr>
        <w:spacing w:after="0" w:line="240" w:lineRule="auto"/>
        <w:jc w:val="center"/>
        <w:rPr>
          <w:rFonts w:ascii="Times New Roman" w:eastAsia="Times New Roman" w:hAnsi="Times New Roman" w:cs="Times New Roman"/>
          <w:sz w:val="24"/>
          <w:szCs w:val="24"/>
          <w:lang w:eastAsia="bg-BG"/>
        </w:rPr>
      </w:pPr>
      <w:r w:rsidRPr="00B74D6E">
        <w:rPr>
          <w:rFonts w:ascii="Times New Roman" w:eastAsia="Calibri" w:hAnsi="Times New Roman" w:cs="Times New Roman"/>
          <w:b/>
          <w:caps/>
          <w:color w:val="C0504D"/>
          <w:sz w:val="24"/>
          <w:szCs w:val="24"/>
        </w:rPr>
        <w:t>МИНИСТЕРСТВО НА ОТБРАНАТА</w:t>
      </w:r>
    </w:p>
    <w:p w14:paraId="72A25E99" w14:textId="77777777" w:rsidR="00B74D6E" w:rsidRDefault="00B74D6E" w:rsidP="006974D7">
      <w:pPr>
        <w:shd w:val="clear" w:color="auto" w:fill="FFFFFF"/>
        <w:spacing w:after="0" w:line="240" w:lineRule="auto"/>
        <w:ind w:firstLine="567"/>
        <w:jc w:val="both"/>
        <w:rPr>
          <w:rFonts w:ascii="Times New Roman" w:eastAsia="Times New Roman" w:hAnsi="Times New Roman" w:cs="Times New Roman"/>
          <w:sz w:val="24"/>
          <w:szCs w:val="24"/>
          <w:lang w:eastAsia="bg-BG"/>
        </w:rPr>
      </w:pPr>
    </w:p>
    <w:p w14:paraId="5A13FF07" w14:textId="77777777" w:rsidR="006974D7" w:rsidRPr="00B74D6E" w:rsidRDefault="00B74D6E" w:rsidP="00B74D6E">
      <w:pPr>
        <w:shd w:val="clear" w:color="auto" w:fill="FFFFFF"/>
        <w:spacing w:after="0"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3.1.17</w:t>
      </w:r>
      <w:r w:rsidR="006974D7" w:rsidRPr="00B74D6E">
        <w:rPr>
          <w:rFonts w:ascii="Times New Roman" w:eastAsia="Times New Roman" w:hAnsi="Times New Roman" w:cs="Times New Roman"/>
          <w:b/>
          <w:sz w:val="24"/>
          <w:szCs w:val="24"/>
          <w:lang w:eastAsia="bg-BG"/>
        </w:rPr>
        <w:t>.</w:t>
      </w:r>
      <w:r w:rsidR="006974D7" w:rsidRPr="00B74D6E">
        <w:rPr>
          <w:rFonts w:ascii="Times New Roman" w:eastAsia="Calibri" w:hAnsi="Times New Roman" w:cs="Times New Roman"/>
          <w:b/>
          <w:sz w:val="24"/>
          <w:szCs w:val="24"/>
        </w:rPr>
        <w:t xml:space="preserve"> </w:t>
      </w:r>
      <w:r w:rsidR="006974D7" w:rsidRPr="00B74D6E">
        <w:rPr>
          <w:rFonts w:ascii="Times New Roman" w:eastAsia="Times New Roman" w:hAnsi="Times New Roman" w:cs="Times New Roman"/>
          <w:b/>
          <w:sz w:val="24"/>
          <w:szCs w:val="24"/>
          <w:lang w:eastAsia="bg-BG"/>
        </w:rPr>
        <w:t>Предоставяне на интегрирани здравно-социални услуги в болниците за долекуване, продължително лечение и рехабилитация в структурата на Военномедицинската академия</w:t>
      </w:r>
      <w:r w:rsidR="006974D7" w:rsidRPr="00B74D6E">
        <w:rPr>
          <w:rFonts w:ascii="Times New Roman" w:eastAsia="Calibri" w:hAnsi="Times New Roman" w:cs="Times New Roman"/>
          <w:b/>
          <w:sz w:val="24"/>
          <w:szCs w:val="24"/>
        </w:rPr>
        <w:t xml:space="preserve"> </w:t>
      </w:r>
      <w:r w:rsidR="006974D7" w:rsidRPr="00B74D6E">
        <w:rPr>
          <w:rFonts w:ascii="Times New Roman" w:eastAsia="Times New Roman" w:hAnsi="Times New Roman" w:cs="Times New Roman"/>
          <w:b/>
          <w:sz w:val="24"/>
          <w:szCs w:val="24"/>
          <w:lang w:eastAsia="bg-BG"/>
        </w:rPr>
        <w:t>на пенсионирани военнослужещи от Министерството на отбраната, Българската армия и структурите на пряко подчинение на министъра на отбраната, ветерани от войните, военноинвалиди, военнопострадали и др.</w:t>
      </w:r>
    </w:p>
    <w:p w14:paraId="4C2B9BAA" w14:textId="77777777" w:rsidR="00B74D6E" w:rsidRPr="00B74D6E" w:rsidRDefault="00B74D6E" w:rsidP="006974D7">
      <w:pPr>
        <w:shd w:val="clear" w:color="auto" w:fill="FFFFFF"/>
        <w:spacing w:after="0" w:line="240" w:lineRule="auto"/>
        <w:ind w:firstLine="567"/>
        <w:jc w:val="both"/>
        <w:rPr>
          <w:rFonts w:ascii="Times New Roman" w:eastAsia="Calibri" w:hAnsi="Times New Roman" w:cs="Times New Roman"/>
          <w:b/>
          <w:i/>
          <w:sz w:val="24"/>
          <w:szCs w:val="24"/>
        </w:rPr>
      </w:pPr>
    </w:p>
    <w:p w14:paraId="3FFFA6B8" w14:textId="77777777" w:rsidR="00B74D6E" w:rsidRDefault="006974D7" w:rsidP="006974D7">
      <w:pPr>
        <w:spacing w:after="0" w:line="240" w:lineRule="auto"/>
        <w:contextualSpacing/>
        <w:jc w:val="both"/>
        <w:rPr>
          <w:rFonts w:ascii="Times New Roman" w:eastAsia="Times New Roman" w:hAnsi="Times New Roman" w:cs="Times New Roman"/>
          <w:sz w:val="24"/>
          <w:szCs w:val="24"/>
        </w:rPr>
      </w:pPr>
      <w:r w:rsidRPr="00B74D6E">
        <w:rPr>
          <w:rFonts w:ascii="Times New Roman" w:eastAsia="Times New Roman" w:hAnsi="Times New Roman" w:cs="Times New Roman"/>
          <w:sz w:val="24"/>
          <w:szCs w:val="24"/>
        </w:rPr>
        <w:tab/>
        <w:t xml:space="preserve">В изпълнение на чл. 16 от Закона за </w:t>
      </w:r>
      <w:r w:rsidR="00B74D6E">
        <w:rPr>
          <w:rFonts w:ascii="Times New Roman" w:eastAsia="Times New Roman" w:hAnsi="Times New Roman" w:cs="Times New Roman"/>
          <w:sz w:val="24"/>
          <w:szCs w:val="24"/>
        </w:rPr>
        <w:t>в</w:t>
      </w:r>
      <w:r w:rsidRPr="00B74D6E">
        <w:rPr>
          <w:rFonts w:ascii="Times New Roman" w:eastAsia="Times New Roman" w:hAnsi="Times New Roman" w:cs="Times New Roman"/>
          <w:sz w:val="24"/>
          <w:szCs w:val="24"/>
        </w:rPr>
        <w:t>оенноинвалидите и военнопострадалите М</w:t>
      </w:r>
      <w:r w:rsidR="00B74D6E">
        <w:rPr>
          <w:rFonts w:ascii="Times New Roman" w:eastAsia="Times New Roman" w:hAnsi="Times New Roman" w:cs="Times New Roman"/>
          <w:sz w:val="24"/>
          <w:szCs w:val="24"/>
        </w:rPr>
        <w:t>инистерството на отбраната</w:t>
      </w:r>
      <w:r w:rsidRPr="00B74D6E">
        <w:rPr>
          <w:rFonts w:ascii="Times New Roman" w:eastAsia="Times New Roman" w:hAnsi="Times New Roman" w:cs="Times New Roman"/>
          <w:sz w:val="24"/>
          <w:szCs w:val="24"/>
        </w:rPr>
        <w:t xml:space="preserve"> предоставя интегрирани здравно-социални услуги в болниците за долекуване, продължително лечение и рехабилитация в структурата на Военномедицинската академия на пенсионирани военнослужещи от Министерството на отбраната, Българската армия и структурите на пряко подчинение на министъра на отбраната, ветерани от войните, военноинвалиди, военнопострадали и др. Военноинвалидите и военнопострадалите имат право на отдих до 15 дни веднъж годишно, профилактика и рехабилитация до 30 дни общо два пъти годишно в почивните бази и болничните бази по балнеология, рехабилитация и профилактика към МО, МВР, МЗ и „Профилактика, рехабилитация и отдих“ ЕАД.</w:t>
      </w:r>
    </w:p>
    <w:p w14:paraId="4DABB224" w14:textId="77777777" w:rsidR="006974D7" w:rsidRPr="006C13DF" w:rsidRDefault="006974D7" w:rsidP="00E91E47">
      <w:pPr>
        <w:spacing w:after="0" w:line="240" w:lineRule="auto"/>
        <w:contextualSpacing/>
        <w:jc w:val="both"/>
        <w:rPr>
          <w:rFonts w:ascii="Times New Roman" w:eastAsia="Times New Roman" w:hAnsi="Times New Roman" w:cs="Times New Roman"/>
          <w:sz w:val="24"/>
          <w:szCs w:val="24"/>
        </w:rPr>
      </w:pPr>
      <w:r w:rsidRPr="00B74D6E">
        <w:rPr>
          <w:rFonts w:ascii="Times New Roman" w:eastAsia="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32B32BBE" w14:textId="77777777" w:rsidTr="00E655FD">
        <w:tc>
          <w:tcPr>
            <w:tcW w:w="9060" w:type="dxa"/>
            <w:shd w:val="clear" w:color="auto" w:fill="EBE453"/>
          </w:tcPr>
          <w:p w14:paraId="4EDDEBFD"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3.2. Подобряване на условията на живот</w:t>
            </w:r>
          </w:p>
        </w:tc>
      </w:tr>
    </w:tbl>
    <w:p w14:paraId="1EA1E1E8" w14:textId="77777777" w:rsidR="006E5C93" w:rsidRPr="006C13DF" w:rsidRDefault="006E5C93" w:rsidP="00E91E47">
      <w:pPr>
        <w:pStyle w:val="ListParagraph"/>
        <w:spacing w:after="0" w:line="240" w:lineRule="auto"/>
        <w:ind w:left="0"/>
        <w:rPr>
          <w:rFonts w:ascii="Times New Roman" w:hAnsi="Times New Roman" w:cs="Times New Roman"/>
          <w:b/>
        </w:rPr>
      </w:pPr>
    </w:p>
    <w:p w14:paraId="43643881" w14:textId="77777777" w:rsidR="00A167F2" w:rsidRPr="006C13DF" w:rsidRDefault="00A167F2" w:rsidP="00A167F2">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76D881AE" w14:textId="77777777" w:rsidR="00A167F2" w:rsidRPr="006C13DF" w:rsidRDefault="00A167F2" w:rsidP="00A167F2">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АГЕНЦИЯ ЗА СОЦИАЛНО ПОДПОМАГАНЕ</w:t>
      </w:r>
    </w:p>
    <w:p w14:paraId="6AF3E1BA" w14:textId="77777777" w:rsidR="00A167F2" w:rsidRPr="006C13DF" w:rsidRDefault="00A167F2" w:rsidP="00A167F2">
      <w:pPr>
        <w:pStyle w:val="ListParagraph"/>
        <w:spacing w:after="0" w:line="240" w:lineRule="auto"/>
        <w:ind w:left="0"/>
        <w:jc w:val="center"/>
        <w:rPr>
          <w:rFonts w:ascii="Times New Roman" w:eastAsia="Calibri" w:hAnsi="Times New Roman" w:cs="Times New Roman"/>
          <w:b/>
          <w:caps/>
          <w:color w:val="C0504D"/>
          <w:sz w:val="24"/>
          <w:szCs w:val="24"/>
        </w:rPr>
      </w:pPr>
    </w:p>
    <w:p w14:paraId="29277D9B" w14:textId="77777777" w:rsidR="00A167F2" w:rsidRPr="006C13DF" w:rsidRDefault="00A167F2" w:rsidP="00A167F2">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Националната стратегия за насърчаване на активния живот на възрастните хора (2019 – 2030 г.) е свързана със създаване на условия и гарантиране на равни възможности за достоен и пълноценен живот. Дейността на Агенцията за социално подпомагане (АСП) през 2023 г. и 2024 г. се осъществ</w:t>
      </w:r>
      <w:r w:rsidR="00A9795C">
        <w:rPr>
          <w:rFonts w:ascii="Times New Roman" w:eastAsia="Times New Roman" w:hAnsi="Times New Roman" w:cs="Times New Roman"/>
          <w:sz w:val="24"/>
          <w:szCs w:val="24"/>
          <w:lang w:eastAsia="bg-BG"/>
        </w:rPr>
        <w:t>ява</w:t>
      </w:r>
      <w:r w:rsidRPr="006C13DF">
        <w:rPr>
          <w:rFonts w:ascii="Times New Roman" w:eastAsia="Times New Roman" w:hAnsi="Times New Roman" w:cs="Times New Roman"/>
          <w:sz w:val="24"/>
          <w:szCs w:val="24"/>
          <w:lang w:eastAsia="bg-BG"/>
        </w:rPr>
        <w:t xml:space="preserve"> в съответствие с приоритетите, залегнали в Стратегическия план на АСП и насочени към изпълнение на държавната политика по гарантиране правото на адекватна социална закрила за всички български граждани и за всеки гражданин на друга държава, намиращи се на територията на Република България. </w:t>
      </w:r>
    </w:p>
    <w:p w14:paraId="6B0A5F79" w14:textId="77777777" w:rsidR="00A167F2" w:rsidRPr="006C13DF" w:rsidRDefault="00A167F2" w:rsidP="00A167F2">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lastRenderedPageBreak/>
        <w:tab/>
        <w:t xml:space="preserve">Социалната закрила на уязвимите групи от населението е регламентирана със </w:t>
      </w:r>
      <w:r w:rsidRPr="00A9795C">
        <w:rPr>
          <w:rFonts w:ascii="Times New Roman" w:eastAsia="Times New Roman" w:hAnsi="Times New Roman" w:cs="Times New Roman"/>
          <w:b/>
          <w:sz w:val="24"/>
          <w:szCs w:val="24"/>
          <w:lang w:eastAsia="bg-BG"/>
        </w:rPr>
        <w:t>Закона за социално подпомагане</w:t>
      </w:r>
      <w:r w:rsidRPr="006C13DF">
        <w:rPr>
          <w:rFonts w:ascii="Times New Roman" w:eastAsia="Times New Roman" w:hAnsi="Times New Roman" w:cs="Times New Roman"/>
          <w:sz w:val="24"/>
          <w:szCs w:val="24"/>
          <w:lang w:eastAsia="bg-BG"/>
        </w:rPr>
        <w:t xml:space="preserve"> (ЗСП) и </w:t>
      </w:r>
      <w:r w:rsidRPr="00A9795C">
        <w:rPr>
          <w:rFonts w:ascii="Times New Roman" w:eastAsia="Times New Roman" w:hAnsi="Times New Roman" w:cs="Times New Roman"/>
          <w:b/>
          <w:sz w:val="24"/>
          <w:szCs w:val="24"/>
          <w:lang w:eastAsia="bg-BG"/>
        </w:rPr>
        <w:t>Правилника за прилагане на Закона за социално подпомагане</w:t>
      </w:r>
      <w:r w:rsidRPr="006C13DF">
        <w:rPr>
          <w:rFonts w:ascii="Times New Roman" w:eastAsia="Times New Roman" w:hAnsi="Times New Roman" w:cs="Times New Roman"/>
          <w:sz w:val="24"/>
          <w:szCs w:val="24"/>
          <w:lang w:eastAsia="bg-BG"/>
        </w:rPr>
        <w:t xml:space="preserve"> (ППЗСП).</w:t>
      </w:r>
    </w:p>
    <w:p w14:paraId="07FD9FB1" w14:textId="77777777" w:rsidR="00A167F2" w:rsidRPr="006C13DF" w:rsidRDefault="00A167F2" w:rsidP="00A167F2">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Социалните помощи са месечни, целеви и еднократни. Предоставят се под формата на </w:t>
      </w:r>
      <w:r w:rsidRPr="00A9795C">
        <w:rPr>
          <w:rFonts w:ascii="Times New Roman" w:eastAsia="Times New Roman" w:hAnsi="Times New Roman" w:cs="Times New Roman"/>
          <w:b/>
          <w:sz w:val="24"/>
          <w:szCs w:val="24"/>
          <w:lang w:eastAsia="bg-BG"/>
        </w:rPr>
        <w:t>парични плащания или в натура</w:t>
      </w:r>
      <w:r w:rsidRPr="006C13DF">
        <w:rPr>
          <w:rFonts w:ascii="Times New Roman" w:eastAsia="Times New Roman" w:hAnsi="Times New Roman" w:cs="Times New Roman"/>
          <w:sz w:val="24"/>
          <w:szCs w:val="24"/>
          <w:lang w:eastAsia="bg-BG"/>
        </w:rPr>
        <w:t xml:space="preserve"> и имат за цел да допълват или заместват собствените доходи до основните жизнени потребности или задоволяват инцидентно възникнали потребности на подпомаганите лица и семейства. Отпускат се от дирекция „Социално подпомагане“ по настоящ адрес на нуждаещите се въз основа на депозирано заявление-декларация по образец и след извършване на социална анкета, при която се вземат предвид всички обстоятелства от социален, семеен, битов и здравен характер, отнасящи се до възможността за самоиздръжка и/или помощ от лица, задължени по закон да осигуряват такава. </w:t>
      </w:r>
    </w:p>
    <w:p w14:paraId="27E41129" w14:textId="77777777" w:rsidR="00A167F2" w:rsidRPr="006C13DF" w:rsidRDefault="00A167F2" w:rsidP="00A167F2">
      <w:pPr>
        <w:spacing w:after="0" w:line="240" w:lineRule="auto"/>
        <w:ind w:firstLine="708"/>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В съответствие с разпоредбите на чл. 2, ал. 3 и ал. 5 от ЗСП, право на социални помощи имат българските граждани, чужденците с разрешение за дългосрочно или постоянно пребиваване в Република България, чужденците, на които е предоставено убежище, статут на бежанец или хуманитарен статут, и чужденците, ползващи се от временна закрила, и лицата, за които това е предвидено в международен договор, по който Република България е страна.</w:t>
      </w:r>
    </w:p>
    <w:p w14:paraId="73730CC9" w14:textId="77777777" w:rsidR="00A167F2" w:rsidRPr="006C13DF" w:rsidRDefault="00A167F2" w:rsidP="00A167F2">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Със Закона за изменение и допълнение, обнародван в ДВ, бр. 102 от 23.12.2022 г., в сила от 01.06.2023 г., в ЗСП са извършени промени, по силата на които социалното подпомагане преминава от обвързване с гарантирания минимален доход (ГМД) към </w:t>
      </w:r>
      <w:r w:rsidRPr="00A9795C">
        <w:rPr>
          <w:rFonts w:ascii="Times New Roman" w:eastAsia="Times New Roman" w:hAnsi="Times New Roman" w:cs="Times New Roman"/>
          <w:b/>
          <w:sz w:val="24"/>
          <w:szCs w:val="24"/>
          <w:lang w:eastAsia="bg-BG"/>
        </w:rPr>
        <w:t>обвързване с линията на бедност</w:t>
      </w:r>
      <w:r w:rsidRPr="006C13DF">
        <w:rPr>
          <w:rFonts w:ascii="Times New Roman" w:eastAsia="Times New Roman" w:hAnsi="Times New Roman" w:cs="Times New Roman"/>
          <w:sz w:val="24"/>
          <w:szCs w:val="24"/>
          <w:lang w:eastAsia="bg-BG"/>
        </w:rPr>
        <w:t xml:space="preserve">. </w:t>
      </w:r>
    </w:p>
    <w:p w14:paraId="1FBE7262" w14:textId="77777777" w:rsidR="00A167F2" w:rsidRPr="006C13DF" w:rsidRDefault="00A167F2" w:rsidP="00A167F2">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Значително са </w:t>
      </w:r>
      <w:r w:rsidRPr="00A9795C">
        <w:rPr>
          <w:rFonts w:ascii="Times New Roman" w:eastAsia="Times New Roman" w:hAnsi="Times New Roman" w:cs="Times New Roman"/>
          <w:b/>
          <w:sz w:val="24"/>
          <w:szCs w:val="24"/>
          <w:lang w:eastAsia="bg-BG"/>
        </w:rPr>
        <w:t>облекчени и условията за достъп до месечни социални помощи</w:t>
      </w:r>
      <w:r w:rsidRPr="006C13DF">
        <w:rPr>
          <w:rFonts w:ascii="Times New Roman" w:eastAsia="Times New Roman" w:hAnsi="Times New Roman" w:cs="Times New Roman"/>
          <w:sz w:val="24"/>
          <w:szCs w:val="24"/>
          <w:lang w:eastAsia="bg-BG"/>
        </w:rPr>
        <w:t>, като отпаднаха ограниченията касаещи размера на жилището, в което живее заявителят. Отпадна ограничението по отношение на лицата, регистрирани като еднолични търговци. Намален е срокът, в който лицата не трябва да са извършвали прехвърляне чрез договор за дарение или заплащане на недвижим имот от 5 г. на 2 г.</w:t>
      </w:r>
    </w:p>
    <w:p w14:paraId="6836DAB6" w14:textId="77777777" w:rsidR="00A167F2" w:rsidRPr="006C13DF" w:rsidRDefault="00A167F2" w:rsidP="00A167F2">
      <w:pPr>
        <w:pStyle w:val="ListParagraph"/>
        <w:spacing w:after="0" w:line="240" w:lineRule="auto"/>
        <w:ind w:left="0"/>
        <w:jc w:val="both"/>
        <w:rPr>
          <w:rFonts w:ascii="Times New Roman" w:eastAsia="Calibri" w:hAnsi="Times New Roman" w:cs="Times New Roman"/>
          <w:b/>
          <w:caps/>
          <w:color w:val="C0504D"/>
          <w:sz w:val="24"/>
          <w:szCs w:val="24"/>
        </w:rPr>
      </w:pPr>
    </w:p>
    <w:p w14:paraId="1B717267" w14:textId="77777777" w:rsidR="00A167F2" w:rsidRPr="006C13DF" w:rsidRDefault="00A167F2" w:rsidP="00A167F2">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6A3E9DAD" w14:textId="77777777" w:rsidR="00A167F2" w:rsidRPr="006C13DF" w:rsidRDefault="00A167F2" w:rsidP="00A167F2">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АГЕНЦИЯ ЗА СОЦИАЛНО ПОДПОМАГАНЕ</w:t>
      </w:r>
    </w:p>
    <w:p w14:paraId="7F33E1E4" w14:textId="77777777" w:rsidR="00A167F2" w:rsidRPr="006C13DF" w:rsidRDefault="00A167F2" w:rsidP="00A167F2">
      <w:pPr>
        <w:pStyle w:val="ListParagraph"/>
        <w:spacing w:after="0" w:line="240" w:lineRule="auto"/>
        <w:ind w:left="0"/>
        <w:jc w:val="center"/>
        <w:rPr>
          <w:rFonts w:ascii="Times New Roman" w:hAnsi="Times New Roman" w:cs="Times New Roman"/>
          <w:b/>
        </w:rPr>
      </w:pPr>
    </w:p>
    <w:p w14:paraId="046DE530" w14:textId="77777777" w:rsidR="006E5C93" w:rsidRPr="006C13DF" w:rsidRDefault="00447907" w:rsidP="00E91E47">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lang w:val="ru-RU"/>
        </w:rPr>
        <w:t xml:space="preserve">3.2.1. </w:t>
      </w:r>
      <w:proofErr w:type="spellStart"/>
      <w:r w:rsidRPr="006C13DF">
        <w:rPr>
          <w:rFonts w:ascii="Times New Roman" w:hAnsi="Times New Roman" w:cs="Times New Roman"/>
          <w:b/>
          <w:sz w:val="24"/>
          <w:szCs w:val="24"/>
          <w:lang w:val="ru-RU"/>
        </w:rPr>
        <w:t>Осигуряване</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месечна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социална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подкрепа</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възрастни</w:t>
      </w:r>
      <w:proofErr w:type="spellEnd"/>
      <w:r w:rsidRPr="006C13DF">
        <w:rPr>
          <w:rFonts w:ascii="Times New Roman" w:hAnsi="Times New Roman" w:cs="Times New Roman"/>
          <w:b/>
          <w:sz w:val="24"/>
          <w:szCs w:val="24"/>
          <w:lang w:val="ru-RU"/>
        </w:rPr>
        <w:t xml:space="preserve"> хора, </w:t>
      </w:r>
      <w:proofErr w:type="spellStart"/>
      <w:r w:rsidRPr="006C13DF">
        <w:rPr>
          <w:rFonts w:ascii="Times New Roman" w:hAnsi="Times New Roman" w:cs="Times New Roman"/>
          <w:b/>
          <w:sz w:val="24"/>
          <w:szCs w:val="24"/>
          <w:lang w:val="ru-RU"/>
        </w:rPr>
        <w:t>които</w:t>
      </w:r>
      <w:proofErr w:type="spellEnd"/>
      <w:r w:rsidRPr="006C13DF">
        <w:rPr>
          <w:rFonts w:ascii="Times New Roman" w:hAnsi="Times New Roman" w:cs="Times New Roman"/>
          <w:b/>
          <w:sz w:val="24"/>
          <w:szCs w:val="24"/>
          <w:lang w:val="ru-RU"/>
        </w:rPr>
        <w:t xml:space="preserve"> без </w:t>
      </w:r>
      <w:proofErr w:type="spellStart"/>
      <w:r w:rsidRPr="006C13DF">
        <w:rPr>
          <w:rFonts w:ascii="Times New Roman" w:hAnsi="Times New Roman" w:cs="Times New Roman"/>
          <w:b/>
          <w:sz w:val="24"/>
          <w:szCs w:val="24"/>
          <w:lang w:val="ru-RU"/>
        </w:rPr>
        <w:t>помощта</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другиго</w:t>
      </w:r>
      <w:proofErr w:type="spellEnd"/>
      <w:r w:rsidRPr="006C13DF">
        <w:rPr>
          <w:rFonts w:ascii="Times New Roman" w:hAnsi="Times New Roman" w:cs="Times New Roman"/>
          <w:b/>
          <w:sz w:val="24"/>
          <w:szCs w:val="24"/>
          <w:lang w:val="ru-RU"/>
        </w:rPr>
        <w:t xml:space="preserve"> не </w:t>
      </w:r>
      <w:proofErr w:type="spellStart"/>
      <w:r w:rsidRPr="006C13DF">
        <w:rPr>
          <w:rFonts w:ascii="Times New Roman" w:hAnsi="Times New Roman" w:cs="Times New Roman"/>
          <w:b/>
          <w:sz w:val="24"/>
          <w:szCs w:val="24"/>
          <w:lang w:val="ru-RU"/>
        </w:rPr>
        <w:t>могат</w:t>
      </w:r>
      <w:proofErr w:type="spellEnd"/>
      <w:r w:rsidRPr="006C13DF">
        <w:rPr>
          <w:rFonts w:ascii="Times New Roman" w:hAnsi="Times New Roman" w:cs="Times New Roman"/>
          <w:b/>
          <w:sz w:val="24"/>
          <w:szCs w:val="24"/>
          <w:lang w:val="ru-RU"/>
        </w:rPr>
        <w:t xml:space="preserve"> да </w:t>
      </w:r>
      <w:proofErr w:type="spellStart"/>
      <w:r w:rsidRPr="006C13DF">
        <w:rPr>
          <w:rFonts w:ascii="Times New Roman" w:hAnsi="Times New Roman" w:cs="Times New Roman"/>
          <w:b/>
          <w:sz w:val="24"/>
          <w:szCs w:val="24"/>
          <w:lang w:val="ru-RU"/>
        </w:rPr>
        <w:t>задоволяват</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своите</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основни</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жизнени</w:t>
      </w:r>
      <w:proofErr w:type="spellEnd"/>
      <w:r w:rsidRPr="006C13DF">
        <w:rPr>
          <w:rFonts w:ascii="Times New Roman" w:hAnsi="Times New Roman" w:cs="Times New Roman"/>
          <w:b/>
          <w:sz w:val="24"/>
          <w:szCs w:val="24"/>
          <w:lang w:val="ru-RU"/>
        </w:rPr>
        <w:t xml:space="preserve"> потребности чрез </w:t>
      </w:r>
      <w:proofErr w:type="spellStart"/>
      <w:r w:rsidRPr="006C13DF">
        <w:rPr>
          <w:rFonts w:ascii="Times New Roman" w:hAnsi="Times New Roman" w:cs="Times New Roman"/>
          <w:b/>
          <w:sz w:val="24"/>
          <w:szCs w:val="24"/>
          <w:lang w:val="ru-RU"/>
        </w:rPr>
        <w:t>предоставянето</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месечна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социална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помощ</w:t>
      </w:r>
      <w:proofErr w:type="spellEnd"/>
    </w:p>
    <w:p w14:paraId="06FE1192" w14:textId="77777777" w:rsidR="00747177" w:rsidRPr="006C13DF" w:rsidRDefault="00747177" w:rsidP="00E91E47">
      <w:pPr>
        <w:spacing w:after="0" w:line="240" w:lineRule="auto"/>
        <w:ind w:firstLine="709"/>
        <w:jc w:val="both"/>
        <w:rPr>
          <w:rFonts w:ascii="Times New Roman" w:hAnsi="Times New Roman" w:cs="Times New Roman"/>
          <w:sz w:val="24"/>
          <w:szCs w:val="24"/>
        </w:rPr>
      </w:pPr>
    </w:p>
    <w:p w14:paraId="5BF4CB2E" w14:textId="77777777" w:rsidR="00A167F2" w:rsidRPr="006C13DF" w:rsidRDefault="00A167F2"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В съответствие с разпоредбата на чл. 9 от ППЗСП, право на месечна помощ имат лица или семейства, чийто доход за предходния месец е по-нисък от определен диференциран доход и отговарят на условията посочени в чл. 10 и чл. 11 от ППЗСП. </w:t>
      </w:r>
    </w:p>
    <w:p w14:paraId="592385F1" w14:textId="77777777" w:rsidR="00A167F2" w:rsidRPr="006C13DF" w:rsidRDefault="00A167F2"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Диференцираният доход се определя от основата за подпомагане, чийто месечен размер е 30 процента от линията на бедност за съответната година, коригирана със съответния процент за групата, към която принадлежи лицето.</w:t>
      </w:r>
    </w:p>
    <w:p w14:paraId="42D64D69" w14:textId="77777777" w:rsidR="00A167F2" w:rsidRPr="006C13DF" w:rsidRDefault="00A167F2"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С обнародваното в Държавен вестник</w:t>
      </w:r>
      <w:r w:rsidR="00A9795C">
        <w:rPr>
          <w:rFonts w:ascii="Times New Roman" w:hAnsi="Times New Roman" w:cs="Times New Roman"/>
          <w:sz w:val="24"/>
          <w:szCs w:val="24"/>
        </w:rPr>
        <w:t>,</w:t>
      </w:r>
      <w:r w:rsidRPr="006C13DF">
        <w:rPr>
          <w:rFonts w:ascii="Times New Roman" w:hAnsi="Times New Roman" w:cs="Times New Roman"/>
          <w:sz w:val="24"/>
          <w:szCs w:val="24"/>
        </w:rPr>
        <w:t xml:space="preserve"> бр. 44 от 19.05.2023 г. Постановление на Министерски съвет (ПМС) № 74 от 15.05.2023 г. за изменение и допълнение на ППЗСП, в сила от 01.06.2023 г., се гарантира прилагането на извършените в ЗСП изменения и допълнения. След промените </w:t>
      </w:r>
      <w:r w:rsidRPr="006C13DF">
        <w:rPr>
          <w:rFonts w:ascii="Times New Roman" w:hAnsi="Times New Roman" w:cs="Times New Roman"/>
          <w:b/>
          <w:sz w:val="24"/>
          <w:szCs w:val="24"/>
        </w:rPr>
        <w:t>размерът на социалните помощи се определя в зависимост от линията на бедност в страната</w:t>
      </w:r>
      <w:r w:rsidRPr="006C13DF">
        <w:rPr>
          <w:rFonts w:ascii="Times New Roman" w:hAnsi="Times New Roman" w:cs="Times New Roman"/>
          <w:sz w:val="24"/>
          <w:szCs w:val="24"/>
        </w:rPr>
        <w:t xml:space="preserve"> и не е обвързан с гарантирания минимален доход. Регламентирани са нови целеви групи за подпомагане с месечни помощи по чл. 9 и нов ред за определяне на диференцирания минимален доход. </w:t>
      </w:r>
    </w:p>
    <w:p w14:paraId="32648D56" w14:textId="77777777" w:rsidR="00A167F2" w:rsidRPr="006C13DF" w:rsidRDefault="00A167F2" w:rsidP="00A167F2">
      <w:pPr>
        <w:spacing w:after="0" w:line="240" w:lineRule="auto"/>
        <w:jc w:val="both"/>
        <w:rPr>
          <w:rFonts w:ascii="Times New Roman" w:hAnsi="Times New Roman" w:cs="Times New Roman"/>
          <w:i/>
          <w:sz w:val="24"/>
          <w:szCs w:val="24"/>
        </w:rPr>
      </w:pPr>
      <w:r w:rsidRPr="006C13DF">
        <w:rPr>
          <w:rFonts w:ascii="Times New Roman" w:hAnsi="Times New Roman" w:cs="Times New Roman"/>
          <w:sz w:val="24"/>
          <w:szCs w:val="24"/>
        </w:rPr>
        <w:tab/>
        <w:t xml:space="preserve">Значително са облекчени и условията за достъп до месечни социални помощи, като отпаднаха ограниченията касаещи размера на жилището, в което живее заявителят. Отпадна ограничението по отношение на лицата, регистрирани като еднолични </w:t>
      </w:r>
      <w:r w:rsidRPr="006C13DF">
        <w:rPr>
          <w:rFonts w:ascii="Times New Roman" w:hAnsi="Times New Roman" w:cs="Times New Roman"/>
          <w:sz w:val="24"/>
          <w:szCs w:val="24"/>
        </w:rPr>
        <w:lastRenderedPageBreak/>
        <w:t>търговци. Намален е срокът, в който лицата не трябва да са извършвали прехвърляне чрез договор за дарение или заплащане на недвижим имот от 5 г. на 2 г.</w:t>
      </w:r>
    </w:p>
    <w:p w14:paraId="568EEE10" w14:textId="77777777" w:rsidR="00A167F2" w:rsidRPr="006C13DF" w:rsidRDefault="00A167F2"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През 2023 г. месечна социална помощ по реда на чл. 9 от ППЗСП е предоставена на </w:t>
      </w:r>
      <w:r w:rsidRPr="006C13DF">
        <w:rPr>
          <w:rFonts w:ascii="Times New Roman" w:hAnsi="Times New Roman" w:cs="Times New Roman"/>
          <w:b/>
          <w:sz w:val="24"/>
          <w:szCs w:val="24"/>
        </w:rPr>
        <w:t>972</w:t>
      </w:r>
      <w:r w:rsidRPr="006C13DF">
        <w:rPr>
          <w:rFonts w:ascii="Times New Roman" w:hAnsi="Times New Roman" w:cs="Times New Roman"/>
          <w:b/>
          <w:sz w:val="24"/>
          <w:szCs w:val="24"/>
          <w:lang w:val="en-US"/>
        </w:rPr>
        <w:t xml:space="preserve"> </w:t>
      </w:r>
      <w:r w:rsidRPr="006C13DF">
        <w:rPr>
          <w:rFonts w:ascii="Times New Roman" w:hAnsi="Times New Roman" w:cs="Times New Roman"/>
          <w:b/>
          <w:sz w:val="24"/>
          <w:szCs w:val="24"/>
        </w:rPr>
        <w:t>лица</w:t>
      </w:r>
      <w:r w:rsidRPr="006C13DF">
        <w:rPr>
          <w:rFonts w:ascii="Times New Roman" w:hAnsi="Times New Roman" w:cs="Times New Roman"/>
          <w:sz w:val="24"/>
          <w:szCs w:val="24"/>
        </w:rPr>
        <w:t xml:space="preserve"> в </w:t>
      </w:r>
      <w:proofErr w:type="spellStart"/>
      <w:r w:rsidRPr="006C13DF">
        <w:rPr>
          <w:rFonts w:ascii="Times New Roman" w:hAnsi="Times New Roman" w:cs="Times New Roman"/>
          <w:sz w:val="24"/>
          <w:szCs w:val="24"/>
        </w:rPr>
        <w:t>надтрудоспособна</w:t>
      </w:r>
      <w:proofErr w:type="spellEnd"/>
      <w:r w:rsidRPr="006C13DF">
        <w:rPr>
          <w:rFonts w:ascii="Times New Roman" w:hAnsi="Times New Roman" w:cs="Times New Roman"/>
          <w:sz w:val="24"/>
          <w:szCs w:val="24"/>
        </w:rPr>
        <w:t xml:space="preserve"> възраст. </w:t>
      </w:r>
    </w:p>
    <w:p w14:paraId="444FC324" w14:textId="77777777" w:rsidR="00A167F2" w:rsidRPr="006C13DF" w:rsidRDefault="00A167F2"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През 2024 г. месечна социална помощ по реда на чл. 9 от ППЗСП е предоставена на </w:t>
      </w:r>
      <w:r w:rsidRPr="006C13DF">
        <w:rPr>
          <w:rFonts w:ascii="Times New Roman" w:hAnsi="Times New Roman" w:cs="Times New Roman"/>
          <w:b/>
          <w:sz w:val="24"/>
          <w:szCs w:val="24"/>
        </w:rPr>
        <w:t>605</w:t>
      </w:r>
      <w:r w:rsidRPr="006C13DF">
        <w:rPr>
          <w:rFonts w:ascii="Times New Roman" w:hAnsi="Times New Roman" w:cs="Times New Roman"/>
          <w:b/>
          <w:sz w:val="24"/>
          <w:szCs w:val="24"/>
          <w:lang w:val="en-US"/>
        </w:rPr>
        <w:t xml:space="preserve"> </w:t>
      </w:r>
      <w:r w:rsidRPr="006C13DF">
        <w:rPr>
          <w:rFonts w:ascii="Times New Roman" w:hAnsi="Times New Roman" w:cs="Times New Roman"/>
          <w:b/>
          <w:sz w:val="24"/>
          <w:szCs w:val="24"/>
        </w:rPr>
        <w:t>лица</w:t>
      </w:r>
      <w:r w:rsidRPr="006C13DF">
        <w:rPr>
          <w:rFonts w:ascii="Times New Roman" w:hAnsi="Times New Roman" w:cs="Times New Roman"/>
          <w:sz w:val="24"/>
          <w:szCs w:val="24"/>
        </w:rPr>
        <w:t xml:space="preserve"> в </w:t>
      </w:r>
      <w:proofErr w:type="spellStart"/>
      <w:r w:rsidRPr="006C13DF">
        <w:rPr>
          <w:rFonts w:ascii="Times New Roman" w:hAnsi="Times New Roman" w:cs="Times New Roman"/>
          <w:sz w:val="24"/>
          <w:szCs w:val="24"/>
        </w:rPr>
        <w:t>надтрудоспособна</w:t>
      </w:r>
      <w:proofErr w:type="spellEnd"/>
      <w:r w:rsidRPr="006C13DF">
        <w:rPr>
          <w:rFonts w:ascii="Times New Roman" w:hAnsi="Times New Roman" w:cs="Times New Roman"/>
          <w:sz w:val="24"/>
          <w:szCs w:val="24"/>
        </w:rPr>
        <w:t xml:space="preserve"> възраст.</w:t>
      </w:r>
    </w:p>
    <w:p w14:paraId="42FE0210" w14:textId="77777777" w:rsidR="00A167F2" w:rsidRPr="006C13DF" w:rsidRDefault="00A167F2" w:rsidP="00A167F2">
      <w:pPr>
        <w:spacing w:after="0" w:line="240" w:lineRule="auto"/>
        <w:jc w:val="both"/>
        <w:rPr>
          <w:rFonts w:ascii="Times New Roman" w:hAnsi="Times New Roman" w:cs="Times New Roman"/>
          <w:sz w:val="24"/>
          <w:szCs w:val="24"/>
        </w:rPr>
      </w:pPr>
    </w:p>
    <w:p w14:paraId="25A1EC51" w14:textId="77777777" w:rsidR="00A167F2" w:rsidRPr="006C13DF" w:rsidRDefault="00A167F2" w:rsidP="00A167F2">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4FF3A45C" w14:textId="77777777" w:rsidR="00A167F2" w:rsidRPr="006C13DF" w:rsidRDefault="00A167F2" w:rsidP="00A167F2">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АГЕНЦИЯ ЗА СОЦИАЛНО ПОДПОМАГАНЕ</w:t>
      </w:r>
    </w:p>
    <w:p w14:paraId="50F53B75" w14:textId="77777777" w:rsidR="00A167F2" w:rsidRPr="006C13DF" w:rsidRDefault="00A167F2" w:rsidP="00A167F2">
      <w:pPr>
        <w:spacing w:after="0" w:line="240" w:lineRule="auto"/>
        <w:jc w:val="both"/>
        <w:rPr>
          <w:rFonts w:ascii="Times New Roman" w:hAnsi="Times New Roman" w:cs="Times New Roman"/>
          <w:sz w:val="24"/>
          <w:szCs w:val="24"/>
        </w:rPr>
      </w:pPr>
    </w:p>
    <w:p w14:paraId="6AF6CFC4" w14:textId="77777777" w:rsidR="006E5C93" w:rsidRPr="006C13DF" w:rsidRDefault="00447907" w:rsidP="00E91E47">
      <w:pPr>
        <w:pStyle w:val="ListParagraph"/>
        <w:spacing w:after="0" w:line="240" w:lineRule="auto"/>
        <w:ind w:left="0"/>
        <w:jc w:val="both"/>
        <w:rPr>
          <w:rFonts w:ascii="Times New Roman" w:hAnsi="Times New Roman" w:cs="Times New Roman"/>
          <w:b/>
          <w:sz w:val="24"/>
          <w:szCs w:val="24"/>
          <w:lang w:val="ru-RU"/>
        </w:rPr>
      </w:pPr>
      <w:r w:rsidRPr="006C13DF">
        <w:rPr>
          <w:rFonts w:ascii="Times New Roman" w:hAnsi="Times New Roman" w:cs="Times New Roman"/>
          <w:b/>
          <w:sz w:val="24"/>
          <w:szCs w:val="24"/>
          <w:lang w:val="ru-RU"/>
        </w:rPr>
        <w:t xml:space="preserve">3.2.2. </w:t>
      </w:r>
      <w:proofErr w:type="spellStart"/>
      <w:r w:rsidRPr="006C13DF">
        <w:rPr>
          <w:rFonts w:ascii="Times New Roman" w:hAnsi="Times New Roman" w:cs="Times New Roman"/>
          <w:b/>
          <w:sz w:val="24"/>
          <w:szCs w:val="24"/>
          <w:lang w:val="ru-RU"/>
        </w:rPr>
        <w:t>Осигуряване</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целева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социална</w:t>
      </w:r>
      <w:proofErr w:type="spellEnd"/>
      <w:r w:rsidRPr="006C13DF">
        <w:rPr>
          <w:rFonts w:ascii="Times New Roman" w:hAnsi="Times New Roman" w:cs="Times New Roman"/>
          <w:b/>
          <w:sz w:val="24"/>
          <w:szCs w:val="24"/>
          <w:lang w:val="ru-RU"/>
        </w:rPr>
        <w:t xml:space="preserve"> защита </w:t>
      </w:r>
      <w:proofErr w:type="spellStart"/>
      <w:r w:rsidRPr="006C13DF">
        <w:rPr>
          <w:rFonts w:ascii="Times New Roman" w:hAnsi="Times New Roman" w:cs="Times New Roman"/>
          <w:b/>
          <w:sz w:val="24"/>
          <w:szCs w:val="24"/>
          <w:lang w:val="ru-RU"/>
        </w:rPr>
        <w:t>през</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отоплителния</w:t>
      </w:r>
      <w:proofErr w:type="spellEnd"/>
      <w:r w:rsidRPr="006C13DF">
        <w:rPr>
          <w:rFonts w:ascii="Times New Roman" w:hAnsi="Times New Roman" w:cs="Times New Roman"/>
          <w:b/>
          <w:sz w:val="24"/>
          <w:szCs w:val="24"/>
          <w:lang w:val="ru-RU"/>
        </w:rPr>
        <w:t xml:space="preserve"> сезон на </w:t>
      </w:r>
      <w:proofErr w:type="spellStart"/>
      <w:r w:rsidRPr="006C13DF">
        <w:rPr>
          <w:rFonts w:ascii="Times New Roman" w:hAnsi="Times New Roman" w:cs="Times New Roman"/>
          <w:b/>
          <w:sz w:val="24"/>
          <w:szCs w:val="24"/>
          <w:lang w:val="ru-RU"/>
        </w:rPr>
        <w:t>възрастни</w:t>
      </w:r>
      <w:proofErr w:type="spellEnd"/>
      <w:r w:rsidRPr="006C13DF">
        <w:rPr>
          <w:rFonts w:ascii="Times New Roman" w:hAnsi="Times New Roman" w:cs="Times New Roman"/>
          <w:b/>
          <w:sz w:val="24"/>
          <w:szCs w:val="24"/>
          <w:lang w:val="ru-RU"/>
        </w:rPr>
        <w:t xml:space="preserve"> хора с </w:t>
      </w:r>
      <w:proofErr w:type="spellStart"/>
      <w:r w:rsidRPr="006C13DF">
        <w:rPr>
          <w:rFonts w:ascii="Times New Roman" w:hAnsi="Times New Roman" w:cs="Times New Roman"/>
          <w:b/>
          <w:sz w:val="24"/>
          <w:szCs w:val="24"/>
          <w:lang w:val="ru-RU"/>
        </w:rPr>
        <w:t>ниски</w:t>
      </w:r>
      <w:proofErr w:type="spellEnd"/>
      <w:r w:rsidRPr="006C13DF">
        <w:rPr>
          <w:rFonts w:ascii="Times New Roman" w:hAnsi="Times New Roman" w:cs="Times New Roman"/>
          <w:b/>
          <w:sz w:val="24"/>
          <w:szCs w:val="24"/>
          <w:lang w:val="ru-RU"/>
        </w:rPr>
        <w:t xml:space="preserve"> доходи, чрез </w:t>
      </w:r>
      <w:proofErr w:type="spellStart"/>
      <w:r w:rsidRPr="006C13DF">
        <w:rPr>
          <w:rFonts w:ascii="Times New Roman" w:hAnsi="Times New Roman" w:cs="Times New Roman"/>
          <w:b/>
          <w:sz w:val="24"/>
          <w:szCs w:val="24"/>
          <w:lang w:val="ru-RU"/>
        </w:rPr>
        <w:t>предоставянето</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целеви</w:t>
      </w:r>
      <w:proofErr w:type="spellEnd"/>
      <w:r w:rsidRPr="006C13DF">
        <w:rPr>
          <w:rFonts w:ascii="Times New Roman" w:hAnsi="Times New Roman" w:cs="Times New Roman"/>
          <w:b/>
          <w:sz w:val="24"/>
          <w:szCs w:val="24"/>
          <w:lang w:val="ru-RU"/>
        </w:rPr>
        <w:t xml:space="preserve"> помощи за отопление</w:t>
      </w:r>
    </w:p>
    <w:p w14:paraId="198D915C" w14:textId="77777777" w:rsidR="00A167F2" w:rsidRPr="006C13DF" w:rsidRDefault="00A167F2" w:rsidP="00A167F2">
      <w:pPr>
        <w:spacing w:after="0" w:line="240" w:lineRule="auto"/>
        <w:jc w:val="both"/>
        <w:rPr>
          <w:rFonts w:ascii="Times New Roman" w:hAnsi="Times New Roman" w:cs="Times New Roman"/>
          <w:sz w:val="24"/>
          <w:szCs w:val="24"/>
        </w:rPr>
      </w:pPr>
    </w:p>
    <w:p w14:paraId="670E3356" w14:textId="77777777" w:rsidR="00A167F2" w:rsidRPr="006C13DF" w:rsidRDefault="00A167F2"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Условията и редът за предоставяне на целева помощ за отопление са регламентирани в Наредба № РД-07-5 от 16.05.2008 г. на министъра на труда и социалната политика (Наредбата).</w:t>
      </w:r>
    </w:p>
    <w:p w14:paraId="26D45DEF" w14:textId="77777777" w:rsidR="00A167F2" w:rsidRPr="006C13DF" w:rsidRDefault="00A167F2"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 xml:space="preserve">В съответствие с разпоредбата на чл. 2, ал. 1 от Наредбата, право на целева помощ за отопление имат лица и семейства, чийто средномесечен доход получен през предходните 6 месеца, преди месеца на подаване на заявлението-декларация, е по-нисък или равен от индивидуално определен диференциран доход за отопление (ДДО). ДДО се определя от основата за подпомагане, чийто месечен размер е 30 процента от линията на бедност за съответната година, коригирана със съответния процент за групата, към която принадлежи всеки член на семейството. </w:t>
      </w:r>
    </w:p>
    <w:p w14:paraId="3C245EAF" w14:textId="77777777" w:rsidR="00A167F2" w:rsidRPr="006C13DF" w:rsidRDefault="00BE4B15"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A167F2" w:rsidRPr="006C13DF">
        <w:rPr>
          <w:rFonts w:ascii="Times New Roman" w:hAnsi="Times New Roman" w:cs="Times New Roman"/>
          <w:sz w:val="24"/>
          <w:szCs w:val="24"/>
        </w:rPr>
        <w:t>При определяне на правото за отпускане на целева помощ за отопление за всеки нов отоплителен сезон, размерът на получаваната пенсия, отпусната по реда на Кодекса за социално осигуряване, се намал</w:t>
      </w:r>
      <w:r w:rsidRPr="006C13DF">
        <w:rPr>
          <w:rFonts w:ascii="Times New Roman" w:hAnsi="Times New Roman" w:cs="Times New Roman"/>
          <w:sz w:val="24"/>
          <w:szCs w:val="24"/>
        </w:rPr>
        <w:t>ява с определен със заповед на м</w:t>
      </w:r>
      <w:r w:rsidR="00A167F2" w:rsidRPr="006C13DF">
        <w:rPr>
          <w:rFonts w:ascii="Times New Roman" w:hAnsi="Times New Roman" w:cs="Times New Roman"/>
          <w:sz w:val="24"/>
          <w:szCs w:val="24"/>
        </w:rPr>
        <w:t xml:space="preserve">инистъра на труда и социалната политика корекционен коефициент. </w:t>
      </w:r>
    </w:p>
    <w:p w14:paraId="5A5136A4" w14:textId="77777777" w:rsidR="00A167F2" w:rsidRPr="006C13DF" w:rsidRDefault="00BE4B15"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A167F2" w:rsidRPr="006C13DF">
        <w:rPr>
          <w:rFonts w:ascii="Times New Roman" w:hAnsi="Times New Roman" w:cs="Times New Roman"/>
          <w:sz w:val="24"/>
          <w:szCs w:val="24"/>
        </w:rPr>
        <w:t xml:space="preserve">Освен на доходния критерий, лицата и семействата, кандидатстващи за отпускане на целева помощ за отопление следва да отговарят и на условията, регламентирани в чл. 10 и чл. 11 от ППЗСП. </w:t>
      </w:r>
    </w:p>
    <w:p w14:paraId="78AA0DF6" w14:textId="77777777" w:rsidR="00A167F2" w:rsidRPr="006C13DF" w:rsidRDefault="00BE4B15"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A167F2" w:rsidRPr="006C13DF">
        <w:rPr>
          <w:rFonts w:ascii="Times New Roman" w:hAnsi="Times New Roman" w:cs="Times New Roman"/>
          <w:sz w:val="24"/>
          <w:szCs w:val="24"/>
        </w:rPr>
        <w:t xml:space="preserve">В Държавен вестник бр. 50 от 09.06.2023 г. е обнародвана Наредба за изменение и допълнение на Наредба № РД-07-5 от 16.05.2008 г., с която: </w:t>
      </w:r>
    </w:p>
    <w:p w14:paraId="2EE69526" w14:textId="77777777" w:rsidR="00A167F2" w:rsidRPr="006C13DF" w:rsidRDefault="00A167F2" w:rsidP="00554703">
      <w:pPr>
        <w:pStyle w:val="ListParagraph"/>
        <w:numPr>
          <w:ilvl w:val="0"/>
          <w:numId w:val="27"/>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Се отменя понятието Базов доход за отопление и в синхрон с промените в ЗСП и ППЗСП отпускането на целева помощ за отопление се</w:t>
      </w:r>
      <w:r w:rsidR="00BE4B15" w:rsidRPr="006C13DF">
        <w:rPr>
          <w:rFonts w:ascii="Times New Roman" w:hAnsi="Times New Roman" w:cs="Times New Roman"/>
          <w:sz w:val="24"/>
          <w:szCs w:val="24"/>
        </w:rPr>
        <w:t xml:space="preserve"> обвързва с линията на бедност;</w:t>
      </w:r>
    </w:p>
    <w:p w14:paraId="5EF4932B" w14:textId="77777777" w:rsidR="00A167F2" w:rsidRPr="006C13DF" w:rsidRDefault="00A167F2" w:rsidP="00554703">
      <w:pPr>
        <w:pStyle w:val="ListParagraph"/>
        <w:numPr>
          <w:ilvl w:val="0"/>
          <w:numId w:val="27"/>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Диференцираният доход за отопление се определя от основата за подпомагане, чийто месечен размер е 30% от линията за бедност за съответната година, коригирана със съответния процент за групата, към която принадлежи лицето. </w:t>
      </w:r>
    </w:p>
    <w:p w14:paraId="67BEB395" w14:textId="77777777" w:rsidR="00A167F2" w:rsidRPr="006C13DF" w:rsidRDefault="00BE4B15"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A167F2" w:rsidRPr="006C13DF">
        <w:rPr>
          <w:rFonts w:ascii="Times New Roman" w:hAnsi="Times New Roman" w:cs="Times New Roman"/>
          <w:sz w:val="24"/>
          <w:szCs w:val="24"/>
        </w:rPr>
        <w:t xml:space="preserve">През 2023 г. </w:t>
      </w:r>
      <w:r w:rsidR="00A167F2" w:rsidRPr="006C13DF">
        <w:rPr>
          <w:rFonts w:ascii="Times New Roman" w:hAnsi="Times New Roman" w:cs="Times New Roman"/>
          <w:b/>
          <w:sz w:val="24"/>
          <w:szCs w:val="24"/>
        </w:rPr>
        <w:t>целева помощ е предоставена на 324</w:t>
      </w:r>
      <w:r w:rsidRPr="006C13DF">
        <w:rPr>
          <w:rFonts w:ascii="Times New Roman" w:hAnsi="Times New Roman" w:cs="Times New Roman"/>
          <w:b/>
          <w:sz w:val="24"/>
          <w:szCs w:val="24"/>
        </w:rPr>
        <w:t> </w:t>
      </w:r>
      <w:r w:rsidR="00A167F2" w:rsidRPr="006C13DF">
        <w:rPr>
          <w:rFonts w:ascii="Times New Roman" w:hAnsi="Times New Roman" w:cs="Times New Roman"/>
          <w:b/>
          <w:sz w:val="24"/>
          <w:szCs w:val="24"/>
        </w:rPr>
        <w:t>674</w:t>
      </w:r>
      <w:r w:rsidRPr="006C13DF">
        <w:rPr>
          <w:rFonts w:ascii="Times New Roman" w:hAnsi="Times New Roman" w:cs="Times New Roman"/>
          <w:b/>
          <w:sz w:val="24"/>
          <w:szCs w:val="24"/>
        </w:rPr>
        <w:t xml:space="preserve"> </w:t>
      </w:r>
      <w:r w:rsidR="00A167F2" w:rsidRPr="006C13DF">
        <w:rPr>
          <w:rFonts w:ascii="Times New Roman" w:hAnsi="Times New Roman" w:cs="Times New Roman"/>
          <w:b/>
          <w:sz w:val="24"/>
          <w:szCs w:val="24"/>
        </w:rPr>
        <w:t>възрастни лица и семейства</w:t>
      </w:r>
      <w:r w:rsidR="00A167F2" w:rsidRPr="006C13DF">
        <w:rPr>
          <w:rFonts w:ascii="Times New Roman" w:hAnsi="Times New Roman" w:cs="Times New Roman"/>
          <w:sz w:val="24"/>
          <w:szCs w:val="24"/>
        </w:rPr>
        <w:t xml:space="preserve"> за отоплителен сезон 2023/2024 г.</w:t>
      </w:r>
    </w:p>
    <w:p w14:paraId="19FC489A" w14:textId="77777777" w:rsidR="00A167F2" w:rsidRPr="006C13DF" w:rsidRDefault="00BE4B15" w:rsidP="00A167F2">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През 2024 г.</w:t>
      </w:r>
      <w:r w:rsidR="00A167F2" w:rsidRPr="006C13DF">
        <w:rPr>
          <w:rFonts w:ascii="Times New Roman" w:hAnsi="Times New Roman" w:cs="Times New Roman"/>
          <w:sz w:val="24"/>
          <w:szCs w:val="24"/>
        </w:rPr>
        <w:t xml:space="preserve"> целева помощ за отопление за отоплителен сезон 2024/2025 г. са подпомогнати </w:t>
      </w:r>
      <w:r w:rsidR="00A167F2" w:rsidRPr="006C13DF">
        <w:rPr>
          <w:rFonts w:ascii="Times New Roman" w:hAnsi="Times New Roman" w:cs="Times New Roman"/>
          <w:b/>
          <w:sz w:val="24"/>
          <w:szCs w:val="24"/>
        </w:rPr>
        <w:t>339</w:t>
      </w:r>
      <w:r w:rsidRPr="006C13DF">
        <w:rPr>
          <w:rFonts w:ascii="Times New Roman" w:hAnsi="Times New Roman" w:cs="Times New Roman"/>
          <w:b/>
          <w:sz w:val="24"/>
          <w:szCs w:val="24"/>
        </w:rPr>
        <w:t> </w:t>
      </w:r>
      <w:r w:rsidR="00A167F2" w:rsidRPr="006C13DF">
        <w:rPr>
          <w:rFonts w:ascii="Times New Roman" w:hAnsi="Times New Roman" w:cs="Times New Roman"/>
          <w:b/>
          <w:sz w:val="24"/>
          <w:szCs w:val="24"/>
        </w:rPr>
        <w:t>761</w:t>
      </w:r>
      <w:r w:rsidRPr="006C13DF">
        <w:rPr>
          <w:rFonts w:ascii="Times New Roman" w:hAnsi="Times New Roman" w:cs="Times New Roman"/>
          <w:b/>
          <w:sz w:val="24"/>
          <w:szCs w:val="24"/>
        </w:rPr>
        <w:t xml:space="preserve"> </w:t>
      </w:r>
      <w:r w:rsidR="00A167F2" w:rsidRPr="006C13DF">
        <w:rPr>
          <w:rFonts w:ascii="Times New Roman" w:hAnsi="Times New Roman" w:cs="Times New Roman"/>
          <w:b/>
          <w:sz w:val="24"/>
          <w:szCs w:val="24"/>
        </w:rPr>
        <w:t>възрастни лица и семейства</w:t>
      </w:r>
      <w:r w:rsidR="00A167F2" w:rsidRPr="006C13DF">
        <w:rPr>
          <w:rFonts w:ascii="Times New Roman" w:hAnsi="Times New Roman" w:cs="Times New Roman"/>
          <w:sz w:val="24"/>
          <w:szCs w:val="24"/>
        </w:rPr>
        <w:t>.</w:t>
      </w:r>
    </w:p>
    <w:p w14:paraId="7E79FDE1" w14:textId="77777777" w:rsidR="00A167F2" w:rsidRPr="006C13DF" w:rsidRDefault="00A167F2" w:rsidP="00A167F2">
      <w:pPr>
        <w:spacing w:after="0" w:line="240" w:lineRule="auto"/>
        <w:jc w:val="both"/>
        <w:rPr>
          <w:rFonts w:ascii="Times New Roman" w:hAnsi="Times New Roman" w:cs="Times New Roman"/>
          <w:sz w:val="24"/>
          <w:szCs w:val="24"/>
        </w:rPr>
      </w:pPr>
    </w:p>
    <w:p w14:paraId="290D9AF3" w14:textId="77777777" w:rsidR="00BE4B15" w:rsidRPr="006C13DF" w:rsidRDefault="00BE4B15" w:rsidP="00BE4B15">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09FE19A6" w14:textId="77777777" w:rsidR="00BE4B15" w:rsidRPr="006C13DF" w:rsidRDefault="00BE4B15" w:rsidP="00BE4B15">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АГЕНЦИЯ ЗА СОЦИАЛНО ПОДПОМАГАНЕ</w:t>
      </w:r>
    </w:p>
    <w:p w14:paraId="742A9FB6" w14:textId="77777777" w:rsidR="00A167F2" w:rsidRPr="006C13DF" w:rsidRDefault="00A167F2" w:rsidP="00A167F2">
      <w:pPr>
        <w:spacing w:after="0" w:line="240" w:lineRule="auto"/>
        <w:jc w:val="both"/>
        <w:rPr>
          <w:rFonts w:ascii="Times New Roman" w:hAnsi="Times New Roman" w:cs="Times New Roman"/>
          <w:sz w:val="24"/>
          <w:szCs w:val="24"/>
        </w:rPr>
      </w:pPr>
    </w:p>
    <w:p w14:paraId="223E01FB" w14:textId="77777777" w:rsidR="00BE4B15" w:rsidRPr="006C13DF" w:rsidRDefault="00BE4B15" w:rsidP="00BE4B15">
      <w:pPr>
        <w:pStyle w:val="ListParagraph"/>
        <w:spacing w:after="0" w:line="240" w:lineRule="auto"/>
        <w:ind w:left="0"/>
        <w:jc w:val="both"/>
        <w:rPr>
          <w:rFonts w:ascii="Times New Roman" w:hAnsi="Times New Roman" w:cs="Times New Roman"/>
          <w:b/>
          <w:sz w:val="24"/>
          <w:szCs w:val="24"/>
          <w:lang w:val="ru-RU"/>
        </w:rPr>
      </w:pPr>
      <w:r w:rsidRPr="006C13DF">
        <w:rPr>
          <w:rFonts w:ascii="Times New Roman" w:hAnsi="Times New Roman" w:cs="Times New Roman"/>
          <w:b/>
          <w:sz w:val="24"/>
          <w:szCs w:val="24"/>
          <w:lang w:val="ru-RU"/>
        </w:rPr>
        <w:t xml:space="preserve">3.2.2.1. </w:t>
      </w:r>
      <w:proofErr w:type="spellStart"/>
      <w:r w:rsidRPr="006C13DF">
        <w:rPr>
          <w:rFonts w:ascii="Times New Roman" w:hAnsi="Times New Roman" w:cs="Times New Roman"/>
          <w:b/>
          <w:sz w:val="24"/>
          <w:szCs w:val="24"/>
          <w:lang w:val="ru-RU"/>
        </w:rPr>
        <w:t>Осигуряване</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социална</w:t>
      </w:r>
      <w:proofErr w:type="spellEnd"/>
      <w:r w:rsidRPr="006C13DF">
        <w:rPr>
          <w:rFonts w:ascii="Times New Roman" w:hAnsi="Times New Roman" w:cs="Times New Roman"/>
          <w:b/>
          <w:sz w:val="24"/>
          <w:szCs w:val="24"/>
          <w:lang w:val="ru-RU"/>
        </w:rPr>
        <w:t xml:space="preserve"> защита чрез </w:t>
      </w:r>
      <w:proofErr w:type="spellStart"/>
      <w:r w:rsidRPr="006C13DF">
        <w:rPr>
          <w:rFonts w:ascii="Times New Roman" w:hAnsi="Times New Roman" w:cs="Times New Roman"/>
          <w:b/>
          <w:sz w:val="24"/>
          <w:szCs w:val="24"/>
          <w:lang w:val="ru-RU"/>
        </w:rPr>
        <w:t>месечна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целева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помощ</w:t>
      </w:r>
      <w:proofErr w:type="spellEnd"/>
      <w:r w:rsidRPr="006C13DF">
        <w:rPr>
          <w:rFonts w:ascii="Times New Roman" w:hAnsi="Times New Roman" w:cs="Times New Roman"/>
          <w:b/>
          <w:sz w:val="24"/>
          <w:szCs w:val="24"/>
          <w:lang w:val="ru-RU"/>
        </w:rPr>
        <w:t xml:space="preserve"> за на </w:t>
      </w:r>
      <w:proofErr w:type="spellStart"/>
      <w:r w:rsidRPr="006C13DF">
        <w:rPr>
          <w:rFonts w:ascii="Times New Roman" w:hAnsi="Times New Roman" w:cs="Times New Roman"/>
          <w:b/>
          <w:sz w:val="24"/>
          <w:szCs w:val="24"/>
          <w:lang w:val="ru-RU"/>
        </w:rPr>
        <w:t>общински</w:t>
      </w:r>
      <w:proofErr w:type="spellEnd"/>
      <w:r w:rsidRPr="006C13DF">
        <w:rPr>
          <w:rFonts w:ascii="Times New Roman" w:hAnsi="Times New Roman" w:cs="Times New Roman"/>
          <w:b/>
          <w:sz w:val="24"/>
          <w:szCs w:val="24"/>
          <w:lang w:val="ru-RU"/>
        </w:rPr>
        <w:t xml:space="preserve"> жилища за лица над 70-годишна </w:t>
      </w:r>
      <w:proofErr w:type="spellStart"/>
      <w:r w:rsidRPr="006C13DF">
        <w:rPr>
          <w:rFonts w:ascii="Times New Roman" w:hAnsi="Times New Roman" w:cs="Times New Roman"/>
          <w:b/>
          <w:sz w:val="24"/>
          <w:szCs w:val="24"/>
          <w:lang w:val="ru-RU"/>
        </w:rPr>
        <w:t>възраст</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живеещи</w:t>
      </w:r>
      <w:proofErr w:type="spellEnd"/>
      <w:r w:rsidRPr="006C13DF">
        <w:rPr>
          <w:rFonts w:ascii="Times New Roman" w:hAnsi="Times New Roman" w:cs="Times New Roman"/>
          <w:b/>
          <w:sz w:val="24"/>
          <w:szCs w:val="24"/>
          <w:lang w:val="ru-RU"/>
        </w:rPr>
        <w:t xml:space="preserve"> сами</w:t>
      </w:r>
    </w:p>
    <w:p w14:paraId="3FDEAD36" w14:textId="77777777" w:rsidR="00BE4B15" w:rsidRPr="006C13DF" w:rsidRDefault="00BE4B15" w:rsidP="00BE4B15">
      <w:pPr>
        <w:spacing w:after="0" w:line="240" w:lineRule="auto"/>
        <w:jc w:val="both"/>
        <w:rPr>
          <w:rFonts w:ascii="Times New Roman" w:eastAsiaTheme="minorEastAsia" w:hAnsi="Times New Roman" w:cs="Times New Roman"/>
          <w:sz w:val="20"/>
          <w:szCs w:val="20"/>
        </w:rPr>
      </w:pPr>
    </w:p>
    <w:p w14:paraId="5CA7BED7" w14:textId="77777777" w:rsidR="00BE4B15" w:rsidRPr="006C13DF" w:rsidRDefault="00BE4B15" w:rsidP="00BE4B15">
      <w:pPr>
        <w:spacing w:after="0" w:line="240" w:lineRule="auto"/>
        <w:jc w:val="both"/>
        <w:rPr>
          <w:rFonts w:ascii="Times New Roman" w:hAnsi="Times New Roman" w:cs="Times New Roman"/>
          <w:sz w:val="24"/>
          <w:szCs w:val="24"/>
        </w:rPr>
      </w:pPr>
      <w:r w:rsidRPr="006C13DF">
        <w:rPr>
          <w:rFonts w:ascii="Times New Roman" w:eastAsiaTheme="minorEastAsia" w:hAnsi="Times New Roman" w:cs="Times New Roman"/>
          <w:sz w:val="20"/>
          <w:szCs w:val="20"/>
        </w:rPr>
        <w:tab/>
      </w:r>
      <w:r w:rsidRPr="006C13DF">
        <w:rPr>
          <w:rFonts w:ascii="Times New Roman" w:hAnsi="Times New Roman" w:cs="Times New Roman"/>
          <w:sz w:val="24"/>
          <w:szCs w:val="24"/>
        </w:rPr>
        <w:t xml:space="preserve">Самотните стари хора над 70-годишна възраст и родителите, отглеждащи сами деца имат право на месечна целева помощ за заплащане на наем на общински жилища </w:t>
      </w:r>
      <w:r w:rsidRPr="006C13DF">
        <w:rPr>
          <w:rFonts w:ascii="Times New Roman" w:hAnsi="Times New Roman" w:cs="Times New Roman"/>
          <w:sz w:val="24"/>
          <w:szCs w:val="24"/>
        </w:rPr>
        <w:lastRenderedPageBreak/>
        <w:t>по реда на чл. 14 от ППЗСП, ако настанителната заповед е на тяхно име и доходът им от предходния месец е до 250 на сто от диференцирания доход.</w:t>
      </w:r>
    </w:p>
    <w:p w14:paraId="2A513039" w14:textId="77777777" w:rsidR="00BE4B15" w:rsidRPr="006C13DF" w:rsidRDefault="00BE4B15" w:rsidP="00BE4B15">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С обнародваното в Държавен вестник бр. 44 от 19.05.2023 г. ПМС № 74 от 15.05.2023 г. за изменение и допълнение на ППЗСП, считано от 01.06.2023 г. размерът на диференцирания доход е обвързан с линията на бедност в страната за съответната година.</w:t>
      </w:r>
    </w:p>
    <w:p w14:paraId="07B3C6B0" w14:textId="77777777" w:rsidR="00BE4B15" w:rsidRPr="006C13DF" w:rsidRDefault="00BE4B15" w:rsidP="00BE4B15">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През 2023 г. месечна целева помощ за заплащане на наем е предоставена на 9 средномесечен брой лица.</w:t>
      </w:r>
    </w:p>
    <w:p w14:paraId="16DA0876" w14:textId="77777777" w:rsidR="00A167F2" w:rsidRPr="006C13DF" w:rsidRDefault="00BE4B15" w:rsidP="00BE4B15">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t>През 2024 г. месечна целева помощ за заплащане на наем е предоставена на 15 средномесечен брой лица.</w:t>
      </w:r>
    </w:p>
    <w:p w14:paraId="45834506" w14:textId="77777777" w:rsidR="00447907" w:rsidRPr="006C13DF" w:rsidRDefault="00447907" w:rsidP="00E91E47">
      <w:pPr>
        <w:pStyle w:val="ListParagraph"/>
        <w:spacing w:after="0" w:line="240" w:lineRule="auto"/>
        <w:ind w:left="0"/>
        <w:jc w:val="both"/>
        <w:rPr>
          <w:rFonts w:ascii="Times New Roman" w:hAnsi="Times New Roman" w:cs="Times New Roman"/>
          <w:b/>
          <w:sz w:val="24"/>
          <w:szCs w:val="24"/>
          <w:lang w:val="ru-RU"/>
        </w:rPr>
      </w:pPr>
    </w:p>
    <w:p w14:paraId="57FBCCD2" w14:textId="77777777" w:rsidR="00BE4B15" w:rsidRPr="006C13DF" w:rsidRDefault="00BE4B15" w:rsidP="00BE4B15">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ТРУДА И СОЦИАЛНАТА ПОЛИТИКА</w:t>
      </w:r>
    </w:p>
    <w:p w14:paraId="71ED85BA" w14:textId="77777777" w:rsidR="00BE4B15" w:rsidRPr="006C13DF" w:rsidRDefault="00BE4B15" w:rsidP="00BE4B15">
      <w:pPr>
        <w:pStyle w:val="ListParagraph"/>
        <w:spacing w:after="0" w:line="240" w:lineRule="auto"/>
        <w:ind w:left="0"/>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АГЕНЦИЯ ЗА СОЦИАЛНО ПОДПОМАГАНЕ</w:t>
      </w:r>
    </w:p>
    <w:p w14:paraId="403030EC" w14:textId="77777777" w:rsidR="00447907" w:rsidRPr="006C13DF" w:rsidRDefault="00447907" w:rsidP="00E91E47">
      <w:pPr>
        <w:pStyle w:val="ListParagraph"/>
        <w:spacing w:after="0" w:line="240" w:lineRule="auto"/>
        <w:ind w:left="0"/>
        <w:jc w:val="both"/>
        <w:rPr>
          <w:rFonts w:ascii="Times New Roman" w:hAnsi="Times New Roman" w:cs="Times New Roman"/>
          <w:b/>
          <w:sz w:val="24"/>
          <w:szCs w:val="24"/>
          <w:lang w:val="ru-RU"/>
        </w:rPr>
      </w:pPr>
    </w:p>
    <w:p w14:paraId="13D1AD6C" w14:textId="77777777" w:rsidR="00BE4B15" w:rsidRPr="006C13DF" w:rsidRDefault="00447907" w:rsidP="00BE4B15">
      <w:pPr>
        <w:pStyle w:val="ListParagraph"/>
        <w:spacing w:after="0" w:line="240" w:lineRule="auto"/>
        <w:ind w:left="0"/>
        <w:jc w:val="both"/>
        <w:rPr>
          <w:rFonts w:ascii="Times New Roman" w:hAnsi="Times New Roman" w:cs="Times New Roman"/>
          <w:b/>
          <w:sz w:val="24"/>
          <w:szCs w:val="24"/>
          <w:lang w:val="ru-RU"/>
        </w:rPr>
      </w:pPr>
      <w:r w:rsidRPr="006C13DF">
        <w:rPr>
          <w:rFonts w:ascii="Times New Roman" w:hAnsi="Times New Roman" w:cs="Times New Roman"/>
          <w:b/>
          <w:sz w:val="24"/>
          <w:szCs w:val="24"/>
          <w:lang w:val="ru-RU"/>
        </w:rPr>
        <w:t xml:space="preserve">3.2.3 </w:t>
      </w:r>
      <w:proofErr w:type="spellStart"/>
      <w:r w:rsidRPr="006C13DF">
        <w:rPr>
          <w:rFonts w:ascii="Times New Roman" w:hAnsi="Times New Roman" w:cs="Times New Roman"/>
          <w:b/>
          <w:sz w:val="24"/>
          <w:szCs w:val="24"/>
          <w:lang w:val="ru-RU"/>
        </w:rPr>
        <w:t>Преодоляване</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идентифицирани</w:t>
      </w:r>
      <w:proofErr w:type="spellEnd"/>
      <w:r w:rsidRPr="006C13DF">
        <w:rPr>
          <w:rFonts w:ascii="Times New Roman" w:hAnsi="Times New Roman" w:cs="Times New Roman"/>
          <w:b/>
          <w:sz w:val="24"/>
          <w:szCs w:val="24"/>
          <w:lang w:val="ru-RU"/>
        </w:rPr>
        <w:t xml:space="preserve"> лишения от </w:t>
      </w:r>
      <w:proofErr w:type="spellStart"/>
      <w:r w:rsidRPr="006C13DF">
        <w:rPr>
          <w:rFonts w:ascii="Times New Roman" w:hAnsi="Times New Roman" w:cs="Times New Roman"/>
          <w:b/>
          <w:sz w:val="24"/>
          <w:szCs w:val="24"/>
          <w:lang w:val="ru-RU"/>
        </w:rPr>
        <w:t>храна</w:t>
      </w:r>
      <w:proofErr w:type="spellEnd"/>
      <w:r w:rsidRPr="006C13DF">
        <w:rPr>
          <w:rFonts w:ascii="Times New Roman" w:hAnsi="Times New Roman" w:cs="Times New Roman"/>
          <w:b/>
          <w:sz w:val="24"/>
          <w:szCs w:val="24"/>
          <w:lang w:val="ru-RU"/>
        </w:rPr>
        <w:t xml:space="preserve"> и </w:t>
      </w:r>
      <w:proofErr w:type="spellStart"/>
      <w:r w:rsidRPr="006C13DF">
        <w:rPr>
          <w:rFonts w:ascii="Times New Roman" w:hAnsi="Times New Roman" w:cs="Times New Roman"/>
          <w:b/>
          <w:sz w:val="24"/>
          <w:szCs w:val="24"/>
          <w:lang w:val="ru-RU"/>
        </w:rPr>
        <w:t>основни</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хигиенни</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материали</w:t>
      </w:r>
      <w:proofErr w:type="spellEnd"/>
      <w:r w:rsidRPr="006C13DF">
        <w:rPr>
          <w:rFonts w:ascii="Times New Roman" w:hAnsi="Times New Roman" w:cs="Times New Roman"/>
          <w:b/>
          <w:sz w:val="24"/>
          <w:szCs w:val="24"/>
          <w:lang w:val="ru-RU"/>
        </w:rPr>
        <w:t xml:space="preserve"> за </w:t>
      </w:r>
      <w:proofErr w:type="spellStart"/>
      <w:r w:rsidRPr="006C13DF">
        <w:rPr>
          <w:rFonts w:ascii="Times New Roman" w:hAnsi="Times New Roman" w:cs="Times New Roman"/>
          <w:b/>
          <w:sz w:val="24"/>
          <w:szCs w:val="24"/>
          <w:lang w:val="ru-RU"/>
        </w:rPr>
        <w:t>осигуряване</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нормални</w:t>
      </w:r>
      <w:proofErr w:type="spellEnd"/>
      <w:r w:rsidRPr="006C13DF">
        <w:rPr>
          <w:rFonts w:ascii="Times New Roman" w:hAnsi="Times New Roman" w:cs="Times New Roman"/>
          <w:b/>
          <w:sz w:val="24"/>
          <w:szCs w:val="24"/>
          <w:lang w:val="ru-RU"/>
        </w:rPr>
        <w:t xml:space="preserve"> услов</w:t>
      </w:r>
      <w:r w:rsidR="00BE4B15" w:rsidRPr="006C13DF">
        <w:rPr>
          <w:rFonts w:ascii="Times New Roman" w:hAnsi="Times New Roman" w:cs="Times New Roman"/>
          <w:b/>
          <w:sz w:val="24"/>
          <w:szCs w:val="24"/>
          <w:lang w:val="ru-RU"/>
        </w:rPr>
        <w:t xml:space="preserve">ия за живот на </w:t>
      </w:r>
      <w:proofErr w:type="spellStart"/>
      <w:r w:rsidR="00BE4B15" w:rsidRPr="006C13DF">
        <w:rPr>
          <w:rFonts w:ascii="Times New Roman" w:hAnsi="Times New Roman" w:cs="Times New Roman"/>
          <w:b/>
          <w:sz w:val="24"/>
          <w:szCs w:val="24"/>
          <w:lang w:val="ru-RU"/>
        </w:rPr>
        <w:t>възрастните</w:t>
      </w:r>
      <w:proofErr w:type="spellEnd"/>
      <w:r w:rsidR="00BE4B15" w:rsidRPr="006C13DF">
        <w:rPr>
          <w:rFonts w:ascii="Times New Roman" w:hAnsi="Times New Roman" w:cs="Times New Roman"/>
          <w:b/>
          <w:sz w:val="24"/>
          <w:szCs w:val="24"/>
          <w:lang w:val="ru-RU"/>
        </w:rPr>
        <w:t xml:space="preserve"> хора</w:t>
      </w:r>
    </w:p>
    <w:p w14:paraId="6DF6B9FC" w14:textId="77777777" w:rsidR="00BE4B15" w:rsidRPr="006C13DF" w:rsidRDefault="00BE4B15" w:rsidP="00BE4B15">
      <w:pPr>
        <w:pStyle w:val="ListParagraph"/>
        <w:spacing w:after="0" w:line="240" w:lineRule="auto"/>
        <w:ind w:left="0"/>
        <w:jc w:val="both"/>
        <w:rPr>
          <w:rFonts w:ascii="Times New Roman" w:hAnsi="Times New Roman" w:cs="Times New Roman"/>
          <w:b/>
          <w:sz w:val="24"/>
          <w:szCs w:val="24"/>
          <w:lang w:val="ru-RU"/>
        </w:rPr>
      </w:pPr>
    </w:p>
    <w:p w14:paraId="2D49E9C4" w14:textId="77777777" w:rsidR="00BE4B15" w:rsidRPr="006C13DF" w:rsidRDefault="00BE4B15" w:rsidP="00BE4B15">
      <w:pPr>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Мя</w:t>
      </w:r>
      <w:r w:rsidR="005001A2" w:rsidRPr="006C13DF">
        <w:rPr>
          <w:rFonts w:ascii="Times New Roman" w:eastAsia="Times New Roman" w:hAnsi="Times New Roman" w:cs="Times New Roman"/>
          <w:sz w:val="24"/>
          <w:szCs w:val="24"/>
          <w:lang w:eastAsia="bg-BG"/>
        </w:rPr>
        <w:t>рката се реализира по Програма „</w:t>
      </w:r>
      <w:r w:rsidRPr="006C13DF">
        <w:rPr>
          <w:rFonts w:ascii="Times New Roman" w:eastAsia="Times New Roman" w:hAnsi="Times New Roman" w:cs="Times New Roman"/>
          <w:sz w:val="24"/>
          <w:szCs w:val="24"/>
          <w:lang w:eastAsia="bg-BG"/>
        </w:rPr>
        <w:t xml:space="preserve">Храни и основно материално подпомагане“ /ПХОМП/ 2021 – 2027 г., съфинансирана от ЕСФ+ и цели подобряване качеството на живот на възрастни хора, живеещи в най-висока степен на бедност и социална изолация на територията на цялата страна. В изпълнение на мярката по ПХОМП е осигурено подпомагане с храни и основна материална подкрепа на възрастни хора, чрез предоставяне на пакети хранителни продукти, хигиенни материали и топъл обяд, както и съпътстващи мерки </w:t>
      </w:r>
      <w:r w:rsidR="005001A2" w:rsidRPr="006C13DF">
        <w:rPr>
          <w:rFonts w:ascii="Times New Roman" w:eastAsia="Times New Roman" w:hAnsi="Times New Roman" w:cs="Times New Roman"/>
          <w:sz w:val="24"/>
          <w:szCs w:val="24"/>
          <w:lang w:eastAsia="bg-BG"/>
        </w:rPr>
        <w:t>–</w:t>
      </w:r>
      <w:r w:rsidRPr="006C13DF">
        <w:rPr>
          <w:rFonts w:ascii="Times New Roman" w:eastAsia="Times New Roman" w:hAnsi="Times New Roman" w:cs="Times New Roman"/>
          <w:sz w:val="24"/>
          <w:szCs w:val="24"/>
          <w:lang w:eastAsia="bg-BG"/>
        </w:rPr>
        <w:t xml:space="preserve"> дейности, предвидени в допълнение към разпределянето на храни и/или основно материално подпомагане с цел справяне със социалното изключване и допринасяне към изкореняването на бедността, като например насочването към или предоставянето на социални и здравни услуги, включително на психологическа подкрепа, или предоставянето на съответната информация за публичните услуги или на консултации във връзка с управлението на бюджета на домакинствата. </w:t>
      </w:r>
    </w:p>
    <w:p w14:paraId="0799C95E" w14:textId="77777777" w:rsidR="00BE4B15" w:rsidRPr="006C13DF" w:rsidRDefault="00BE4B15" w:rsidP="00BE4B15">
      <w:pPr>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В пакетите се включват основни хранителни продукти, с които се приготвя храна за цялото семейство. При определяне на съдържанието се следи в тях да присъстват продукти от основните групи храни, необходими за пълноценното и разнообразно хранене, като например богати на белтък храни, зърнени храни и др. Съдържанието е консултирано с Министерство</w:t>
      </w:r>
      <w:r w:rsidR="005001A2" w:rsidRPr="006C13DF">
        <w:rPr>
          <w:rFonts w:ascii="Times New Roman" w:eastAsia="Times New Roman" w:hAnsi="Times New Roman" w:cs="Times New Roman"/>
          <w:sz w:val="24"/>
          <w:szCs w:val="24"/>
          <w:lang w:eastAsia="bg-BG"/>
        </w:rPr>
        <w:t>то</w:t>
      </w:r>
      <w:r w:rsidRPr="006C13DF">
        <w:rPr>
          <w:rFonts w:ascii="Times New Roman" w:eastAsia="Times New Roman" w:hAnsi="Times New Roman" w:cs="Times New Roman"/>
          <w:sz w:val="24"/>
          <w:szCs w:val="24"/>
          <w:lang w:eastAsia="bg-BG"/>
        </w:rPr>
        <w:t xml:space="preserve"> на здравеопазването, а в хода на изпълнение се получава и обратна връзка от потребителите. Пакетите с хигиенни продукти съдържат: продукти за лична хигиена, почистващи, перилни и миещи препарати, също предназначени за цялото семейство. Чрез подпомагането с топъл обяд се цели да се осигури здравословна, разнообразна и питателна топла храна за обяд на хора, които не са в състояние сами или с помощта на свои близки да си осигуряват </w:t>
      </w:r>
      <w:r w:rsidR="005001A2" w:rsidRPr="006C13DF">
        <w:rPr>
          <w:rFonts w:ascii="Times New Roman" w:eastAsia="Times New Roman" w:hAnsi="Times New Roman" w:cs="Times New Roman"/>
          <w:sz w:val="24"/>
          <w:szCs w:val="24"/>
          <w:lang w:eastAsia="bg-BG"/>
        </w:rPr>
        <w:t xml:space="preserve">такава. Крайните получатели на </w:t>
      </w:r>
      <w:r w:rsidRPr="006C13DF">
        <w:rPr>
          <w:rFonts w:ascii="Times New Roman" w:eastAsia="Times New Roman" w:hAnsi="Times New Roman" w:cs="Times New Roman"/>
          <w:sz w:val="24"/>
          <w:szCs w:val="24"/>
          <w:lang w:eastAsia="bg-BG"/>
        </w:rPr>
        <w:t>топъл обяд ежедневно разчитат на тази помощ и са силно зависими от нея. Топъл обяд за най-нуждаещите се лица се предоставя целогодишно, през всеки работен ден, в отговор на установени трайни и/или неотложни нужди. Подкрепата достига и до по-отдалечени места, където хората изпитват още по-сериозни затруднения за осигуряване на прехраната си. Прясно приготвена топла храна, под формата на супа, основно ястие и хляб и поне веднъж седмично десерт се предоставя на нуждаещи се от цялата страна. Редът и условията за оказване на подкрепа по програмата са определени с Наредба № РД-06-53 от 17.09.2021 г., а принадлежността на лицата към допустимите целеви групи се потвърждава от структурите на Агенцията за социално подпомагане по места. Подпомагането се основава на обективни критерии, на индивидуален подход и оценка на нуждите и се реализира на територията на цялата страна.</w:t>
      </w:r>
    </w:p>
    <w:p w14:paraId="31CEC15D" w14:textId="77777777" w:rsidR="00BE4B15" w:rsidRPr="006C13DF" w:rsidRDefault="00BE4B15" w:rsidP="00BE4B15">
      <w:pPr>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lastRenderedPageBreak/>
        <w:t xml:space="preserve">Общият бюджет ПХОМП е в размер на 411 млн. лв.. С РМС № 397 от 07.06.2024 г. е дадено разрешение за </w:t>
      </w:r>
      <w:proofErr w:type="spellStart"/>
      <w:r w:rsidRPr="006C13DF">
        <w:rPr>
          <w:rFonts w:ascii="Times New Roman" w:eastAsia="Times New Roman" w:hAnsi="Times New Roman" w:cs="Times New Roman"/>
          <w:sz w:val="24"/>
          <w:szCs w:val="24"/>
          <w:lang w:eastAsia="bg-BG"/>
        </w:rPr>
        <w:t>наддоговаряне</w:t>
      </w:r>
      <w:proofErr w:type="spellEnd"/>
      <w:r w:rsidRPr="006C13DF">
        <w:rPr>
          <w:rFonts w:ascii="Times New Roman" w:eastAsia="Times New Roman" w:hAnsi="Times New Roman" w:cs="Times New Roman"/>
          <w:sz w:val="24"/>
          <w:szCs w:val="24"/>
          <w:lang w:eastAsia="bg-BG"/>
        </w:rPr>
        <w:t xml:space="preserve"> на 15 на сто от бюджета на програмата. </w:t>
      </w:r>
    </w:p>
    <w:p w14:paraId="63DCD8B0" w14:textId="77777777" w:rsidR="005001A2" w:rsidRPr="006C13DF" w:rsidRDefault="00BE4B15" w:rsidP="00BE4B15">
      <w:pPr>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Към 31.12.2024 г. пакети с хранителни продукти са предоставени на 557 641 лица и членовете на техните семейства, с общо тегло 5 554,921 тона. Броят на подкрепените с пакети хранителни продукти </w:t>
      </w:r>
      <w:r w:rsidRPr="006C13DF">
        <w:rPr>
          <w:rFonts w:ascii="Times New Roman" w:eastAsia="Times New Roman" w:hAnsi="Times New Roman" w:cs="Times New Roman"/>
          <w:b/>
          <w:sz w:val="24"/>
          <w:szCs w:val="24"/>
          <w:lang w:eastAsia="bg-BG"/>
        </w:rPr>
        <w:t>лица на 65 и повече години е 254 681</w:t>
      </w:r>
      <w:r w:rsidRPr="006C13DF">
        <w:rPr>
          <w:rFonts w:ascii="Times New Roman" w:eastAsia="Times New Roman" w:hAnsi="Times New Roman" w:cs="Times New Roman"/>
          <w:sz w:val="24"/>
          <w:szCs w:val="24"/>
          <w:lang w:eastAsia="bg-BG"/>
        </w:rPr>
        <w:t xml:space="preserve">. Пакети с хигиенни материали са предоставени общо на 524 527 лица и членовете на техните семейства, от които 241 451 са лица на възраст 65 и повече години. Изпълняват се 230 договора с общини и райони на общини с общ капацитет за осигуряване на топъл обяд на 68 528 лица. </w:t>
      </w:r>
      <w:r w:rsidRPr="006C13DF">
        <w:rPr>
          <w:rFonts w:ascii="Times New Roman" w:eastAsia="Times New Roman" w:hAnsi="Times New Roman" w:cs="Times New Roman"/>
          <w:b/>
          <w:sz w:val="24"/>
          <w:szCs w:val="24"/>
          <w:lang w:eastAsia="bg-BG"/>
        </w:rPr>
        <w:t>Топъл обяд е предоставен на</w:t>
      </w:r>
      <w:r w:rsidRPr="006C13DF">
        <w:rPr>
          <w:rFonts w:ascii="Times New Roman" w:eastAsia="Times New Roman" w:hAnsi="Times New Roman" w:cs="Times New Roman"/>
          <w:sz w:val="24"/>
          <w:szCs w:val="24"/>
          <w:lang w:eastAsia="bg-BG"/>
        </w:rPr>
        <w:t xml:space="preserve"> общо 92 800 крайни получатели в рамките на изпълняваните проекти, от които </w:t>
      </w:r>
      <w:r w:rsidRPr="006C13DF">
        <w:rPr>
          <w:rFonts w:ascii="Times New Roman" w:eastAsia="Times New Roman" w:hAnsi="Times New Roman" w:cs="Times New Roman"/>
          <w:b/>
          <w:sz w:val="24"/>
          <w:szCs w:val="24"/>
          <w:lang w:eastAsia="bg-BG"/>
        </w:rPr>
        <w:t>54 875 лица са на възраст 65 и повече години</w:t>
      </w:r>
      <w:r w:rsidRPr="006C13DF">
        <w:rPr>
          <w:rFonts w:ascii="Times New Roman" w:eastAsia="Times New Roman" w:hAnsi="Times New Roman" w:cs="Times New Roman"/>
          <w:sz w:val="24"/>
          <w:szCs w:val="24"/>
          <w:lang w:eastAsia="bg-BG"/>
        </w:rPr>
        <w:t xml:space="preserve">. </w:t>
      </w:r>
    </w:p>
    <w:p w14:paraId="2A71B1DA" w14:textId="77777777" w:rsidR="00BE4B15" w:rsidRPr="006C13DF" w:rsidRDefault="00BE4B15" w:rsidP="00BE4B15">
      <w:pPr>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Паралелно с материалната помощ лицата в нужда получават и </w:t>
      </w:r>
      <w:r w:rsidRPr="006C13DF">
        <w:rPr>
          <w:rFonts w:ascii="Times New Roman" w:eastAsia="Times New Roman" w:hAnsi="Times New Roman" w:cs="Times New Roman"/>
          <w:b/>
          <w:sz w:val="24"/>
          <w:szCs w:val="24"/>
          <w:lang w:eastAsia="bg-BG"/>
        </w:rPr>
        <w:t>съпътстваща подкрепа</w:t>
      </w:r>
      <w:r w:rsidRPr="006C13DF">
        <w:rPr>
          <w:rFonts w:ascii="Times New Roman" w:eastAsia="Times New Roman" w:hAnsi="Times New Roman" w:cs="Times New Roman"/>
          <w:sz w:val="24"/>
          <w:szCs w:val="24"/>
          <w:lang w:eastAsia="bg-BG"/>
        </w:rPr>
        <w:t>, която ще им помогне да преодолеят в дългосрочен план социалната изолация и бедността, в която живеят. Съпътстващите мерки се допълват с насочване към мерки и дейности за заетост и обучения, финансирани о</w:t>
      </w:r>
      <w:r w:rsidR="005001A2" w:rsidRPr="006C13DF">
        <w:rPr>
          <w:rFonts w:ascii="Times New Roman" w:eastAsia="Times New Roman" w:hAnsi="Times New Roman" w:cs="Times New Roman"/>
          <w:sz w:val="24"/>
          <w:szCs w:val="24"/>
          <w:lang w:eastAsia="bg-BG"/>
        </w:rPr>
        <w:t>т Европейския социален фонд+</w:t>
      </w:r>
      <w:r w:rsidRPr="006C13DF">
        <w:rPr>
          <w:rFonts w:ascii="Times New Roman" w:eastAsia="Times New Roman" w:hAnsi="Times New Roman" w:cs="Times New Roman"/>
          <w:sz w:val="24"/>
          <w:szCs w:val="24"/>
          <w:lang w:eastAsia="bg-BG"/>
        </w:rPr>
        <w:t>. По операция „Топъл обяд“ са осъществени 576 556 индивидуални консултации. Засилен е интерес</w:t>
      </w:r>
      <w:r w:rsidR="005001A2" w:rsidRPr="006C13DF">
        <w:rPr>
          <w:rFonts w:ascii="Times New Roman" w:eastAsia="Times New Roman" w:hAnsi="Times New Roman" w:cs="Times New Roman"/>
          <w:sz w:val="24"/>
          <w:szCs w:val="24"/>
          <w:lang w:eastAsia="bg-BG"/>
        </w:rPr>
        <w:t>ът</w:t>
      </w:r>
      <w:r w:rsidRPr="006C13DF">
        <w:rPr>
          <w:rFonts w:ascii="Times New Roman" w:eastAsia="Times New Roman" w:hAnsi="Times New Roman" w:cs="Times New Roman"/>
          <w:sz w:val="24"/>
          <w:szCs w:val="24"/>
          <w:lang w:eastAsia="bg-BG"/>
        </w:rPr>
        <w:t xml:space="preserve"> към консултациите и оказване на подкрепа относно предоставяне на социални помощи или социални услуги. Предоставени са общо 15 523  индивидуални съпътстващи мерки, изразяващи се в съдействие за попълване на административни формуляри в различни обществени институции и ползване на общински или други административни услуги, следствие на които 4 540 крайни получатели са представили пред различни организации своите молби и заявления. Съдействие за закупуване с лични средства на хранителни продукти, лекарства, заплащане на битови сметки и/или такси са получили 2 775 лица. Чрез съпътстващите мерки се създават условия за подобряване на адаптацията на крайните потребители към средата, в която те живеят. По операция „Подкрепа“ са осъществени 703 985 преки индивидуални и 3916 групови консултации по различните съпътстващи мерки, в които са обхванати 353 349 правоимащи лица. На 209 725 лица е оказано съдействие за ползване на здравни и образователни услуги, </w:t>
      </w:r>
      <w:r w:rsidR="005001A2" w:rsidRPr="006C13DF">
        <w:rPr>
          <w:rFonts w:ascii="Times New Roman" w:eastAsia="Times New Roman" w:hAnsi="Times New Roman" w:cs="Times New Roman"/>
          <w:sz w:val="24"/>
          <w:szCs w:val="24"/>
          <w:lang w:eastAsia="bg-BG"/>
        </w:rPr>
        <w:t>в</w:t>
      </w:r>
      <w:r w:rsidRPr="006C13DF">
        <w:rPr>
          <w:rFonts w:ascii="Times New Roman" w:eastAsia="Times New Roman" w:hAnsi="Times New Roman" w:cs="Times New Roman"/>
          <w:sz w:val="24"/>
          <w:szCs w:val="24"/>
          <w:lang w:eastAsia="bg-BG"/>
        </w:rPr>
        <w:t>следствие на което 630 лица в резултат на консултациите и със съдействието на служители на РЗИ са изследвани анонимно за хепатит Б и С и др. заболявания. На част от лицата е изследв</w:t>
      </w:r>
      <w:r w:rsidR="005001A2" w:rsidRPr="006C13DF">
        <w:rPr>
          <w:rFonts w:ascii="Times New Roman" w:eastAsia="Times New Roman" w:hAnsi="Times New Roman" w:cs="Times New Roman"/>
          <w:sz w:val="24"/>
          <w:szCs w:val="24"/>
          <w:lang w:eastAsia="bg-BG"/>
        </w:rPr>
        <w:t>ана кръвна захар и холестерол</w:t>
      </w:r>
      <w:r w:rsidRPr="006C13DF">
        <w:rPr>
          <w:rFonts w:ascii="Times New Roman" w:eastAsia="Times New Roman" w:hAnsi="Times New Roman" w:cs="Times New Roman"/>
          <w:sz w:val="24"/>
          <w:szCs w:val="24"/>
          <w:lang w:eastAsia="bg-BG"/>
        </w:rPr>
        <w:t xml:space="preserve"> и при необходимост са насочени към специалисти и лечебни заведения. Оказана е помощ при изготвяне на документи за ТЕЛК или за смяна на личен лекар. Консултирани или насочени за предоставяне на социални помощи или услуги са 144 146 лица. На 697 732 от правоимащите лица, подпомогнати с хранителни продукти и 349 816 лица подпомогнати с хигиенни материали са раздадени листовки за предоставяните услуги, финансирани от ЕСФ+, брошура „Пътеводител на пациента“ с възможност за преглед с QR код, листовка за ваксинация за коклюш, както и книга „Транспорт на живота“. Изработен е анимационен филм „</w:t>
      </w:r>
      <w:r w:rsidR="005001A2" w:rsidRPr="006C13DF">
        <w:rPr>
          <w:rFonts w:ascii="Times New Roman" w:eastAsia="Times New Roman" w:hAnsi="Times New Roman" w:cs="Times New Roman"/>
          <w:sz w:val="24"/>
          <w:szCs w:val="24"/>
          <w:lang w:eastAsia="bg-BG"/>
        </w:rPr>
        <w:t>Нашите здравни права</w:t>
      </w:r>
      <w:r w:rsidRPr="006C13DF">
        <w:rPr>
          <w:rFonts w:ascii="Times New Roman" w:eastAsia="Times New Roman" w:hAnsi="Times New Roman" w:cs="Times New Roman"/>
          <w:sz w:val="24"/>
          <w:szCs w:val="24"/>
          <w:lang w:eastAsia="bg-BG"/>
        </w:rPr>
        <w:t>“ за здравните права на правоимащите лица, който е прожектиран по време на раздаването на храните и хигиенните материали.</w:t>
      </w:r>
    </w:p>
    <w:p w14:paraId="66C0D0D5" w14:textId="77777777" w:rsidR="00BE4B15" w:rsidRPr="006C13DF" w:rsidRDefault="00BE4B15" w:rsidP="006D7AC8">
      <w:pPr>
        <w:shd w:val="clear" w:color="auto" w:fill="FFFFFF" w:themeFill="background1"/>
        <w:spacing w:after="0" w:line="240" w:lineRule="auto"/>
        <w:jc w:val="center"/>
        <w:rPr>
          <w:rFonts w:ascii="Times New Roman" w:eastAsiaTheme="minorEastAsia" w:hAnsi="Times New Roman" w:cs="Times New Roman"/>
          <w:b/>
          <w:sz w:val="24"/>
          <w:szCs w:val="24"/>
          <w:lang w:val="ru-RU"/>
        </w:rPr>
      </w:pPr>
    </w:p>
    <w:p w14:paraId="0E187704" w14:textId="77777777" w:rsidR="006D7AC8" w:rsidRPr="006C13DF" w:rsidRDefault="00EB2DEE" w:rsidP="00EB2DEE">
      <w:pPr>
        <w:spacing w:after="0" w:line="240" w:lineRule="auto"/>
        <w:jc w:val="center"/>
        <w:rPr>
          <w:rFonts w:ascii="Times New Roman" w:hAnsi="Times New Roman" w:cs="Times New Roman"/>
          <w:b/>
          <w:bCs/>
          <w:color w:val="ED7D31" w:themeColor="accent2"/>
          <w:sz w:val="24"/>
          <w:szCs w:val="24"/>
        </w:rPr>
      </w:pPr>
      <w:r w:rsidRPr="006C13DF">
        <w:rPr>
          <w:rFonts w:ascii="Times New Roman" w:eastAsia="Calibri" w:hAnsi="Times New Roman" w:cs="Times New Roman"/>
          <w:b/>
          <w:caps/>
          <w:color w:val="C0504D"/>
          <w:sz w:val="24"/>
          <w:szCs w:val="24"/>
        </w:rPr>
        <w:t>Министерство на ВЪТРЕШНИТЕ РАБОТИ</w:t>
      </w:r>
    </w:p>
    <w:p w14:paraId="5B9A7CB0" w14:textId="77777777" w:rsidR="006D7AC8" w:rsidRPr="006C13DF" w:rsidRDefault="006D7AC8" w:rsidP="00E91E47">
      <w:pPr>
        <w:pStyle w:val="ListParagraph"/>
        <w:spacing w:after="0" w:line="240" w:lineRule="auto"/>
        <w:ind w:left="0"/>
        <w:jc w:val="both"/>
        <w:rPr>
          <w:rFonts w:ascii="Times New Roman" w:hAnsi="Times New Roman" w:cs="Times New Roman"/>
          <w:b/>
          <w:i/>
          <w:sz w:val="24"/>
          <w:szCs w:val="24"/>
          <w:lang w:val="ru-RU"/>
        </w:rPr>
      </w:pPr>
    </w:p>
    <w:p w14:paraId="50AE5A88" w14:textId="77777777" w:rsidR="00447907" w:rsidRPr="006C13DF" w:rsidRDefault="00447907" w:rsidP="002102B2">
      <w:pPr>
        <w:pStyle w:val="ListParagraph"/>
        <w:spacing w:after="0" w:line="240" w:lineRule="auto"/>
        <w:ind w:left="0"/>
        <w:jc w:val="both"/>
        <w:rPr>
          <w:rFonts w:ascii="Times New Roman" w:hAnsi="Times New Roman" w:cs="Times New Roman"/>
          <w:b/>
          <w:sz w:val="24"/>
          <w:szCs w:val="24"/>
          <w:lang w:val="ru-RU"/>
        </w:rPr>
      </w:pPr>
      <w:r w:rsidRPr="006C13DF">
        <w:rPr>
          <w:rFonts w:ascii="Times New Roman" w:hAnsi="Times New Roman" w:cs="Times New Roman"/>
          <w:b/>
          <w:sz w:val="24"/>
          <w:szCs w:val="24"/>
          <w:lang w:val="ru-RU"/>
        </w:rPr>
        <w:t xml:space="preserve">3.2.4. </w:t>
      </w:r>
      <w:proofErr w:type="spellStart"/>
      <w:r w:rsidRPr="006C13DF">
        <w:rPr>
          <w:rFonts w:ascii="Times New Roman" w:hAnsi="Times New Roman" w:cs="Times New Roman"/>
          <w:b/>
          <w:sz w:val="24"/>
          <w:szCs w:val="24"/>
          <w:lang w:val="ru-RU"/>
        </w:rPr>
        <w:t>Осъществяване</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превантивна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програма</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Сигурност</w:t>
      </w:r>
      <w:proofErr w:type="spellEnd"/>
      <w:r w:rsidRPr="006C13DF">
        <w:rPr>
          <w:rFonts w:ascii="Times New Roman" w:hAnsi="Times New Roman" w:cs="Times New Roman"/>
          <w:b/>
          <w:sz w:val="24"/>
          <w:szCs w:val="24"/>
          <w:lang w:val="ru-RU"/>
        </w:rPr>
        <w:t xml:space="preserve"> – стари хора“</w:t>
      </w:r>
    </w:p>
    <w:p w14:paraId="4BD3F124" w14:textId="77777777" w:rsidR="006D7AC8" w:rsidRPr="006C13DF" w:rsidRDefault="006D7AC8" w:rsidP="002102B2">
      <w:pPr>
        <w:pStyle w:val="ListParagraph"/>
        <w:spacing w:after="0" w:line="240" w:lineRule="auto"/>
        <w:ind w:left="0"/>
        <w:jc w:val="both"/>
        <w:rPr>
          <w:rFonts w:ascii="Times New Roman" w:hAnsi="Times New Roman" w:cs="Times New Roman"/>
          <w:b/>
          <w:i/>
          <w:sz w:val="24"/>
          <w:szCs w:val="24"/>
          <w:lang w:val="ru-RU"/>
        </w:rPr>
      </w:pPr>
    </w:p>
    <w:p w14:paraId="1CD6D4D6" w14:textId="77777777" w:rsidR="006D7AC8" w:rsidRPr="006C13DF" w:rsidRDefault="006D7AC8" w:rsidP="002102B2">
      <w:pPr>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През 2024 г. на територията на страната са проведени две превантивни програми</w:t>
      </w:r>
      <w:r w:rsidRPr="006C13DF">
        <w:rPr>
          <w:rFonts w:ascii="Times New Roman" w:eastAsia="Times New Roman" w:hAnsi="Times New Roman" w:cs="Times New Roman"/>
          <w:i/>
          <w:sz w:val="24"/>
          <w:szCs w:val="24"/>
          <w:lang w:eastAsia="bg-BG"/>
        </w:rPr>
        <w:t xml:space="preserve"> </w:t>
      </w:r>
      <w:r w:rsidRPr="006C13DF">
        <w:rPr>
          <w:rFonts w:ascii="Times New Roman" w:eastAsia="Times New Roman" w:hAnsi="Times New Roman" w:cs="Times New Roman"/>
          <w:sz w:val="24"/>
          <w:szCs w:val="24"/>
          <w:lang w:eastAsia="bg-BG"/>
        </w:rPr>
        <w:t xml:space="preserve">– </w:t>
      </w:r>
      <w:r w:rsidRPr="006C13DF">
        <w:rPr>
          <w:rFonts w:ascii="Times New Roman" w:eastAsia="Times New Roman" w:hAnsi="Times New Roman" w:cs="Times New Roman"/>
          <w:b/>
          <w:sz w:val="24"/>
          <w:szCs w:val="24"/>
          <w:lang w:eastAsia="bg-BG"/>
        </w:rPr>
        <w:t>К</w:t>
      </w:r>
      <w:r w:rsidRPr="006C13DF">
        <w:rPr>
          <w:rFonts w:ascii="Times New Roman" w:eastAsia="Times New Roman" w:hAnsi="Times New Roman" w:cs="Times New Roman"/>
          <w:b/>
          <w:noProof/>
          <w:sz w:val="24"/>
          <w:szCs w:val="24"/>
          <w:lang w:eastAsia="bg-BG"/>
        </w:rPr>
        <w:t>ампания</w:t>
      </w:r>
      <w:r w:rsidRPr="006C13DF">
        <w:rPr>
          <w:rFonts w:ascii="Times New Roman" w:eastAsia="Times New Roman" w:hAnsi="Times New Roman" w:cs="Times New Roman"/>
          <w:b/>
          <w:sz w:val="24"/>
          <w:szCs w:val="24"/>
        </w:rPr>
        <w:t xml:space="preserve"> за превенция на домовите кражби</w:t>
      </w:r>
      <w:r w:rsidRPr="006C13DF">
        <w:rPr>
          <w:rFonts w:ascii="Times New Roman" w:eastAsia="Times New Roman" w:hAnsi="Times New Roman" w:cs="Times New Roman"/>
          <w:sz w:val="24"/>
          <w:szCs w:val="24"/>
        </w:rPr>
        <w:t xml:space="preserve"> и </w:t>
      </w:r>
      <w:r w:rsidRPr="006C13DF">
        <w:rPr>
          <w:rFonts w:ascii="Times New Roman" w:eastAsia="Times New Roman" w:hAnsi="Times New Roman" w:cs="Times New Roman"/>
          <w:b/>
          <w:sz w:val="24"/>
          <w:szCs w:val="24"/>
          <w:lang w:eastAsia="bg-BG"/>
        </w:rPr>
        <w:t>Кампания за превенция на телефонните измами</w:t>
      </w:r>
      <w:r w:rsidRPr="006C13DF">
        <w:rPr>
          <w:rFonts w:ascii="Times New Roman" w:eastAsia="Times New Roman" w:hAnsi="Times New Roman" w:cs="Times New Roman"/>
          <w:sz w:val="24"/>
          <w:szCs w:val="24"/>
          <w:lang w:eastAsia="bg-BG"/>
        </w:rPr>
        <w:t xml:space="preserve">. Целта на кампаниите е да се осигури сигурна и безопасна среда на живот на българските граждани. Насочени са предимно към възрастните и самотно живеещите хора, тъй като именно те са основните жертви на този вид престъпления.  </w:t>
      </w:r>
    </w:p>
    <w:p w14:paraId="78AFD8A6" w14:textId="77777777" w:rsidR="006D7AC8" w:rsidRPr="006C13DF" w:rsidRDefault="006D7AC8" w:rsidP="002102B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В рамките на </w:t>
      </w:r>
      <w:r w:rsidRPr="006C13DF">
        <w:rPr>
          <w:rFonts w:ascii="Times New Roman" w:eastAsia="Times New Roman" w:hAnsi="Times New Roman" w:cs="Times New Roman"/>
          <w:b/>
          <w:sz w:val="24"/>
          <w:szCs w:val="24"/>
          <w:lang w:eastAsia="bg-BG"/>
        </w:rPr>
        <w:t>Националната програма за превенция на домовите кражби</w:t>
      </w:r>
      <w:r w:rsidRPr="006C13DF">
        <w:rPr>
          <w:rFonts w:ascii="Times New Roman" w:eastAsia="Times New Roman" w:hAnsi="Times New Roman" w:cs="Times New Roman"/>
          <w:sz w:val="24"/>
          <w:szCs w:val="24"/>
          <w:lang w:eastAsia="bg-BG"/>
        </w:rPr>
        <w:t xml:space="preserve"> са </w:t>
      </w:r>
      <w:r w:rsidRPr="006C13DF">
        <w:rPr>
          <w:rFonts w:ascii="Times New Roman" w:eastAsia="Times New Roman" w:hAnsi="Times New Roman" w:cs="Times New Roman"/>
          <w:sz w:val="24"/>
          <w:szCs w:val="24"/>
          <w:lang w:eastAsia="bg-BG"/>
        </w:rPr>
        <w:lastRenderedPageBreak/>
        <w:t xml:space="preserve">предприети редица превантивни мерки, с оглед </w:t>
      </w:r>
      <w:r w:rsidRPr="006C13DF">
        <w:rPr>
          <w:rFonts w:ascii="Times New Roman" w:eastAsia="Times New Roman" w:hAnsi="Times New Roman" w:cs="Times New Roman"/>
          <w:sz w:val="24"/>
          <w:szCs w:val="24"/>
        </w:rPr>
        <w:t>постигане на по-голяма осведоменост сред населението относно начините за защита на домовете</w:t>
      </w:r>
      <w:r w:rsidRPr="006C13DF">
        <w:rPr>
          <w:rFonts w:ascii="Times New Roman" w:eastAsia="Times New Roman" w:hAnsi="Times New Roman" w:cs="Times New Roman"/>
          <w:sz w:val="24"/>
          <w:szCs w:val="24"/>
          <w:lang w:eastAsia="bg-BG"/>
        </w:rPr>
        <w:t xml:space="preserve"> и </w:t>
      </w:r>
      <w:r w:rsidRPr="006C13DF">
        <w:rPr>
          <w:rFonts w:ascii="Times New Roman" w:eastAsia="Times New Roman" w:hAnsi="Times New Roman" w:cs="Times New Roman"/>
          <w:sz w:val="24"/>
          <w:szCs w:val="24"/>
        </w:rPr>
        <w:t>намаляване броя на извършените домови кражби в страната.</w:t>
      </w:r>
      <w:r w:rsidRPr="006C13DF">
        <w:rPr>
          <w:rFonts w:ascii="Times New Roman" w:eastAsia="Calibri" w:hAnsi="Times New Roman" w:cs="Times New Roman"/>
          <w:color w:val="000000"/>
          <w:sz w:val="24"/>
          <w:szCs w:val="24"/>
          <w:lang w:eastAsia="bg-BG"/>
        </w:rPr>
        <w:t xml:space="preserve"> С</w:t>
      </w:r>
      <w:r w:rsidRPr="006C13DF">
        <w:rPr>
          <w:rFonts w:ascii="Times New Roman" w:eastAsia="Times New Roman" w:hAnsi="Times New Roman" w:cs="Times New Roman"/>
          <w:sz w:val="24"/>
          <w:szCs w:val="24"/>
          <w:lang w:eastAsia="bg-BG"/>
        </w:rPr>
        <w:t xml:space="preserve">ъздадена е организация за разпространение на </w:t>
      </w:r>
      <w:r w:rsidRPr="006C13DF">
        <w:rPr>
          <w:rFonts w:ascii="Times New Roman" w:eastAsia="Calibri" w:hAnsi="Times New Roman" w:cs="Times New Roman"/>
          <w:color w:val="000000"/>
          <w:sz w:val="24"/>
          <w:szCs w:val="24"/>
          <w:lang w:eastAsia="bg-BG"/>
        </w:rPr>
        <w:t>информационни материали</w:t>
      </w:r>
      <w:r w:rsidRPr="006C13DF">
        <w:rPr>
          <w:rFonts w:ascii="Times New Roman" w:eastAsia="Times New Roman" w:hAnsi="Times New Roman" w:cs="Times New Roman"/>
          <w:color w:val="000000"/>
          <w:sz w:val="24"/>
          <w:szCs w:val="24"/>
          <w:shd w:val="clear" w:color="auto" w:fill="FFFFFF"/>
          <w:lang w:eastAsia="bg-BG"/>
        </w:rPr>
        <w:t>,</w:t>
      </w:r>
      <w:r w:rsidRPr="006C13DF">
        <w:rPr>
          <w:rFonts w:ascii="Times New Roman" w:eastAsia="Times New Roman" w:hAnsi="Times New Roman" w:cs="Times New Roman"/>
          <w:sz w:val="24"/>
          <w:szCs w:val="24"/>
          <w:lang w:eastAsia="bg-BG"/>
        </w:rPr>
        <w:t xml:space="preserve"> </w:t>
      </w:r>
      <w:r w:rsidRPr="006C13DF">
        <w:rPr>
          <w:rFonts w:ascii="Times New Roman" w:eastAsia="Calibri" w:hAnsi="Times New Roman" w:cs="Times New Roman"/>
          <w:color w:val="000000"/>
          <w:sz w:val="24"/>
          <w:szCs w:val="24"/>
          <w:lang w:eastAsia="bg-BG"/>
        </w:rPr>
        <w:t xml:space="preserve">съдържащи съвети за предпазване от този вид престъпни посегателства.  </w:t>
      </w:r>
    </w:p>
    <w:p w14:paraId="0D176061" w14:textId="77777777" w:rsidR="006D7AC8" w:rsidRPr="006C13DF" w:rsidRDefault="006D7AC8" w:rsidP="002102B2">
      <w:pPr>
        <w:widowControl w:val="0"/>
        <w:autoSpaceDE w:val="0"/>
        <w:autoSpaceDN w:val="0"/>
        <w:adjustRightInd w:val="0"/>
        <w:spacing w:after="0" w:line="240" w:lineRule="auto"/>
        <w:ind w:firstLine="851"/>
        <w:jc w:val="both"/>
        <w:rPr>
          <w:rFonts w:ascii="Times New Roman" w:eastAsia="Calibri" w:hAnsi="Times New Roman" w:cs="Times New Roman"/>
          <w:color w:val="000000"/>
          <w:sz w:val="24"/>
          <w:szCs w:val="24"/>
          <w:lang w:eastAsia="bg-BG"/>
        </w:rPr>
      </w:pPr>
      <w:r w:rsidRPr="006C13DF">
        <w:rPr>
          <w:rFonts w:ascii="Times New Roman" w:eastAsia="Times New Roman" w:hAnsi="Times New Roman" w:cs="Times New Roman"/>
          <w:sz w:val="24"/>
          <w:szCs w:val="24"/>
          <w:lang w:eastAsia="bg-BG"/>
        </w:rPr>
        <w:t xml:space="preserve">Между Главна дирекция „Национална полиция“ (ГДНП) </w:t>
      </w:r>
      <w:r w:rsidRPr="006C13DF">
        <w:rPr>
          <w:rFonts w:ascii="Times New Roman" w:eastAsia="Calibri" w:hAnsi="Times New Roman" w:cs="Times New Roman"/>
          <w:sz w:val="24"/>
          <w:szCs w:val="24"/>
          <w:lang w:eastAsia="bg-BG"/>
        </w:rPr>
        <w:t xml:space="preserve">– МВР </w:t>
      </w:r>
      <w:r w:rsidRPr="006C13DF">
        <w:rPr>
          <w:rFonts w:ascii="Times New Roman" w:eastAsia="Times New Roman" w:hAnsi="Times New Roman" w:cs="Times New Roman"/>
          <w:sz w:val="24"/>
          <w:szCs w:val="24"/>
          <w:lang w:eastAsia="bg-BG"/>
        </w:rPr>
        <w:t>и Съюза на ключарите в България е сключено Споразумение за взаимодействие, в рамките на което на територията на страната са организирани и проведени обучения на</w:t>
      </w:r>
      <w:r w:rsidRPr="006C13DF">
        <w:rPr>
          <w:rFonts w:ascii="Times New Roman" w:eastAsia="Times New Roman" w:hAnsi="Times New Roman" w:cs="Times New Roman"/>
          <w:sz w:val="24"/>
          <w:szCs w:val="24"/>
        </w:rPr>
        <w:t xml:space="preserve"> полицейските служители от областните дирекции на МВР, с участието на служители от ГДНП и представители на Съюза на ключарите в България. Целта е </w:t>
      </w:r>
      <w:r w:rsidRPr="006C13DF">
        <w:rPr>
          <w:rFonts w:ascii="Times New Roman" w:eastAsia="Times New Roman" w:hAnsi="Times New Roman" w:cs="Times New Roman"/>
          <w:sz w:val="24"/>
          <w:szCs w:val="24"/>
          <w:shd w:val="clear" w:color="auto" w:fill="FFFFFF"/>
          <w:lang w:eastAsia="bg-BG"/>
        </w:rPr>
        <w:t xml:space="preserve">повишаване на знанията на полицаите за съвременните технологии за защита на имуществото, както и </w:t>
      </w:r>
      <w:r w:rsidRPr="006C13DF">
        <w:rPr>
          <w:rFonts w:ascii="Times New Roman" w:eastAsia="Times New Roman" w:hAnsi="Times New Roman" w:cs="Times New Roman"/>
          <w:sz w:val="24"/>
          <w:szCs w:val="24"/>
        </w:rPr>
        <w:t xml:space="preserve">за </w:t>
      </w:r>
      <w:r w:rsidRPr="006C13DF">
        <w:rPr>
          <w:rFonts w:ascii="Times New Roman" w:eastAsia="Times New Roman" w:hAnsi="Times New Roman" w:cs="Times New Roman"/>
          <w:sz w:val="24"/>
          <w:szCs w:val="24"/>
          <w:lang w:eastAsia="bg-BG"/>
        </w:rPr>
        <w:t xml:space="preserve">актуалните видове защита и тенденции при използването на различните класове </w:t>
      </w:r>
      <w:r w:rsidRPr="006C13DF">
        <w:rPr>
          <w:rFonts w:ascii="Times New Roman" w:eastAsia="Times New Roman" w:hAnsi="Times New Roman" w:cs="Times New Roman"/>
          <w:sz w:val="24"/>
          <w:szCs w:val="24"/>
        </w:rPr>
        <w:t xml:space="preserve">брави за пресичане на домовите кражби. </w:t>
      </w:r>
    </w:p>
    <w:p w14:paraId="54D91751" w14:textId="77777777" w:rsidR="006D7AC8" w:rsidRPr="006C13DF" w:rsidRDefault="006D7AC8" w:rsidP="002102B2">
      <w:pPr>
        <w:shd w:val="clear" w:color="auto" w:fill="FFFFFF"/>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В рамките на </w:t>
      </w:r>
      <w:r w:rsidRPr="006C13DF">
        <w:rPr>
          <w:rFonts w:ascii="Times New Roman" w:eastAsia="Times New Roman" w:hAnsi="Times New Roman" w:cs="Times New Roman"/>
          <w:b/>
          <w:sz w:val="24"/>
          <w:szCs w:val="24"/>
          <w:lang w:eastAsia="bg-BG"/>
        </w:rPr>
        <w:t>Национална програма за превенция на телефонните измами</w:t>
      </w:r>
      <w:r w:rsidRPr="006C13DF">
        <w:rPr>
          <w:rFonts w:ascii="Times New Roman" w:eastAsia="Times New Roman" w:hAnsi="Times New Roman" w:cs="Times New Roman"/>
          <w:sz w:val="24"/>
          <w:szCs w:val="24"/>
          <w:lang w:eastAsia="bg-BG"/>
        </w:rPr>
        <w:t xml:space="preserve"> е изготвен видео-материал с превантивно съдържание и са отпечатани информационни материали, с което се цели по-голяма осведоменост сред възрастните и самотно живеещите хора за начините за безопасно поведение и защита от такъв вид престъпни посегателства. </w:t>
      </w:r>
    </w:p>
    <w:p w14:paraId="27607377" w14:textId="77777777" w:rsidR="006D7AC8" w:rsidRPr="006C13DF" w:rsidRDefault="006D7AC8" w:rsidP="002102B2">
      <w:pPr>
        <w:shd w:val="clear" w:color="auto" w:fill="FFFFFF"/>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За популяризиране на информационните материали на </w:t>
      </w:r>
      <w:r w:rsidRPr="006C13DF">
        <w:rPr>
          <w:rFonts w:ascii="Times New Roman" w:eastAsia="Calibri" w:hAnsi="Times New Roman" w:cs="Times New Roman"/>
          <w:sz w:val="24"/>
          <w:szCs w:val="24"/>
          <w:shd w:val="clear" w:color="auto" w:fill="FFFFFF"/>
        </w:rPr>
        <w:t xml:space="preserve">местата, посещавани от възрастни хора, </w:t>
      </w:r>
      <w:r w:rsidRPr="006C13DF">
        <w:rPr>
          <w:rFonts w:ascii="Times New Roman" w:eastAsia="Times New Roman" w:hAnsi="Times New Roman" w:cs="Times New Roman"/>
          <w:sz w:val="24"/>
          <w:szCs w:val="24"/>
          <w:lang w:eastAsia="bg-BG"/>
        </w:rPr>
        <w:t>са проведени работни срещи между служители на ГДНП и представители на различни институции и юридически лица като „Български пощи“ ЕАД, „Метрополитен“ ЕАД, Национална компания „Железопътна инфраструктура“, „БДЖ – Пътнически превози“ ЕООД и Българското национално радио (БНР).</w:t>
      </w:r>
    </w:p>
    <w:p w14:paraId="3A3A6B6E" w14:textId="77777777" w:rsidR="006D7AC8" w:rsidRPr="006C13DF" w:rsidRDefault="006D7AC8" w:rsidP="002102B2">
      <w:pPr>
        <w:shd w:val="clear" w:color="auto" w:fill="FFFFFF"/>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shd w:val="clear" w:color="auto" w:fill="FFFFFF"/>
          <w:lang w:eastAsia="bg-BG"/>
        </w:rPr>
        <w:t xml:space="preserve">За осъществяване на съвместните дейности в борбата с телефонните и друг вид измами е сключено Споразумение за сътрудничество между </w:t>
      </w:r>
      <w:r w:rsidRPr="006C13DF">
        <w:rPr>
          <w:rFonts w:ascii="Times New Roman" w:eastAsia="Times New Roman" w:hAnsi="Times New Roman" w:cs="Times New Roman"/>
          <w:sz w:val="24"/>
          <w:szCs w:val="24"/>
          <w:lang w:eastAsia="bg-BG"/>
        </w:rPr>
        <w:t>ГДНП и БНР.</w:t>
      </w:r>
    </w:p>
    <w:p w14:paraId="6E383493" w14:textId="77777777" w:rsidR="006D7AC8" w:rsidRPr="006C13DF" w:rsidRDefault="006D7AC8" w:rsidP="002102B2">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С оглед осигуряване на присъствие в малки и отдалечени населени места, установяване на</w:t>
      </w:r>
      <w:r w:rsidRPr="006C13DF">
        <w:rPr>
          <w:rFonts w:ascii="Times New Roman" w:eastAsia="Times New Roman" w:hAnsi="Times New Roman" w:cs="Times New Roman"/>
          <w:color w:val="FF0000"/>
          <w:sz w:val="24"/>
          <w:szCs w:val="24"/>
          <w:lang w:eastAsia="bg-BG"/>
        </w:rPr>
        <w:t xml:space="preserve"> </w:t>
      </w:r>
      <w:r w:rsidRPr="006C13DF">
        <w:rPr>
          <w:rFonts w:ascii="Times New Roman" w:eastAsia="Times New Roman" w:hAnsi="Times New Roman" w:cs="Times New Roman"/>
          <w:sz w:val="24"/>
          <w:szCs w:val="24"/>
          <w:lang w:eastAsia="bg-BG"/>
        </w:rPr>
        <w:t>съществуващите проблеми и предотвратяване и пресичане на противоправни деяния, са сформирани мобилни групи от полицейски служители в областните дирекции на МВР и служители на Главна дирекция „Пожарна безопасност и защита на населението“. Мобилните групи организират ежемесечно посещения и срещи с гражданите в малките и отдалечени населени места, в резултат на които се придобива актуална информация и сигнали за нарушения на обществения ред.</w:t>
      </w:r>
      <w:r w:rsidRPr="00A9795C">
        <w:rPr>
          <w:rFonts w:ascii="Times New Roman" w:eastAsia="Times New Roman" w:hAnsi="Times New Roman" w:cs="Times New Roman"/>
          <w:sz w:val="24"/>
          <w:szCs w:val="24"/>
          <w:lang w:eastAsia="bg-BG"/>
        </w:rPr>
        <w:t xml:space="preserve"> През 2023 г. са посетени 4120 места и са проведени 5984 срещи, а през 2024 г. са посетени 3877 малки населени места и са проведени 4891 срещи с граждани.</w:t>
      </w:r>
    </w:p>
    <w:p w14:paraId="7D45CE87" w14:textId="77777777" w:rsidR="006D7AC8" w:rsidRPr="006C13DF" w:rsidRDefault="006D7AC8" w:rsidP="002102B2">
      <w:pPr>
        <w:pStyle w:val="ListParagraph"/>
        <w:spacing w:after="0" w:line="240" w:lineRule="auto"/>
        <w:ind w:left="0"/>
        <w:jc w:val="both"/>
        <w:rPr>
          <w:rFonts w:ascii="Times New Roman" w:hAnsi="Times New Roman" w:cs="Times New Roman"/>
          <w:b/>
          <w:sz w:val="24"/>
          <w:szCs w:val="24"/>
          <w:lang w:val="ru-RU"/>
        </w:rPr>
      </w:pPr>
    </w:p>
    <w:p w14:paraId="7A111D3B" w14:textId="77777777" w:rsidR="00EB2DEE" w:rsidRPr="006C13DF" w:rsidRDefault="00EB2DEE" w:rsidP="002102B2">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Министерство на ВЪТРЕШНИТЕ РАБОТИ</w:t>
      </w:r>
    </w:p>
    <w:p w14:paraId="7D9B5AF0" w14:textId="77777777" w:rsidR="00EB2DEE" w:rsidRPr="006C13DF" w:rsidRDefault="00EB2DEE" w:rsidP="002102B2">
      <w:pPr>
        <w:spacing w:after="0" w:line="240" w:lineRule="auto"/>
        <w:jc w:val="center"/>
        <w:rPr>
          <w:rFonts w:ascii="Times New Roman" w:hAnsi="Times New Roman" w:cs="Times New Roman"/>
          <w:b/>
          <w:bCs/>
          <w:color w:val="ED7D31" w:themeColor="accent2"/>
          <w:sz w:val="24"/>
          <w:szCs w:val="24"/>
        </w:rPr>
      </w:pPr>
    </w:p>
    <w:p w14:paraId="4BFCA8CA" w14:textId="77777777" w:rsidR="00447907" w:rsidRPr="006C13DF" w:rsidRDefault="00447907" w:rsidP="002102B2">
      <w:pPr>
        <w:pStyle w:val="ListParagraph"/>
        <w:spacing w:after="0" w:line="240" w:lineRule="auto"/>
        <w:ind w:left="0"/>
        <w:jc w:val="both"/>
        <w:rPr>
          <w:rFonts w:ascii="Times New Roman" w:hAnsi="Times New Roman" w:cs="Times New Roman"/>
          <w:b/>
          <w:sz w:val="24"/>
          <w:szCs w:val="24"/>
          <w:lang w:val="ru-RU"/>
        </w:rPr>
      </w:pPr>
      <w:r w:rsidRPr="006C13DF">
        <w:rPr>
          <w:rFonts w:ascii="Times New Roman" w:hAnsi="Times New Roman" w:cs="Times New Roman"/>
          <w:b/>
          <w:sz w:val="24"/>
          <w:szCs w:val="24"/>
          <w:lang w:val="ru-RU"/>
        </w:rPr>
        <w:t xml:space="preserve">3.2.5. Мерки за </w:t>
      </w:r>
      <w:proofErr w:type="spellStart"/>
      <w:r w:rsidRPr="006C13DF">
        <w:rPr>
          <w:rFonts w:ascii="Times New Roman" w:hAnsi="Times New Roman" w:cs="Times New Roman"/>
          <w:b/>
          <w:sz w:val="24"/>
          <w:szCs w:val="24"/>
          <w:lang w:val="ru-RU"/>
        </w:rPr>
        <w:t>ограничаване</w:t>
      </w:r>
      <w:proofErr w:type="spellEnd"/>
      <w:r w:rsidRPr="006C13DF">
        <w:rPr>
          <w:rFonts w:ascii="Times New Roman" w:hAnsi="Times New Roman" w:cs="Times New Roman"/>
          <w:b/>
          <w:sz w:val="24"/>
          <w:szCs w:val="24"/>
          <w:lang w:val="ru-RU"/>
        </w:rPr>
        <w:t xml:space="preserve"> на </w:t>
      </w:r>
      <w:proofErr w:type="spellStart"/>
      <w:r w:rsidRPr="006C13DF">
        <w:rPr>
          <w:rFonts w:ascii="Times New Roman" w:hAnsi="Times New Roman" w:cs="Times New Roman"/>
          <w:b/>
          <w:sz w:val="24"/>
          <w:szCs w:val="24"/>
          <w:lang w:val="ru-RU"/>
        </w:rPr>
        <w:t>измамите</w:t>
      </w:r>
      <w:proofErr w:type="spellEnd"/>
      <w:r w:rsidRPr="006C13DF">
        <w:rPr>
          <w:rFonts w:ascii="Times New Roman" w:hAnsi="Times New Roman" w:cs="Times New Roman"/>
          <w:b/>
          <w:sz w:val="24"/>
          <w:szCs w:val="24"/>
          <w:lang w:val="ru-RU"/>
        </w:rPr>
        <w:t xml:space="preserve"> и </w:t>
      </w:r>
      <w:proofErr w:type="spellStart"/>
      <w:r w:rsidRPr="006C13DF">
        <w:rPr>
          <w:rFonts w:ascii="Times New Roman" w:hAnsi="Times New Roman" w:cs="Times New Roman"/>
          <w:b/>
          <w:sz w:val="24"/>
          <w:szCs w:val="24"/>
          <w:lang w:val="ru-RU"/>
        </w:rPr>
        <w:t>посегателствата</w:t>
      </w:r>
      <w:proofErr w:type="spellEnd"/>
      <w:r w:rsidRPr="006C13DF">
        <w:rPr>
          <w:rFonts w:ascii="Times New Roman" w:hAnsi="Times New Roman" w:cs="Times New Roman"/>
          <w:b/>
          <w:sz w:val="24"/>
          <w:szCs w:val="24"/>
          <w:lang w:val="ru-RU"/>
        </w:rPr>
        <w:t xml:space="preserve"> над </w:t>
      </w:r>
      <w:proofErr w:type="spellStart"/>
      <w:r w:rsidRPr="006C13DF">
        <w:rPr>
          <w:rFonts w:ascii="Times New Roman" w:hAnsi="Times New Roman" w:cs="Times New Roman"/>
          <w:b/>
          <w:sz w:val="24"/>
          <w:szCs w:val="24"/>
          <w:lang w:val="ru-RU"/>
        </w:rPr>
        <w:t>възрастни</w:t>
      </w:r>
      <w:proofErr w:type="spellEnd"/>
      <w:r w:rsidRPr="006C13DF">
        <w:rPr>
          <w:rFonts w:ascii="Times New Roman" w:hAnsi="Times New Roman" w:cs="Times New Roman"/>
          <w:b/>
          <w:sz w:val="24"/>
          <w:szCs w:val="24"/>
          <w:lang w:val="ru-RU"/>
        </w:rPr>
        <w:t xml:space="preserve"> и </w:t>
      </w:r>
      <w:proofErr w:type="spellStart"/>
      <w:r w:rsidRPr="006C13DF">
        <w:rPr>
          <w:rFonts w:ascii="Times New Roman" w:hAnsi="Times New Roman" w:cs="Times New Roman"/>
          <w:b/>
          <w:sz w:val="24"/>
          <w:szCs w:val="24"/>
          <w:lang w:val="ru-RU"/>
        </w:rPr>
        <w:t>самотно</w:t>
      </w:r>
      <w:proofErr w:type="spellEnd"/>
      <w:r w:rsidRPr="006C13DF">
        <w:rPr>
          <w:rFonts w:ascii="Times New Roman" w:hAnsi="Times New Roman" w:cs="Times New Roman"/>
          <w:b/>
          <w:sz w:val="24"/>
          <w:szCs w:val="24"/>
          <w:lang w:val="ru-RU"/>
        </w:rPr>
        <w:t xml:space="preserve"> </w:t>
      </w:r>
      <w:proofErr w:type="spellStart"/>
      <w:r w:rsidRPr="006C13DF">
        <w:rPr>
          <w:rFonts w:ascii="Times New Roman" w:hAnsi="Times New Roman" w:cs="Times New Roman"/>
          <w:b/>
          <w:sz w:val="24"/>
          <w:szCs w:val="24"/>
          <w:lang w:val="ru-RU"/>
        </w:rPr>
        <w:t>живеещи</w:t>
      </w:r>
      <w:proofErr w:type="spellEnd"/>
      <w:r w:rsidRPr="006C13DF">
        <w:rPr>
          <w:rFonts w:ascii="Times New Roman" w:hAnsi="Times New Roman" w:cs="Times New Roman"/>
          <w:b/>
          <w:sz w:val="24"/>
          <w:szCs w:val="24"/>
          <w:lang w:val="ru-RU"/>
        </w:rPr>
        <w:t xml:space="preserve"> хора</w:t>
      </w:r>
    </w:p>
    <w:p w14:paraId="36E4341C" w14:textId="77777777" w:rsidR="00EB2DEE" w:rsidRPr="006C13DF" w:rsidRDefault="00EB2DEE" w:rsidP="002102B2">
      <w:pPr>
        <w:pStyle w:val="ListParagraph"/>
        <w:spacing w:after="0" w:line="240" w:lineRule="auto"/>
        <w:ind w:left="0"/>
        <w:jc w:val="both"/>
        <w:rPr>
          <w:rFonts w:ascii="Times New Roman" w:hAnsi="Times New Roman" w:cs="Times New Roman"/>
          <w:b/>
          <w:sz w:val="24"/>
          <w:szCs w:val="24"/>
          <w:lang w:val="ru-RU"/>
        </w:rPr>
      </w:pPr>
    </w:p>
    <w:p w14:paraId="6BAFF122" w14:textId="77777777" w:rsidR="006D7AC8" w:rsidRDefault="006D7AC8" w:rsidP="002102B2">
      <w:pPr>
        <w:pStyle w:val="ListParagraph"/>
        <w:spacing w:after="0" w:line="240" w:lineRule="auto"/>
        <w:ind w:left="0"/>
        <w:jc w:val="both"/>
        <w:rPr>
          <w:rFonts w:ascii="Times New Roman" w:hAnsi="Times New Roman" w:cs="Times New Roman"/>
          <w:sz w:val="24"/>
          <w:szCs w:val="24"/>
          <w:lang w:val="ru-RU"/>
        </w:rPr>
      </w:pPr>
      <w:r w:rsidRPr="006C13DF">
        <w:rPr>
          <w:rFonts w:ascii="Times New Roman" w:hAnsi="Times New Roman" w:cs="Times New Roman"/>
          <w:sz w:val="24"/>
          <w:szCs w:val="24"/>
          <w:lang w:val="ru-RU"/>
        </w:rPr>
        <w:tab/>
      </w:r>
      <w:proofErr w:type="spellStart"/>
      <w:r w:rsidRPr="006C13DF">
        <w:rPr>
          <w:rFonts w:ascii="Times New Roman" w:hAnsi="Times New Roman" w:cs="Times New Roman"/>
          <w:sz w:val="24"/>
          <w:szCs w:val="24"/>
          <w:lang w:val="ru-RU"/>
        </w:rPr>
        <w:t>През</w:t>
      </w:r>
      <w:proofErr w:type="spellEnd"/>
      <w:r w:rsidRPr="006C13DF">
        <w:rPr>
          <w:rFonts w:ascii="Times New Roman" w:hAnsi="Times New Roman" w:cs="Times New Roman"/>
          <w:sz w:val="24"/>
          <w:szCs w:val="24"/>
          <w:lang w:val="ru-RU"/>
        </w:rPr>
        <w:t xml:space="preserve"> 2023 – 2024 г.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проведени</w:t>
      </w:r>
      <w:proofErr w:type="spellEnd"/>
      <w:r w:rsidRPr="006C13DF">
        <w:rPr>
          <w:rFonts w:ascii="Times New Roman" w:hAnsi="Times New Roman" w:cs="Times New Roman"/>
          <w:sz w:val="24"/>
          <w:szCs w:val="24"/>
          <w:lang w:val="ru-RU"/>
        </w:rPr>
        <w:t xml:space="preserve"> </w:t>
      </w:r>
      <w:proofErr w:type="spellStart"/>
      <w:r w:rsidRPr="00A9795C">
        <w:rPr>
          <w:rFonts w:ascii="Times New Roman" w:hAnsi="Times New Roman" w:cs="Times New Roman"/>
          <w:b/>
          <w:sz w:val="24"/>
          <w:szCs w:val="24"/>
          <w:lang w:val="ru-RU"/>
        </w:rPr>
        <w:t>информационни</w:t>
      </w:r>
      <w:proofErr w:type="spellEnd"/>
      <w:r w:rsidRPr="00A9795C">
        <w:rPr>
          <w:rFonts w:ascii="Times New Roman" w:hAnsi="Times New Roman" w:cs="Times New Roman"/>
          <w:b/>
          <w:sz w:val="24"/>
          <w:szCs w:val="24"/>
          <w:lang w:val="ru-RU"/>
        </w:rPr>
        <w:t xml:space="preserve"> кампании за превенция на </w:t>
      </w:r>
      <w:proofErr w:type="spellStart"/>
      <w:r w:rsidRPr="00A9795C">
        <w:rPr>
          <w:rFonts w:ascii="Times New Roman" w:hAnsi="Times New Roman" w:cs="Times New Roman"/>
          <w:b/>
          <w:sz w:val="24"/>
          <w:szCs w:val="24"/>
          <w:lang w:val="ru-RU"/>
        </w:rPr>
        <w:t>телефонните</w:t>
      </w:r>
      <w:proofErr w:type="spellEnd"/>
      <w:r w:rsidRPr="00A9795C">
        <w:rPr>
          <w:rFonts w:ascii="Times New Roman" w:hAnsi="Times New Roman" w:cs="Times New Roman"/>
          <w:b/>
          <w:sz w:val="24"/>
          <w:szCs w:val="24"/>
          <w:lang w:val="ru-RU"/>
        </w:rPr>
        <w:t xml:space="preserve"> измами сред </w:t>
      </w:r>
      <w:proofErr w:type="spellStart"/>
      <w:r w:rsidRPr="00A9795C">
        <w:rPr>
          <w:rFonts w:ascii="Times New Roman" w:hAnsi="Times New Roman" w:cs="Times New Roman"/>
          <w:b/>
          <w:sz w:val="24"/>
          <w:szCs w:val="24"/>
          <w:lang w:val="ru-RU"/>
        </w:rPr>
        <w:t>възрастни</w:t>
      </w:r>
      <w:proofErr w:type="spellEnd"/>
      <w:r w:rsidRPr="00A9795C">
        <w:rPr>
          <w:rFonts w:ascii="Times New Roman" w:hAnsi="Times New Roman" w:cs="Times New Roman"/>
          <w:b/>
          <w:sz w:val="24"/>
          <w:szCs w:val="24"/>
          <w:lang w:val="ru-RU"/>
        </w:rPr>
        <w:t xml:space="preserve"> и </w:t>
      </w:r>
      <w:proofErr w:type="spellStart"/>
      <w:r w:rsidRPr="00A9795C">
        <w:rPr>
          <w:rFonts w:ascii="Times New Roman" w:hAnsi="Times New Roman" w:cs="Times New Roman"/>
          <w:b/>
          <w:sz w:val="24"/>
          <w:szCs w:val="24"/>
          <w:lang w:val="ru-RU"/>
        </w:rPr>
        <w:t>самотно</w:t>
      </w:r>
      <w:proofErr w:type="spellEnd"/>
      <w:r w:rsidRPr="00A9795C">
        <w:rPr>
          <w:rFonts w:ascii="Times New Roman" w:hAnsi="Times New Roman" w:cs="Times New Roman"/>
          <w:b/>
          <w:sz w:val="24"/>
          <w:szCs w:val="24"/>
          <w:lang w:val="ru-RU"/>
        </w:rPr>
        <w:t xml:space="preserve"> </w:t>
      </w:r>
      <w:proofErr w:type="spellStart"/>
      <w:r w:rsidRPr="00A9795C">
        <w:rPr>
          <w:rFonts w:ascii="Times New Roman" w:hAnsi="Times New Roman" w:cs="Times New Roman"/>
          <w:b/>
          <w:sz w:val="24"/>
          <w:szCs w:val="24"/>
          <w:lang w:val="ru-RU"/>
        </w:rPr>
        <w:t>живеещи</w:t>
      </w:r>
      <w:proofErr w:type="spellEnd"/>
      <w:r w:rsidRPr="00A9795C">
        <w:rPr>
          <w:rFonts w:ascii="Times New Roman" w:hAnsi="Times New Roman" w:cs="Times New Roman"/>
          <w:b/>
          <w:sz w:val="24"/>
          <w:szCs w:val="24"/>
          <w:lang w:val="ru-RU"/>
        </w:rPr>
        <w:t xml:space="preserve"> хора</w:t>
      </w:r>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национално</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ниво</w:t>
      </w:r>
      <w:proofErr w:type="spellEnd"/>
      <w:r w:rsidRPr="006C13DF">
        <w:rPr>
          <w:rFonts w:ascii="Times New Roman" w:hAnsi="Times New Roman" w:cs="Times New Roman"/>
          <w:sz w:val="24"/>
          <w:szCs w:val="24"/>
          <w:lang w:val="ru-RU"/>
        </w:rPr>
        <w:t xml:space="preserve">. В три </w:t>
      </w:r>
      <w:proofErr w:type="spellStart"/>
      <w:r w:rsidRPr="006C13DF">
        <w:rPr>
          <w:rFonts w:ascii="Times New Roman" w:hAnsi="Times New Roman" w:cs="Times New Roman"/>
          <w:sz w:val="24"/>
          <w:szCs w:val="24"/>
          <w:lang w:val="ru-RU"/>
        </w:rPr>
        <w:t>отделни</w:t>
      </w:r>
      <w:proofErr w:type="spellEnd"/>
      <w:r w:rsidRPr="006C13DF">
        <w:rPr>
          <w:rFonts w:ascii="Times New Roman" w:hAnsi="Times New Roman" w:cs="Times New Roman"/>
          <w:sz w:val="24"/>
          <w:szCs w:val="24"/>
          <w:lang w:val="ru-RU"/>
        </w:rPr>
        <w:t xml:space="preserve"> кампании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разработени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материали</w:t>
      </w:r>
      <w:proofErr w:type="spellEnd"/>
      <w:r w:rsidRPr="006C13DF">
        <w:rPr>
          <w:rFonts w:ascii="Times New Roman" w:hAnsi="Times New Roman" w:cs="Times New Roman"/>
          <w:sz w:val="24"/>
          <w:szCs w:val="24"/>
          <w:lang w:val="ru-RU"/>
        </w:rPr>
        <w:t xml:space="preserve"> с </w:t>
      </w:r>
      <w:proofErr w:type="spellStart"/>
      <w:r w:rsidRPr="006C13DF">
        <w:rPr>
          <w:rFonts w:ascii="Times New Roman" w:hAnsi="Times New Roman" w:cs="Times New Roman"/>
          <w:sz w:val="24"/>
          <w:szCs w:val="24"/>
          <w:lang w:val="ru-RU"/>
        </w:rPr>
        <w:t>превантивен</w:t>
      </w:r>
      <w:proofErr w:type="spellEnd"/>
      <w:r w:rsidRPr="006C13DF">
        <w:rPr>
          <w:rFonts w:ascii="Times New Roman" w:hAnsi="Times New Roman" w:cs="Times New Roman"/>
          <w:sz w:val="24"/>
          <w:szCs w:val="24"/>
          <w:lang w:val="ru-RU"/>
        </w:rPr>
        <w:t xml:space="preserve"> характер (</w:t>
      </w:r>
      <w:proofErr w:type="spellStart"/>
      <w:r w:rsidRPr="006C13DF">
        <w:rPr>
          <w:rFonts w:ascii="Times New Roman" w:hAnsi="Times New Roman" w:cs="Times New Roman"/>
          <w:sz w:val="24"/>
          <w:szCs w:val="24"/>
          <w:lang w:val="ru-RU"/>
        </w:rPr>
        <w:t>плакати</w:t>
      </w:r>
      <w:proofErr w:type="spellEnd"/>
      <w:r w:rsidRPr="006C13DF">
        <w:rPr>
          <w:rFonts w:ascii="Times New Roman" w:hAnsi="Times New Roman" w:cs="Times New Roman"/>
          <w:sz w:val="24"/>
          <w:szCs w:val="24"/>
          <w:lang w:val="ru-RU"/>
        </w:rPr>
        <w:t xml:space="preserve"> и листовки), </w:t>
      </w:r>
      <w:proofErr w:type="spellStart"/>
      <w:r w:rsidRPr="006C13DF">
        <w:rPr>
          <w:rFonts w:ascii="Times New Roman" w:hAnsi="Times New Roman" w:cs="Times New Roman"/>
          <w:sz w:val="24"/>
          <w:szCs w:val="24"/>
          <w:lang w:val="ru-RU"/>
        </w:rPr>
        <w:t>насочени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към</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осведомяване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хората</w:t>
      </w:r>
      <w:proofErr w:type="spellEnd"/>
      <w:r w:rsidRPr="006C13DF">
        <w:rPr>
          <w:rFonts w:ascii="Times New Roman" w:hAnsi="Times New Roman" w:cs="Times New Roman"/>
          <w:sz w:val="24"/>
          <w:szCs w:val="24"/>
          <w:lang w:val="ru-RU"/>
        </w:rPr>
        <w:t xml:space="preserve"> от </w:t>
      </w:r>
      <w:proofErr w:type="spellStart"/>
      <w:r w:rsidRPr="006C13DF">
        <w:rPr>
          <w:rFonts w:ascii="Times New Roman" w:hAnsi="Times New Roman" w:cs="Times New Roman"/>
          <w:sz w:val="24"/>
          <w:szCs w:val="24"/>
          <w:lang w:val="ru-RU"/>
        </w:rPr>
        <w:t>рисковите</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групи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като</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разпространявани</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подходящи</w:t>
      </w:r>
      <w:proofErr w:type="spellEnd"/>
      <w:r w:rsidRPr="006C13DF">
        <w:rPr>
          <w:rFonts w:ascii="Times New Roman" w:hAnsi="Times New Roman" w:cs="Times New Roman"/>
          <w:sz w:val="24"/>
          <w:szCs w:val="24"/>
          <w:lang w:val="ru-RU"/>
        </w:rPr>
        <w:t xml:space="preserve"> за </w:t>
      </w:r>
      <w:proofErr w:type="spellStart"/>
      <w:r w:rsidRPr="006C13DF">
        <w:rPr>
          <w:rFonts w:ascii="Times New Roman" w:hAnsi="Times New Roman" w:cs="Times New Roman"/>
          <w:sz w:val="24"/>
          <w:szCs w:val="24"/>
          <w:lang w:val="ru-RU"/>
        </w:rPr>
        <w:t>целта</w:t>
      </w:r>
      <w:proofErr w:type="spellEnd"/>
      <w:r w:rsidRPr="006C13DF">
        <w:rPr>
          <w:rFonts w:ascii="Times New Roman" w:hAnsi="Times New Roman" w:cs="Times New Roman"/>
          <w:sz w:val="24"/>
          <w:szCs w:val="24"/>
          <w:lang w:val="ru-RU"/>
        </w:rPr>
        <w:t xml:space="preserve"> места. </w:t>
      </w:r>
      <w:proofErr w:type="spellStart"/>
      <w:r w:rsidRPr="006C13DF">
        <w:rPr>
          <w:rFonts w:ascii="Times New Roman" w:hAnsi="Times New Roman" w:cs="Times New Roman"/>
          <w:sz w:val="24"/>
          <w:szCs w:val="24"/>
          <w:lang w:val="ru-RU"/>
        </w:rPr>
        <w:t>Провеждани</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са</w:t>
      </w:r>
      <w:proofErr w:type="spellEnd"/>
      <w:r w:rsidRPr="006C13DF">
        <w:rPr>
          <w:rFonts w:ascii="Times New Roman" w:hAnsi="Times New Roman" w:cs="Times New Roman"/>
          <w:sz w:val="24"/>
          <w:szCs w:val="24"/>
          <w:lang w:val="ru-RU"/>
        </w:rPr>
        <w:t xml:space="preserve"> </w:t>
      </w:r>
      <w:proofErr w:type="spellStart"/>
      <w:r w:rsidRPr="00A9795C">
        <w:rPr>
          <w:rFonts w:ascii="Times New Roman" w:hAnsi="Times New Roman" w:cs="Times New Roman"/>
          <w:b/>
          <w:sz w:val="24"/>
          <w:szCs w:val="24"/>
          <w:lang w:val="ru-RU"/>
        </w:rPr>
        <w:t>дискусии</w:t>
      </w:r>
      <w:proofErr w:type="spellEnd"/>
      <w:r w:rsidRPr="006C13DF">
        <w:rPr>
          <w:rFonts w:ascii="Times New Roman" w:hAnsi="Times New Roman" w:cs="Times New Roman"/>
          <w:sz w:val="24"/>
          <w:szCs w:val="24"/>
          <w:lang w:val="ru-RU"/>
        </w:rPr>
        <w:t xml:space="preserve"> по </w:t>
      </w:r>
      <w:proofErr w:type="spellStart"/>
      <w:r w:rsidRPr="006C13DF">
        <w:rPr>
          <w:rFonts w:ascii="Times New Roman" w:hAnsi="Times New Roman" w:cs="Times New Roman"/>
          <w:sz w:val="24"/>
          <w:szCs w:val="24"/>
          <w:lang w:val="ru-RU"/>
        </w:rPr>
        <w:t>темата</w:t>
      </w:r>
      <w:proofErr w:type="spellEnd"/>
      <w:r w:rsidRPr="006C13DF">
        <w:rPr>
          <w:rFonts w:ascii="Times New Roman" w:hAnsi="Times New Roman" w:cs="Times New Roman"/>
          <w:sz w:val="24"/>
          <w:szCs w:val="24"/>
          <w:lang w:val="ru-RU"/>
        </w:rPr>
        <w:t xml:space="preserve"> в </w:t>
      </w:r>
      <w:proofErr w:type="spellStart"/>
      <w:r w:rsidRPr="00A9795C">
        <w:rPr>
          <w:rFonts w:ascii="Times New Roman" w:hAnsi="Times New Roman" w:cs="Times New Roman"/>
          <w:b/>
          <w:sz w:val="24"/>
          <w:szCs w:val="24"/>
          <w:lang w:val="ru-RU"/>
        </w:rPr>
        <w:t>пенсионерски</w:t>
      </w:r>
      <w:proofErr w:type="spellEnd"/>
      <w:r w:rsidRPr="00A9795C">
        <w:rPr>
          <w:rFonts w:ascii="Times New Roman" w:hAnsi="Times New Roman" w:cs="Times New Roman"/>
          <w:b/>
          <w:sz w:val="24"/>
          <w:szCs w:val="24"/>
          <w:lang w:val="ru-RU"/>
        </w:rPr>
        <w:t xml:space="preserve"> </w:t>
      </w:r>
      <w:proofErr w:type="spellStart"/>
      <w:r w:rsidRPr="00A9795C">
        <w:rPr>
          <w:rFonts w:ascii="Times New Roman" w:hAnsi="Times New Roman" w:cs="Times New Roman"/>
          <w:b/>
          <w:sz w:val="24"/>
          <w:szCs w:val="24"/>
          <w:lang w:val="ru-RU"/>
        </w:rPr>
        <w:t>клубове</w:t>
      </w:r>
      <w:proofErr w:type="spellEnd"/>
      <w:r w:rsidRPr="00A9795C">
        <w:rPr>
          <w:rFonts w:ascii="Times New Roman" w:hAnsi="Times New Roman" w:cs="Times New Roman"/>
          <w:b/>
          <w:sz w:val="24"/>
          <w:szCs w:val="24"/>
          <w:lang w:val="ru-RU"/>
        </w:rPr>
        <w:t xml:space="preserve"> и </w:t>
      </w:r>
      <w:proofErr w:type="spellStart"/>
      <w:r w:rsidRPr="00A9795C">
        <w:rPr>
          <w:rFonts w:ascii="Times New Roman" w:hAnsi="Times New Roman" w:cs="Times New Roman"/>
          <w:b/>
          <w:sz w:val="24"/>
          <w:szCs w:val="24"/>
          <w:lang w:val="ru-RU"/>
        </w:rPr>
        <w:t>други</w:t>
      </w:r>
      <w:proofErr w:type="spellEnd"/>
      <w:r w:rsidRPr="00A9795C">
        <w:rPr>
          <w:rFonts w:ascii="Times New Roman" w:hAnsi="Times New Roman" w:cs="Times New Roman"/>
          <w:b/>
          <w:sz w:val="24"/>
          <w:szCs w:val="24"/>
          <w:lang w:val="ru-RU"/>
        </w:rPr>
        <w:t xml:space="preserve"> места, </w:t>
      </w:r>
      <w:proofErr w:type="spellStart"/>
      <w:r w:rsidRPr="00A9795C">
        <w:rPr>
          <w:rFonts w:ascii="Times New Roman" w:hAnsi="Times New Roman" w:cs="Times New Roman"/>
          <w:b/>
          <w:sz w:val="24"/>
          <w:szCs w:val="24"/>
          <w:lang w:val="ru-RU"/>
        </w:rPr>
        <w:t>където</w:t>
      </w:r>
      <w:proofErr w:type="spellEnd"/>
      <w:r w:rsidRPr="00A9795C">
        <w:rPr>
          <w:rFonts w:ascii="Times New Roman" w:hAnsi="Times New Roman" w:cs="Times New Roman"/>
          <w:b/>
          <w:sz w:val="24"/>
          <w:szCs w:val="24"/>
          <w:lang w:val="ru-RU"/>
        </w:rPr>
        <w:t xml:space="preserve"> се </w:t>
      </w:r>
      <w:proofErr w:type="spellStart"/>
      <w:r w:rsidRPr="00A9795C">
        <w:rPr>
          <w:rFonts w:ascii="Times New Roman" w:hAnsi="Times New Roman" w:cs="Times New Roman"/>
          <w:b/>
          <w:sz w:val="24"/>
          <w:szCs w:val="24"/>
          <w:lang w:val="ru-RU"/>
        </w:rPr>
        <w:t>събират</w:t>
      </w:r>
      <w:proofErr w:type="spellEnd"/>
      <w:r w:rsidRPr="00A9795C">
        <w:rPr>
          <w:rFonts w:ascii="Times New Roman" w:hAnsi="Times New Roman" w:cs="Times New Roman"/>
          <w:b/>
          <w:sz w:val="24"/>
          <w:szCs w:val="24"/>
          <w:lang w:val="ru-RU"/>
        </w:rPr>
        <w:t xml:space="preserve"> представители на </w:t>
      </w:r>
      <w:proofErr w:type="spellStart"/>
      <w:r w:rsidRPr="00A9795C">
        <w:rPr>
          <w:rFonts w:ascii="Times New Roman" w:hAnsi="Times New Roman" w:cs="Times New Roman"/>
          <w:b/>
          <w:sz w:val="24"/>
          <w:szCs w:val="24"/>
          <w:lang w:val="ru-RU"/>
        </w:rPr>
        <w:t>целевата</w:t>
      </w:r>
      <w:proofErr w:type="spellEnd"/>
      <w:r w:rsidRPr="00A9795C">
        <w:rPr>
          <w:rFonts w:ascii="Times New Roman" w:hAnsi="Times New Roman" w:cs="Times New Roman"/>
          <w:b/>
          <w:sz w:val="24"/>
          <w:szCs w:val="24"/>
          <w:lang w:val="ru-RU"/>
        </w:rPr>
        <w:t xml:space="preserve"> </w:t>
      </w:r>
      <w:proofErr w:type="spellStart"/>
      <w:r w:rsidRPr="00A9795C">
        <w:rPr>
          <w:rFonts w:ascii="Times New Roman" w:hAnsi="Times New Roman" w:cs="Times New Roman"/>
          <w:b/>
          <w:sz w:val="24"/>
          <w:szCs w:val="24"/>
          <w:lang w:val="ru-RU"/>
        </w:rPr>
        <w:t>група</w:t>
      </w:r>
      <w:proofErr w:type="spellEnd"/>
      <w:r w:rsidRPr="006C13DF">
        <w:rPr>
          <w:rFonts w:ascii="Times New Roman" w:hAnsi="Times New Roman" w:cs="Times New Roman"/>
          <w:sz w:val="24"/>
          <w:szCs w:val="24"/>
          <w:lang w:val="ru-RU"/>
        </w:rPr>
        <w:t xml:space="preserve">. В </w:t>
      </w:r>
      <w:proofErr w:type="spellStart"/>
      <w:r w:rsidRPr="006C13DF">
        <w:rPr>
          <w:rFonts w:ascii="Times New Roman" w:hAnsi="Times New Roman" w:cs="Times New Roman"/>
          <w:sz w:val="24"/>
          <w:szCs w:val="24"/>
          <w:lang w:val="ru-RU"/>
        </w:rPr>
        <w:t>рамките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съвместна</w:t>
      </w:r>
      <w:proofErr w:type="spellEnd"/>
      <w:r w:rsidRPr="006C13DF">
        <w:rPr>
          <w:rFonts w:ascii="Times New Roman" w:hAnsi="Times New Roman" w:cs="Times New Roman"/>
          <w:sz w:val="24"/>
          <w:szCs w:val="24"/>
          <w:lang w:val="ru-RU"/>
        </w:rPr>
        <w:t xml:space="preserve"> кампания с „</w:t>
      </w:r>
      <w:proofErr w:type="spellStart"/>
      <w:r w:rsidRPr="006C13DF">
        <w:rPr>
          <w:rFonts w:ascii="Times New Roman" w:hAnsi="Times New Roman" w:cs="Times New Roman"/>
          <w:sz w:val="24"/>
          <w:szCs w:val="24"/>
          <w:lang w:val="ru-RU"/>
        </w:rPr>
        <w:t>Кауфланд</w:t>
      </w:r>
      <w:proofErr w:type="spellEnd"/>
      <w:r w:rsidRPr="006C13DF">
        <w:rPr>
          <w:rFonts w:ascii="Times New Roman" w:hAnsi="Times New Roman" w:cs="Times New Roman"/>
          <w:sz w:val="24"/>
          <w:szCs w:val="24"/>
          <w:lang w:val="ru-RU"/>
        </w:rPr>
        <w:t xml:space="preserve">“ е </w:t>
      </w:r>
      <w:proofErr w:type="spellStart"/>
      <w:r w:rsidRPr="006C13DF">
        <w:rPr>
          <w:rFonts w:ascii="Times New Roman" w:hAnsi="Times New Roman" w:cs="Times New Roman"/>
          <w:sz w:val="24"/>
          <w:szCs w:val="24"/>
          <w:lang w:val="ru-RU"/>
        </w:rPr>
        <w:t>разработен</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аудиоспот</w:t>
      </w:r>
      <w:proofErr w:type="spellEnd"/>
      <w:r w:rsidRPr="006C13DF">
        <w:rPr>
          <w:rFonts w:ascii="Times New Roman" w:hAnsi="Times New Roman" w:cs="Times New Roman"/>
          <w:sz w:val="24"/>
          <w:szCs w:val="24"/>
          <w:lang w:val="ru-RU"/>
        </w:rPr>
        <w:t xml:space="preserve"> с </w:t>
      </w:r>
      <w:proofErr w:type="spellStart"/>
      <w:r w:rsidRPr="006C13DF">
        <w:rPr>
          <w:rFonts w:ascii="Times New Roman" w:hAnsi="Times New Roman" w:cs="Times New Roman"/>
          <w:sz w:val="24"/>
          <w:szCs w:val="24"/>
          <w:lang w:val="ru-RU"/>
        </w:rPr>
        <w:t>превантивно</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съдържание</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разпространяван</w:t>
      </w:r>
      <w:proofErr w:type="spellEnd"/>
      <w:r w:rsidRPr="006C13DF">
        <w:rPr>
          <w:rFonts w:ascii="Times New Roman" w:hAnsi="Times New Roman" w:cs="Times New Roman"/>
          <w:sz w:val="24"/>
          <w:szCs w:val="24"/>
          <w:lang w:val="ru-RU"/>
        </w:rPr>
        <w:t xml:space="preserve"> в </w:t>
      </w:r>
      <w:proofErr w:type="spellStart"/>
      <w:r w:rsidRPr="006C13DF">
        <w:rPr>
          <w:rFonts w:ascii="Times New Roman" w:hAnsi="Times New Roman" w:cs="Times New Roman"/>
          <w:sz w:val="24"/>
          <w:szCs w:val="24"/>
          <w:lang w:val="ru-RU"/>
        </w:rPr>
        <w:t>магазинната</w:t>
      </w:r>
      <w:proofErr w:type="spellEnd"/>
      <w:r w:rsidRPr="006C13DF">
        <w:rPr>
          <w:rFonts w:ascii="Times New Roman" w:hAnsi="Times New Roman" w:cs="Times New Roman"/>
          <w:sz w:val="24"/>
          <w:szCs w:val="24"/>
          <w:lang w:val="ru-RU"/>
        </w:rPr>
        <w:t xml:space="preserve"> мрежа. Проведена е и </w:t>
      </w:r>
      <w:proofErr w:type="spellStart"/>
      <w:r w:rsidRPr="006C13DF">
        <w:rPr>
          <w:rFonts w:ascii="Times New Roman" w:hAnsi="Times New Roman" w:cs="Times New Roman"/>
          <w:sz w:val="24"/>
          <w:szCs w:val="24"/>
          <w:lang w:val="ru-RU"/>
        </w:rPr>
        <w:t>съвместна</w:t>
      </w:r>
      <w:proofErr w:type="spellEnd"/>
      <w:r w:rsidRPr="006C13DF">
        <w:rPr>
          <w:rFonts w:ascii="Times New Roman" w:hAnsi="Times New Roman" w:cs="Times New Roman"/>
          <w:sz w:val="24"/>
          <w:szCs w:val="24"/>
          <w:lang w:val="ru-RU"/>
        </w:rPr>
        <w:t xml:space="preserve"> кампания с „</w:t>
      </w:r>
      <w:proofErr w:type="spellStart"/>
      <w:r w:rsidRPr="006C13DF">
        <w:rPr>
          <w:rFonts w:ascii="Times New Roman" w:hAnsi="Times New Roman" w:cs="Times New Roman"/>
          <w:sz w:val="24"/>
          <w:szCs w:val="24"/>
          <w:lang w:val="ru-RU"/>
        </w:rPr>
        <w:t>Електрохолд</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България</w:t>
      </w:r>
      <w:proofErr w:type="spellEnd"/>
      <w:r w:rsidRPr="006C13DF">
        <w:rPr>
          <w:rFonts w:ascii="Times New Roman" w:hAnsi="Times New Roman" w:cs="Times New Roman"/>
          <w:sz w:val="24"/>
          <w:szCs w:val="24"/>
          <w:lang w:val="ru-RU"/>
        </w:rPr>
        <w:t xml:space="preserve">“, при </w:t>
      </w:r>
      <w:proofErr w:type="spellStart"/>
      <w:r w:rsidRPr="006C13DF">
        <w:rPr>
          <w:rFonts w:ascii="Times New Roman" w:hAnsi="Times New Roman" w:cs="Times New Roman"/>
          <w:sz w:val="24"/>
          <w:szCs w:val="24"/>
          <w:lang w:val="ru-RU"/>
        </w:rPr>
        <w:t>която</w:t>
      </w:r>
      <w:proofErr w:type="spellEnd"/>
      <w:r w:rsidRPr="006C13DF">
        <w:rPr>
          <w:rFonts w:ascii="Times New Roman" w:hAnsi="Times New Roman" w:cs="Times New Roman"/>
          <w:sz w:val="24"/>
          <w:szCs w:val="24"/>
          <w:lang w:val="ru-RU"/>
        </w:rPr>
        <w:t xml:space="preserve"> в </w:t>
      </w:r>
      <w:proofErr w:type="spellStart"/>
      <w:r w:rsidRPr="006C13DF">
        <w:rPr>
          <w:rFonts w:ascii="Times New Roman" w:hAnsi="Times New Roman" w:cs="Times New Roman"/>
          <w:sz w:val="24"/>
          <w:szCs w:val="24"/>
          <w:lang w:val="ru-RU"/>
        </w:rPr>
        <w:t>месечните</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фактури</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клиентите</w:t>
      </w:r>
      <w:proofErr w:type="spellEnd"/>
      <w:r w:rsidRPr="006C13DF">
        <w:rPr>
          <w:rFonts w:ascii="Times New Roman" w:hAnsi="Times New Roman" w:cs="Times New Roman"/>
          <w:sz w:val="24"/>
          <w:szCs w:val="24"/>
          <w:lang w:val="ru-RU"/>
        </w:rPr>
        <w:t xml:space="preserve"> на </w:t>
      </w:r>
      <w:proofErr w:type="spellStart"/>
      <w:r w:rsidRPr="006C13DF">
        <w:rPr>
          <w:rFonts w:ascii="Times New Roman" w:hAnsi="Times New Roman" w:cs="Times New Roman"/>
          <w:sz w:val="24"/>
          <w:szCs w:val="24"/>
          <w:lang w:val="ru-RU"/>
        </w:rPr>
        <w:t>електроразпределителното</w:t>
      </w:r>
      <w:proofErr w:type="spellEnd"/>
      <w:r w:rsidRPr="006C13DF">
        <w:rPr>
          <w:rFonts w:ascii="Times New Roman" w:hAnsi="Times New Roman" w:cs="Times New Roman"/>
          <w:sz w:val="24"/>
          <w:szCs w:val="24"/>
          <w:lang w:val="ru-RU"/>
        </w:rPr>
        <w:t xml:space="preserve"> дружество е </w:t>
      </w:r>
      <w:proofErr w:type="spellStart"/>
      <w:r w:rsidRPr="006C13DF">
        <w:rPr>
          <w:rFonts w:ascii="Times New Roman" w:hAnsi="Times New Roman" w:cs="Times New Roman"/>
          <w:sz w:val="24"/>
          <w:szCs w:val="24"/>
          <w:lang w:val="ru-RU"/>
        </w:rPr>
        <w:t>публикуван</w:t>
      </w:r>
      <w:proofErr w:type="spellEnd"/>
      <w:r w:rsidRPr="006C13DF">
        <w:rPr>
          <w:rFonts w:ascii="Times New Roman" w:hAnsi="Times New Roman" w:cs="Times New Roman"/>
          <w:sz w:val="24"/>
          <w:szCs w:val="24"/>
          <w:lang w:val="ru-RU"/>
        </w:rPr>
        <w:t xml:space="preserve"> текст с </w:t>
      </w:r>
      <w:proofErr w:type="spellStart"/>
      <w:r w:rsidRPr="006C13DF">
        <w:rPr>
          <w:rFonts w:ascii="Times New Roman" w:hAnsi="Times New Roman" w:cs="Times New Roman"/>
          <w:sz w:val="24"/>
          <w:szCs w:val="24"/>
          <w:lang w:val="ru-RU"/>
        </w:rPr>
        <w:t>превантивен</w:t>
      </w:r>
      <w:proofErr w:type="spellEnd"/>
      <w:r w:rsidRPr="006C13DF">
        <w:rPr>
          <w:rFonts w:ascii="Times New Roman" w:hAnsi="Times New Roman" w:cs="Times New Roman"/>
          <w:sz w:val="24"/>
          <w:szCs w:val="24"/>
          <w:lang w:val="ru-RU"/>
        </w:rPr>
        <w:t xml:space="preserve"> характер, </w:t>
      </w:r>
      <w:proofErr w:type="spellStart"/>
      <w:r w:rsidRPr="006C13DF">
        <w:rPr>
          <w:rFonts w:ascii="Times New Roman" w:hAnsi="Times New Roman" w:cs="Times New Roman"/>
          <w:sz w:val="24"/>
          <w:szCs w:val="24"/>
          <w:lang w:val="ru-RU"/>
        </w:rPr>
        <w:t>насочен</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към</w:t>
      </w:r>
      <w:proofErr w:type="spellEnd"/>
      <w:r w:rsidRPr="006C13DF">
        <w:rPr>
          <w:rFonts w:ascii="Times New Roman" w:hAnsi="Times New Roman" w:cs="Times New Roman"/>
          <w:sz w:val="24"/>
          <w:szCs w:val="24"/>
          <w:lang w:val="ru-RU"/>
        </w:rPr>
        <w:t xml:space="preserve"> </w:t>
      </w:r>
      <w:proofErr w:type="spellStart"/>
      <w:r w:rsidRPr="006C13DF">
        <w:rPr>
          <w:rFonts w:ascii="Times New Roman" w:hAnsi="Times New Roman" w:cs="Times New Roman"/>
          <w:sz w:val="24"/>
          <w:szCs w:val="24"/>
          <w:lang w:val="ru-RU"/>
        </w:rPr>
        <w:t>борбата</w:t>
      </w:r>
      <w:proofErr w:type="spellEnd"/>
      <w:r w:rsidRPr="006C13DF">
        <w:rPr>
          <w:rFonts w:ascii="Times New Roman" w:hAnsi="Times New Roman" w:cs="Times New Roman"/>
          <w:sz w:val="24"/>
          <w:szCs w:val="24"/>
          <w:lang w:val="ru-RU"/>
        </w:rPr>
        <w:t xml:space="preserve"> с </w:t>
      </w:r>
      <w:proofErr w:type="spellStart"/>
      <w:r w:rsidRPr="006C13DF">
        <w:rPr>
          <w:rFonts w:ascii="Times New Roman" w:hAnsi="Times New Roman" w:cs="Times New Roman"/>
          <w:sz w:val="24"/>
          <w:szCs w:val="24"/>
          <w:lang w:val="ru-RU"/>
        </w:rPr>
        <w:t>телефонните</w:t>
      </w:r>
      <w:proofErr w:type="spellEnd"/>
      <w:r w:rsidRPr="006C13DF">
        <w:rPr>
          <w:rFonts w:ascii="Times New Roman" w:hAnsi="Times New Roman" w:cs="Times New Roman"/>
          <w:sz w:val="24"/>
          <w:szCs w:val="24"/>
          <w:lang w:val="ru-RU"/>
        </w:rPr>
        <w:t xml:space="preserve"> измами.</w:t>
      </w:r>
    </w:p>
    <w:p w14:paraId="57C292D2" w14:textId="77777777" w:rsidR="00B74D6E" w:rsidRDefault="00B74D6E" w:rsidP="002102B2">
      <w:pPr>
        <w:pStyle w:val="ListParagraph"/>
        <w:spacing w:after="0" w:line="240" w:lineRule="auto"/>
        <w:ind w:left="0"/>
        <w:jc w:val="both"/>
        <w:rPr>
          <w:rFonts w:ascii="Times New Roman" w:hAnsi="Times New Roman" w:cs="Times New Roman"/>
          <w:sz w:val="24"/>
          <w:szCs w:val="24"/>
          <w:lang w:val="ru-RU"/>
        </w:rPr>
      </w:pPr>
    </w:p>
    <w:p w14:paraId="5E876AAA" w14:textId="77777777" w:rsidR="00B74D6E" w:rsidRPr="006C13DF" w:rsidRDefault="00B74D6E" w:rsidP="00B74D6E">
      <w:pPr>
        <w:spacing w:after="0" w:line="240" w:lineRule="auto"/>
        <w:jc w:val="center"/>
        <w:rPr>
          <w:rFonts w:ascii="Times New Roman" w:eastAsia="Calibri" w:hAnsi="Times New Roman" w:cs="Times New Roman"/>
          <w:b/>
          <w:caps/>
          <w:color w:val="C0504D"/>
          <w:sz w:val="24"/>
          <w:szCs w:val="24"/>
        </w:rPr>
      </w:pPr>
      <w:r w:rsidRPr="006C13DF">
        <w:rPr>
          <w:rFonts w:ascii="Times New Roman" w:eastAsia="Calibri" w:hAnsi="Times New Roman" w:cs="Times New Roman"/>
          <w:b/>
          <w:caps/>
          <w:color w:val="C0504D"/>
          <w:sz w:val="24"/>
          <w:szCs w:val="24"/>
        </w:rPr>
        <w:t xml:space="preserve">Министерство на </w:t>
      </w:r>
      <w:r>
        <w:rPr>
          <w:rFonts w:ascii="Times New Roman" w:eastAsia="Calibri" w:hAnsi="Times New Roman" w:cs="Times New Roman"/>
          <w:b/>
          <w:caps/>
          <w:color w:val="C0504D"/>
          <w:sz w:val="24"/>
          <w:szCs w:val="24"/>
        </w:rPr>
        <w:t>ОТБРАНАТА</w:t>
      </w:r>
    </w:p>
    <w:p w14:paraId="0C13D693" w14:textId="77777777" w:rsidR="00B74D6E" w:rsidRDefault="00B74D6E" w:rsidP="002102B2">
      <w:pPr>
        <w:pStyle w:val="ListParagraph"/>
        <w:spacing w:after="0" w:line="240" w:lineRule="auto"/>
        <w:ind w:left="0"/>
        <w:jc w:val="both"/>
        <w:rPr>
          <w:rFonts w:ascii="Times New Roman" w:hAnsi="Times New Roman" w:cs="Times New Roman"/>
          <w:sz w:val="24"/>
          <w:szCs w:val="24"/>
          <w:lang w:val="ru-RU"/>
        </w:rPr>
      </w:pPr>
    </w:p>
    <w:p w14:paraId="701B7E92" w14:textId="77777777" w:rsidR="00B74D6E" w:rsidRPr="00B74D6E" w:rsidRDefault="00B74D6E" w:rsidP="00B74D6E">
      <w:pPr>
        <w:spacing w:after="0" w:line="240" w:lineRule="auto"/>
        <w:contextualSpacing/>
        <w:jc w:val="both"/>
        <w:rPr>
          <w:rFonts w:ascii="Times New Roman" w:eastAsia="Calibri" w:hAnsi="Times New Roman" w:cs="Times New Roman"/>
          <w:b/>
          <w:sz w:val="24"/>
          <w:szCs w:val="24"/>
        </w:rPr>
      </w:pPr>
      <w:r w:rsidRPr="00B74D6E">
        <w:rPr>
          <w:rFonts w:ascii="Times New Roman" w:eastAsia="Calibri" w:hAnsi="Times New Roman" w:cs="Times New Roman"/>
          <w:b/>
          <w:sz w:val="24"/>
          <w:szCs w:val="24"/>
        </w:rPr>
        <w:t>3.2.6. Осигуряване на социалните кухни към Министерството на отбраната за пенсионирани военнослужещи от Министерството на отбраната, структурите на пряко подчинение на министъра на отбраната и Българската армия, ветерани от войните, военноинвалиди, военно пострадали и български граждани, участвали в мисии и операции на въоръжените сили на Република България извън територията на страната</w:t>
      </w:r>
    </w:p>
    <w:p w14:paraId="69D39794" w14:textId="77777777" w:rsidR="00B74D6E" w:rsidRDefault="00B74D6E" w:rsidP="00B74D6E">
      <w:pPr>
        <w:spacing w:after="0" w:line="240" w:lineRule="auto"/>
        <w:ind w:right="111"/>
        <w:jc w:val="both"/>
        <w:rPr>
          <w:rFonts w:ascii="Times New Roman" w:eastAsia="Calibri" w:hAnsi="Times New Roman" w:cs="Times New Roman"/>
          <w:b/>
          <w:i/>
          <w:sz w:val="24"/>
          <w:szCs w:val="24"/>
        </w:rPr>
      </w:pPr>
    </w:p>
    <w:p w14:paraId="756B025F" w14:textId="77777777" w:rsidR="00B74D6E" w:rsidRPr="00B74D6E" w:rsidRDefault="00B74D6E" w:rsidP="00B74D6E">
      <w:pPr>
        <w:spacing w:after="0" w:line="240" w:lineRule="auto"/>
        <w:ind w:right="111"/>
        <w:jc w:val="both"/>
        <w:rPr>
          <w:rFonts w:ascii="Times New Roman" w:eastAsia="Times New Roman" w:hAnsi="Times New Roman" w:cs="Times New Roman"/>
          <w:color w:val="FF0000"/>
          <w:sz w:val="24"/>
          <w:szCs w:val="24"/>
        </w:rPr>
      </w:pPr>
      <w:r>
        <w:rPr>
          <w:rFonts w:ascii="Times New Roman" w:eastAsia="Calibri" w:hAnsi="Times New Roman" w:cs="Times New Roman"/>
          <w:b/>
          <w:i/>
          <w:sz w:val="24"/>
          <w:szCs w:val="24"/>
        </w:rPr>
        <w:tab/>
      </w:r>
      <w:r w:rsidRPr="00B74D6E">
        <w:rPr>
          <w:rFonts w:ascii="Times New Roman" w:eastAsia="Times New Roman" w:hAnsi="Times New Roman" w:cs="Times New Roman"/>
          <w:sz w:val="24"/>
          <w:szCs w:val="24"/>
        </w:rPr>
        <w:t>Министерството на отбраната осигурява социални кухни за пенсионирани военнослужещи от Министерството на отбраната, структурите на пряко подчинение на министъра на отбраната и Българската армия, ветерани от войните, военноинвалиди, военнопострадали и български граждани, участвали в мисии и операции на въоръжените сили на Република България извън територията на страната. Поддържането на социалната услуга към военните клубове са от бюджета на МО и се осъществява от Изпълнителна агенция „Военни клубове и военно-почивно дело“. Услугата „Социална кухня“ работи в градовете Банско, Ботевград,</w:t>
      </w:r>
      <w:r w:rsidRPr="00B74D6E">
        <w:rPr>
          <w:rFonts w:ascii="Times New Roman" w:eastAsia="Times New Roman" w:hAnsi="Times New Roman" w:cs="Times New Roman"/>
          <w:b/>
          <w:bCs/>
          <w:sz w:val="24"/>
          <w:szCs w:val="24"/>
        </w:rPr>
        <w:t xml:space="preserve"> </w:t>
      </w:r>
      <w:r w:rsidRPr="00B74D6E">
        <w:rPr>
          <w:rFonts w:ascii="Times New Roman" w:eastAsia="Times New Roman" w:hAnsi="Times New Roman" w:cs="Times New Roman"/>
          <w:bCs/>
          <w:sz w:val="24"/>
          <w:szCs w:val="24"/>
        </w:rPr>
        <w:t xml:space="preserve">Ямбол, Дупница, Плевен, Бургас, Варна, Благоевград, Хасково, Сливен, Велико Търново, </w:t>
      </w:r>
      <w:r w:rsidRPr="00B74D6E">
        <w:rPr>
          <w:rFonts w:ascii="Times New Roman" w:eastAsia="Times New Roman" w:hAnsi="Times New Roman" w:cs="Times New Roman"/>
          <w:sz w:val="24"/>
          <w:szCs w:val="24"/>
        </w:rPr>
        <w:t>Пловдив, Карлово, Стара Загора, Казанлък, Асеновград, Пазарджик, Кюстендил, Видин, Лом, Шумен, Русе, Чирпан и Айтос и София и е с капацитет общо 1059 места.</w:t>
      </w:r>
    </w:p>
    <w:p w14:paraId="2546EF26" w14:textId="77777777" w:rsidR="00447907" w:rsidRPr="006C13DF" w:rsidRDefault="00447907" w:rsidP="00447907">
      <w:pPr>
        <w:pStyle w:val="NormalWeb"/>
        <w:spacing w:before="0" w:beforeAutospacing="0" w:after="0" w:afterAutospacing="0" w:line="240" w:lineRule="auto"/>
        <w:ind w:right="111"/>
        <w:jc w:val="both"/>
        <w:rPr>
          <w:lang w:val="bg-B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22785658" w14:textId="77777777" w:rsidTr="00E655FD">
        <w:tc>
          <w:tcPr>
            <w:tcW w:w="9060" w:type="dxa"/>
            <w:shd w:val="clear" w:color="auto" w:fill="EBE453"/>
          </w:tcPr>
          <w:p w14:paraId="2D51495E"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3.3. Подобряване на достъпността на транспорта</w:t>
            </w:r>
          </w:p>
        </w:tc>
      </w:tr>
    </w:tbl>
    <w:p w14:paraId="7D953479" w14:textId="77777777" w:rsidR="005A2772" w:rsidRPr="006C13DF" w:rsidRDefault="005A2772" w:rsidP="00E91E47">
      <w:pPr>
        <w:pStyle w:val="ListParagraph"/>
        <w:spacing w:after="0" w:line="240" w:lineRule="auto"/>
        <w:ind w:left="0"/>
        <w:jc w:val="both"/>
        <w:rPr>
          <w:rFonts w:ascii="Times New Roman" w:hAnsi="Times New Roman" w:cs="Times New Roman"/>
          <w:b/>
          <w:i/>
        </w:rPr>
      </w:pPr>
    </w:p>
    <w:p w14:paraId="600B033C" w14:textId="77777777" w:rsidR="006E5C93" w:rsidRPr="006C13DF" w:rsidRDefault="00447907" w:rsidP="00E91E47">
      <w:pPr>
        <w:spacing w:after="0" w:line="240" w:lineRule="auto"/>
        <w:jc w:val="both"/>
        <w:rPr>
          <w:rFonts w:ascii="Times New Roman" w:eastAsia="Times New Roman" w:hAnsi="Times New Roman" w:cs="Times New Roman"/>
          <w:b/>
          <w:sz w:val="24"/>
          <w:szCs w:val="24"/>
          <w:lang w:eastAsia="bg-BG"/>
        </w:rPr>
      </w:pPr>
      <w:r w:rsidRPr="00D7409D">
        <w:rPr>
          <w:rFonts w:ascii="Times New Roman" w:eastAsia="Times New Roman" w:hAnsi="Times New Roman" w:cs="Times New Roman"/>
          <w:b/>
          <w:sz w:val="24"/>
          <w:szCs w:val="24"/>
          <w:lang w:eastAsia="bg-BG"/>
        </w:rPr>
        <w:t>3.3.1. Осигуряване на достъпни цени и транспортни услуги, съобразени с възможностите на възрастните хора</w:t>
      </w:r>
    </w:p>
    <w:p w14:paraId="2188099D" w14:textId="77777777" w:rsidR="005A2772" w:rsidRPr="006C13DF" w:rsidRDefault="005A2772" w:rsidP="00E91E47">
      <w:pPr>
        <w:pStyle w:val="ListParagraph"/>
        <w:spacing w:after="0" w:line="240" w:lineRule="auto"/>
        <w:ind w:left="0"/>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525F2A7E" w14:textId="77777777" w:rsidTr="00E655FD">
        <w:tc>
          <w:tcPr>
            <w:tcW w:w="9060" w:type="dxa"/>
            <w:shd w:val="clear" w:color="auto" w:fill="EBE453"/>
          </w:tcPr>
          <w:p w14:paraId="7AE58653"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3.4. Насърчаване на предлагането на стоки и услуги, адаптирани спрямо нуждите на възрастните хора</w:t>
            </w:r>
          </w:p>
        </w:tc>
      </w:tr>
    </w:tbl>
    <w:p w14:paraId="27EE05DB" w14:textId="77777777" w:rsidR="00EB2DEE" w:rsidRDefault="00EB2DEE" w:rsidP="00E91E47">
      <w:pPr>
        <w:pStyle w:val="ListParagraph"/>
        <w:spacing w:after="0" w:line="240" w:lineRule="auto"/>
        <w:ind w:left="0"/>
        <w:rPr>
          <w:rFonts w:ascii="Times New Roman" w:hAnsi="Times New Roman" w:cs="Times New Roman"/>
          <w:b/>
        </w:rPr>
      </w:pPr>
    </w:p>
    <w:p w14:paraId="7163737A" w14:textId="77777777" w:rsidR="00CD0E85" w:rsidRPr="00CD0E85" w:rsidRDefault="00CD0E85" w:rsidP="00CD0E85">
      <w:pPr>
        <w:spacing w:after="0" w:line="240" w:lineRule="auto"/>
        <w:jc w:val="center"/>
        <w:rPr>
          <w:rFonts w:ascii="Times New Roman" w:eastAsia="Calibri" w:hAnsi="Times New Roman" w:cs="Times New Roman"/>
          <w:b/>
          <w:caps/>
          <w:color w:val="C0504D"/>
          <w:sz w:val="24"/>
          <w:szCs w:val="24"/>
        </w:rPr>
      </w:pPr>
      <w:r w:rsidRPr="00CD0E85">
        <w:rPr>
          <w:rFonts w:ascii="Times New Roman" w:eastAsia="Calibri" w:hAnsi="Times New Roman" w:cs="Times New Roman"/>
          <w:b/>
          <w:caps/>
          <w:color w:val="C0504D"/>
          <w:sz w:val="24"/>
          <w:szCs w:val="24"/>
        </w:rPr>
        <w:t>Министерство на ОТБРАНАТА</w:t>
      </w:r>
    </w:p>
    <w:p w14:paraId="0F52161F" w14:textId="77777777" w:rsidR="006974D7" w:rsidRPr="00CD0E85" w:rsidRDefault="006974D7" w:rsidP="00CD0E85">
      <w:pPr>
        <w:pStyle w:val="ListParagraph"/>
        <w:spacing w:after="0" w:line="240" w:lineRule="auto"/>
        <w:ind w:left="0"/>
        <w:rPr>
          <w:rFonts w:ascii="Times New Roman" w:hAnsi="Times New Roman" w:cs="Times New Roman"/>
          <w:b/>
          <w:sz w:val="24"/>
          <w:szCs w:val="24"/>
        </w:rPr>
      </w:pPr>
    </w:p>
    <w:p w14:paraId="5B274E0B" w14:textId="77777777" w:rsidR="006974D7" w:rsidRDefault="006974D7" w:rsidP="00CD0E85">
      <w:pPr>
        <w:spacing w:after="0" w:line="240" w:lineRule="auto"/>
        <w:contextualSpacing/>
        <w:jc w:val="both"/>
        <w:rPr>
          <w:rFonts w:ascii="Times New Roman" w:eastAsia="Times New Roman" w:hAnsi="Times New Roman" w:cs="Times New Roman"/>
          <w:b/>
          <w:sz w:val="24"/>
          <w:szCs w:val="24"/>
        </w:rPr>
      </w:pPr>
      <w:r w:rsidRPr="00CD0E85">
        <w:rPr>
          <w:rFonts w:ascii="Times New Roman" w:eastAsia="Times New Roman" w:hAnsi="Times New Roman" w:cs="Times New Roman"/>
          <w:b/>
          <w:sz w:val="24"/>
          <w:szCs w:val="24"/>
        </w:rPr>
        <w:t>3.4.1. Предоставяне на социални услуги извън обичайната домашна среда на пенсионирани военнослужещи от Министерството на отбраната, Българската армия и структурите на пряко подчинение на министъра на отбраната, ветерани от войните, военноинвалиди, военно пострадали и др.</w:t>
      </w:r>
    </w:p>
    <w:p w14:paraId="0DE9F156" w14:textId="77777777" w:rsidR="00662CD5" w:rsidRPr="00CD0E85" w:rsidRDefault="00662CD5" w:rsidP="00CD0E85">
      <w:pPr>
        <w:spacing w:after="0" w:line="240" w:lineRule="auto"/>
        <w:contextualSpacing/>
        <w:jc w:val="both"/>
        <w:rPr>
          <w:rFonts w:ascii="Times New Roman" w:eastAsia="Times New Roman" w:hAnsi="Times New Roman" w:cs="Times New Roman"/>
          <w:b/>
          <w:sz w:val="24"/>
          <w:szCs w:val="24"/>
        </w:rPr>
      </w:pPr>
    </w:p>
    <w:p w14:paraId="62DC34F3" w14:textId="77777777" w:rsidR="006974D7" w:rsidRPr="00CD0E85" w:rsidRDefault="00CD0E85" w:rsidP="00CD0E8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974D7" w:rsidRPr="00CD0E85">
        <w:rPr>
          <w:rFonts w:ascii="Times New Roman" w:eastAsia="Times New Roman" w:hAnsi="Times New Roman" w:cs="Times New Roman"/>
          <w:sz w:val="24"/>
          <w:szCs w:val="24"/>
        </w:rPr>
        <w:t xml:space="preserve">Министерство на отбраната предоставя социални услуги извън обичайната домашна среда на пенсионирани военнослужещи от Министерството на отбраната, Българската армия и структурите на пряко подчинение на министъра на отбраната, ветерани от войните, военноинвалиди, военнопострадали и др. Услугата </w:t>
      </w:r>
      <w:r w:rsidR="006974D7" w:rsidRPr="00CD0E85">
        <w:rPr>
          <w:rFonts w:ascii="Times New Roman" w:eastAsia="Times New Roman" w:hAnsi="Times New Roman" w:cs="Times New Roman"/>
          <w:b/>
          <w:sz w:val="24"/>
          <w:szCs w:val="24"/>
        </w:rPr>
        <w:t>„Грижа с любов и уважение“</w:t>
      </w:r>
      <w:r w:rsidR="006974D7" w:rsidRPr="00CD0E85">
        <w:rPr>
          <w:rFonts w:ascii="Times New Roman" w:eastAsia="Times New Roman" w:hAnsi="Times New Roman" w:cs="Times New Roman"/>
          <w:sz w:val="24"/>
          <w:szCs w:val="24"/>
        </w:rPr>
        <w:t xml:space="preserve"> е форма на интегрирано предоставяне на базово медицинско обслужване и социална услуга на възрастни хора, като предоставя възможност за дългосрочно и краткосрочно настаняване в дом за пенсионирани военнослужещи, ветерани и военноинвалиди в с. Орешак, община Троян.</w:t>
      </w:r>
    </w:p>
    <w:p w14:paraId="34E83DC6" w14:textId="77777777" w:rsidR="006974D7" w:rsidRPr="006C13DF" w:rsidRDefault="006974D7" w:rsidP="00E91E47">
      <w:pPr>
        <w:pStyle w:val="ListParagraph"/>
        <w:spacing w:after="0" w:line="240" w:lineRule="auto"/>
        <w:ind w:left="0"/>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4799BCD4" w14:textId="77777777" w:rsidTr="00E655FD">
        <w:tc>
          <w:tcPr>
            <w:tcW w:w="9060" w:type="dxa"/>
            <w:shd w:val="clear" w:color="auto" w:fill="EBE453"/>
          </w:tcPr>
          <w:p w14:paraId="4C969332"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 xml:space="preserve">3.5. Максимална степен на самостоятелност при дългосрочната грижа </w:t>
            </w:r>
          </w:p>
        </w:tc>
      </w:tr>
    </w:tbl>
    <w:p w14:paraId="6FEDFEC8" w14:textId="77777777" w:rsidR="005A71A3" w:rsidRPr="006C13DF" w:rsidRDefault="005A71A3" w:rsidP="00E91E47">
      <w:pPr>
        <w:spacing w:after="0" w:line="240" w:lineRule="auto"/>
        <w:ind w:firstLine="720"/>
        <w:jc w:val="both"/>
        <w:rPr>
          <w:rFonts w:ascii="Times New Roman" w:eastAsiaTheme="minorEastAsia" w:hAnsi="Times New Roman" w:cs="Times New Roman"/>
          <w:b/>
        </w:rPr>
      </w:pPr>
    </w:p>
    <w:p w14:paraId="185442D5" w14:textId="77777777" w:rsidR="005A71A3" w:rsidRPr="006C13DF" w:rsidRDefault="005A71A3" w:rsidP="005A71A3">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МИНИСТЕРСТВО НА ТРУДА И СОЦИАЛНАТА ПОЛИТИКА</w:t>
      </w:r>
    </w:p>
    <w:p w14:paraId="7394A8BD" w14:textId="77777777" w:rsidR="005A71A3" w:rsidRPr="006C13DF" w:rsidRDefault="005A71A3" w:rsidP="005A71A3">
      <w:pPr>
        <w:spacing w:after="0" w:line="240" w:lineRule="auto"/>
        <w:jc w:val="both"/>
        <w:rPr>
          <w:rFonts w:ascii="Times New Roman" w:eastAsia="Calibri" w:hAnsi="Times New Roman" w:cs="Times New Roman"/>
          <w:b/>
          <w:color w:val="C0504D"/>
          <w:sz w:val="24"/>
          <w:szCs w:val="24"/>
        </w:rPr>
      </w:pPr>
    </w:p>
    <w:p w14:paraId="291A3FD1" w14:textId="77777777" w:rsidR="005A71A3" w:rsidRPr="006C13DF" w:rsidRDefault="005A71A3" w:rsidP="005A71A3">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lastRenderedPageBreak/>
        <w:t>Социалните услуги имат ключова роля за превенция и преодоляване на социалното изключване на възрастните хора в България. Подкрепата чрез социални услуги спомага за тяхното пълноценно и активно участие в общността, реализиране на права и подобряване на качеството им на живот. Със Закона за социалните услуги (ЗСУ), чрез който се провежда реформа в сектора на социалните услуги, са уредени всички ключови въпроси, както и ангажиментите на държавата, общините, частните доставчици и другите заинтересовани страни в процесите на планиране, предоставяне, финансиране, контрол и мониторинг на социалните услуги. Целите на закона са гарантиране на равен достъп до социални услуги, отговарящи на индивидуалните потребности на лицата, гарантиране на качеството и ефективността на социалните услуги, гарантиране на правото на всяко лице на подкрепа за живот в домашна среда и в общността, насърчаване на интегрирания подход при осигуряването на подкрепа на лицата, както и развитие на публично-частното партньорство при предоставянето на социални услуги.</w:t>
      </w:r>
    </w:p>
    <w:p w14:paraId="6F0EF0CA" w14:textId="77777777" w:rsidR="005A71A3" w:rsidRPr="006C13DF" w:rsidRDefault="005A71A3" w:rsidP="005A71A3">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В съответствие с провежданата реформа в областта на социалните услуги се наблюдава устойчиво увеличение на социалните услуги, финансирани със средства от държавния бюджет чрез бюджетите на общините, както и на ежегодно осигуряваните от държавния бюджет средства за тяхното предоставяне. Към м. декември 202</w:t>
      </w:r>
      <w:r w:rsidRPr="006C13DF">
        <w:rPr>
          <w:rFonts w:ascii="Times New Roman" w:eastAsia="Times New Roman" w:hAnsi="Times New Roman" w:cs="Times New Roman"/>
          <w:sz w:val="24"/>
          <w:szCs w:val="24"/>
          <w:lang w:val="en-US" w:eastAsia="bg-BG"/>
        </w:rPr>
        <w:t>4</w:t>
      </w:r>
      <w:r w:rsidRPr="006C13DF">
        <w:rPr>
          <w:rFonts w:ascii="Times New Roman" w:eastAsia="Times New Roman" w:hAnsi="Times New Roman" w:cs="Times New Roman"/>
          <w:sz w:val="24"/>
          <w:szCs w:val="24"/>
          <w:lang w:eastAsia="bg-BG"/>
        </w:rPr>
        <w:t xml:space="preserve"> г. общият брой на социалните услуги, финансирани от държавния бюджет, е 1 </w:t>
      </w:r>
      <w:r w:rsidRPr="006C13DF">
        <w:rPr>
          <w:rFonts w:ascii="Times New Roman" w:eastAsia="Times New Roman" w:hAnsi="Times New Roman" w:cs="Times New Roman"/>
          <w:sz w:val="24"/>
          <w:szCs w:val="24"/>
          <w:lang w:val="en-US" w:eastAsia="bg-BG"/>
        </w:rPr>
        <w:t>8</w:t>
      </w:r>
      <w:r w:rsidRPr="006C13DF">
        <w:rPr>
          <w:rFonts w:ascii="Times New Roman" w:eastAsia="Times New Roman" w:hAnsi="Times New Roman" w:cs="Times New Roman"/>
          <w:sz w:val="24"/>
          <w:szCs w:val="24"/>
          <w:lang w:eastAsia="bg-BG"/>
        </w:rPr>
        <w:t xml:space="preserve">79 с възможност за подкрепа на </w:t>
      </w:r>
      <w:r w:rsidRPr="006C13DF">
        <w:rPr>
          <w:rFonts w:ascii="Times New Roman" w:eastAsia="Times New Roman" w:hAnsi="Times New Roman" w:cs="Times New Roman"/>
          <w:sz w:val="24"/>
          <w:szCs w:val="24"/>
          <w:lang w:val="en-US" w:eastAsia="bg-BG"/>
        </w:rPr>
        <w:t>65 088</w:t>
      </w:r>
      <w:r w:rsidRPr="006C13DF">
        <w:rPr>
          <w:rFonts w:ascii="Times New Roman" w:eastAsia="Times New Roman" w:hAnsi="Times New Roman" w:cs="Times New Roman"/>
          <w:sz w:val="24"/>
          <w:szCs w:val="24"/>
          <w:lang w:eastAsia="bg-BG"/>
        </w:rPr>
        <w:t xml:space="preserve"> потребители. От тях </w:t>
      </w:r>
      <w:r w:rsidRPr="006C13DF">
        <w:rPr>
          <w:rFonts w:ascii="Times New Roman" w:eastAsia="Times New Roman" w:hAnsi="Times New Roman" w:cs="Times New Roman"/>
          <w:b/>
          <w:sz w:val="24"/>
          <w:szCs w:val="24"/>
          <w:lang w:eastAsia="bg-BG"/>
        </w:rPr>
        <w:t xml:space="preserve">броят на социалните услуги в общността (услуги за дневна грижа, за терапия и рехабилитация, за резидентна грижа и други) за възрастни хора и хора с увреждания е </w:t>
      </w:r>
      <w:r w:rsidRPr="006C13DF">
        <w:rPr>
          <w:rFonts w:ascii="Times New Roman" w:eastAsia="Times New Roman" w:hAnsi="Times New Roman" w:cs="Times New Roman"/>
          <w:b/>
          <w:sz w:val="24"/>
          <w:szCs w:val="24"/>
          <w:lang w:val="en-US" w:eastAsia="bg-BG"/>
        </w:rPr>
        <w:t>706</w:t>
      </w:r>
      <w:r w:rsidRPr="006C13DF">
        <w:rPr>
          <w:rFonts w:ascii="Times New Roman" w:eastAsia="Times New Roman" w:hAnsi="Times New Roman" w:cs="Times New Roman"/>
          <w:b/>
          <w:sz w:val="24"/>
          <w:szCs w:val="24"/>
          <w:lang w:eastAsia="bg-BG"/>
        </w:rPr>
        <w:t xml:space="preserve"> за </w:t>
      </w:r>
      <w:r w:rsidRPr="006C13DF">
        <w:rPr>
          <w:rFonts w:ascii="Times New Roman" w:eastAsia="Times New Roman" w:hAnsi="Times New Roman" w:cs="Times New Roman"/>
          <w:b/>
          <w:sz w:val="24"/>
          <w:szCs w:val="24"/>
          <w:lang w:val="en-US" w:eastAsia="bg-BG"/>
        </w:rPr>
        <w:t>13 193</w:t>
      </w:r>
      <w:r w:rsidRPr="006C13DF">
        <w:rPr>
          <w:rFonts w:ascii="Times New Roman" w:eastAsia="Times New Roman" w:hAnsi="Times New Roman" w:cs="Times New Roman"/>
          <w:b/>
          <w:sz w:val="24"/>
          <w:szCs w:val="24"/>
          <w:lang w:eastAsia="bg-BG"/>
        </w:rPr>
        <w:t xml:space="preserve"> потребители</w:t>
      </w:r>
      <w:r w:rsidRPr="006C13DF">
        <w:rPr>
          <w:rFonts w:ascii="Times New Roman" w:eastAsia="Times New Roman" w:hAnsi="Times New Roman" w:cs="Times New Roman"/>
          <w:sz w:val="24"/>
          <w:szCs w:val="24"/>
          <w:lang w:eastAsia="bg-BG"/>
        </w:rPr>
        <w:t>. Към м. декември 202</w:t>
      </w:r>
      <w:r w:rsidRPr="006C13DF">
        <w:rPr>
          <w:rFonts w:ascii="Times New Roman" w:eastAsia="Times New Roman" w:hAnsi="Times New Roman" w:cs="Times New Roman"/>
          <w:sz w:val="24"/>
          <w:szCs w:val="24"/>
          <w:lang w:val="en-US" w:eastAsia="bg-BG"/>
        </w:rPr>
        <w:t>4</w:t>
      </w:r>
      <w:r w:rsidRPr="006C13DF">
        <w:rPr>
          <w:rFonts w:ascii="Times New Roman" w:eastAsia="Times New Roman" w:hAnsi="Times New Roman" w:cs="Times New Roman"/>
          <w:sz w:val="24"/>
          <w:szCs w:val="24"/>
          <w:lang w:eastAsia="bg-BG"/>
        </w:rPr>
        <w:t xml:space="preserve"> г. на територията на страната, с финансиране от държавния бюджет, </w:t>
      </w:r>
      <w:r w:rsidRPr="006C13DF">
        <w:rPr>
          <w:rFonts w:ascii="Times New Roman" w:eastAsia="Times New Roman" w:hAnsi="Times New Roman" w:cs="Times New Roman"/>
          <w:b/>
          <w:sz w:val="24"/>
          <w:szCs w:val="24"/>
          <w:lang w:eastAsia="bg-BG"/>
        </w:rPr>
        <w:t>функционират 82 дома за стари хора с 5 598 места в тях</w:t>
      </w:r>
      <w:r w:rsidRPr="006C13DF">
        <w:rPr>
          <w:rFonts w:ascii="Times New Roman" w:eastAsia="Times New Roman" w:hAnsi="Times New Roman" w:cs="Times New Roman"/>
          <w:sz w:val="24"/>
          <w:szCs w:val="24"/>
          <w:lang w:eastAsia="bg-BG"/>
        </w:rPr>
        <w:t>. Към същия период заетите места в домовете за стари хора, които се финансират от държавния бюджет, са 4 </w:t>
      </w:r>
      <w:r w:rsidRPr="006C13DF">
        <w:rPr>
          <w:rFonts w:ascii="Times New Roman" w:eastAsia="Times New Roman" w:hAnsi="Times New Roman" w:cs="Times New Roman"/>
          <w:sz w:val="24"/>
          <w:szCs w:val="24"/>
          <w:lang w:val="en-US" w:eastAsia="bg-BG"/>
        </w:rPr>
        <w:t>318</w:t>
      </w:r>
      <w:r w:rsidRPr="006C13DF">
        <w:rPr>
          <w:rFonts w:ascii="Times New Roman" w:eastAsia="Times New Roman" w:hAnsi="Times New Roman" w:cs="Times New Roman"/>
          <w:sz w:val="24"/>
          <w:szCs w:val="24"/>
          <w:lang w:eastAsia="bg-BG"/>
        </w:rPr>
        <w:t xml:space="preserve">. </w:t>
      </w:r>
    </w:p>
    <w:p w14:paraId="2B387A9B" w14:textId="77777777" w:rsidR="005A71A3" w:rsidRPr="006C13DF" w:rsidRDefault="005A71A3" w:rsidP="005A71A3">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hAnsi="Times New Roman" w:cs="Times New Roman"/>
          <w:sz w:val="24"/>
          <w:szCs w:val="24"/>
        </w:rPr>
        <w:t xml:space="preserve">От 2021 г. общините успешно предоставят предвидената в ЗСУ асистентска подкрепа с финансиране от държавния бюджет. Тя е предназначена както за лица в </w:t>
      </w:r>
      <w:proofErr w:type="spellStart"/>
      <w:r w:rsidRPr="006C13DF">
        <w:rPr>
          <w:rFonts w:ascii="Times New Roman" w:hAnsi="Times New Roman" w:cs="Times New Roman"/>
          <w:sz w:val="24"/>
          <w:szCs w:val="24"/>
        </w:rPr>
        <w:t>надтрудоспособна</w:t>
      </w:r>
      <w:proofErr w:type="spellEnd"/>
      <w:r w:rsidRPr="006C13DF">
        <w:rPr>
          <w:rFonts w:ascii="Times New Roman" w:hAnsi="Times New Roman" w:cs="Times New Roman"/>
          <w:sz w:val="24"/>
          <w:szCs w:val="24"/>
        </w:rPr>
        <w:t xml:space="preserve"> възраст в невъзможност за самообслужване, така и за деца с трайни увреждания и пълнолетни лица с трайни увреждания с определена чужда помощ, които не ползват асистентска подкрепа, помощ за осигуряване на асистентска подкрепа или за които не се получава помощ за грижа в домашна среда по реда на друг закон. Към м. декември 202</w:t>
      </w:r>
      <w:r w:rsidRPr="006C13DF">
        <w:rPr>
          <w:rFonts w:ascii="Times New Roman" w:hAnsi="Times New Roman" w:cs="Times New Roman"/>
          <w:sz w:val="24"/>
          <w:szCs w:val="24"/>
          <w:lang w:val="en-US"/>
        </w:rPr>
        <w:t>4</w:t>
      </w:r>
      <w:r w:rsidRPr="006C13DF">
        <w:rPr>
          <w:rFonts w:ascii="Times New Roman" w:hAnsi="Times New Roman" w:cs="Times New Roman"/>
          <w:sz w:val="24"/>
          <w:szCs w:val="24"/>
        </w:rPr>
        <w:t xml:space="preserve"> г. </w:t>
      </w:r>
      <w:r w:rsidRPr="006C13DF">
        <w:rPr>
          <w:rFonts w:ascii="Times New Roman" w:eastAsia="Times New Roman" w:hAnsi="Times New Roman" w:cs="Times New Roman"/>
          <w:sz w:val="24"/>
          <w:szCs w:val="24"/>
          <w:lang w:eastAsia="bg-BG"/>
        </w:rPr>
        <w:t>асистентска подкрепа по реда на ЗСУ с финансиране от държавния бюджет се развива от 26</w:t>
      </w:r>
      <w:r w:rsidRPr="006C13DF">
        <w:rPr>
          <w:rFonts w:ascii="Times New Roman" w:eastAsia="Times New Roman" w:hAnsi="Times New Roman" w:cs="Times New Roman"/>
          <w:sz w:val="24"/>
          <w:szCs w:val="24"/>
          <w:lang w:val="en-US" w:eastAsia="bg-BG"/>
        </w:rPr>
        <w:t>3</w:t>
      </w:r>
      <w:r w:rsidRPr="006C13DF">
        <w:rPr>
          <w:rFonts w:ascii="Times New Roman" w:eastAsia="Times New Roman" w:hAnsi="Times New Roman" w:cs="Times New Roman"/>
          <w:sz w:val="24"/>
          <w:szCs w:val="24"/>
          <w:lang w:eastAsia="bg-BG"/>
        </w:rPr>
        <w:t xml:space="preserve"> общини с възможност за подкрепа на 2</w:t>
      </w:r>
      <w:r w:rsidRPr="006C13DF">
        <w:rPr>
          <w:rFonts w:ascii="Times New Roman" w:eastAsia="Times New Roman" w:hAnsi="Times New Roman" w:cs="Times New Roman"/>
          <w:sz w:val="24"/>
          <w:szCs w:val="24"/>
          <w:lang w:val="en-US" w:eastAsia="bg-BG"/>
        </w:rPr>
        <w:t>1 710</w:t>
      </w:r>
      <w:r w:rsidRPr="006C13DF">
        <w:rPr>
          <w:rFonts w:ascii="Times New Roman" w:eastAsia="Times New Roman" w:hAnsi="Times New Roman" w:cs="Times New Roman"/>
          <w:sz w:val="24"/>
          <w:szCs w:val="24"/>
          <w:lang w:eastAsia="bg-BG"/>
        </w:rPr>
        <w:t xml:space="preserve"> потребители, в т.ч. възрастни хора в невъзможност за самообслужване.</w:t>
      </w:r>
    </w:p>
    <w:p w14:paraId="30C464A6" w14:textId="77777777" w:rsidR="005A71A3" w:rsidRPr="006C13DF" w:rsidRDefault="005A71A3" w:rsidP="005A71A3">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С оглед устойчивост на системата от социални услуги и като израз на ангажимента на държавата за осигуряване на подкрепа на уязвимите групи, сред които са и възрастните хора, със Закона за държавния бюджет на Република България (ЗДБРБ) за 2024 г. осигурените средства за финансиране на всички социални услуги, делегирани от държавата дейности (за деца и пълнолетни лица), са в размер на 902,7 млн. лв., като ежегодно тези средства се увеличават. </w:t>
      </w:r>
    </w:p>
    <w:p w14:paraId="7956140F" w14:textId="77777777" w:rsidR="005A71A3" w:rsidRPr="006C13DF" w:rsidRDefault="005A71A3" w:rsidP="005A71A3">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ЗСУ предвижда всички домове за стари хора да се реформират в съответствие със стандартите за качество на резидентната грижа за възрастни хора в </w:t>
      </w:r>
      <w:proofErr w:type="spellStart"/>
      <w:r w:rsidRPr="006C13DF">
        <w:rPr>
          <w:rFonts w:ascii="Times New Roman" w:eastAsia="Times New Roman" w:hAnsi="Times New Roman" w:cs="Times New Roman"/>
          <w:sz w:val="24"/>
          <w:szCs w:val="24"/>
          <w:lang w:eastAsia="bg-BG"/>
        </w:rPr>
        <w:t>надтрудоспособна</w:t>
      </w:r>
      <w:proofErr w:type="spellEnd"/>
      <w:r w:rsidRPr="006C13DF">
        <w:rPr>
          <w:rFonts w:ascii="Times New Roman" w:eastAsia="Times New Roman" w:hAnsi="Times New Roman" w:cs="Times New Roman"/>
          <w:sz w:val="24"/>
          <w:szCs w:val="24"/>
          <w:lang w:eastAsia="bg-BG"/>
        </w:rPr>
        <w:t xml:space="preserve"> възраст, определени в Наредбата за качеството на социалните услуги. Също така, съществуващите до влизането в сила на ЗСУ домове за пълнолетни лица с увреждания следва да се закрият до 1 януари 2035 г. Целта е резидентната грижа за възрастните хора да е много по-качествена и да отговаря на стандартите за организация и управление на услугите, за квалификация и професионално развитие на служителите и за ефективността на услугите с оглед на постигнатите резултати за лицата, които ги ползват, в отговор на потребностите им. </w:t>
      </w:r>
    </w:p>
    <w:p w14:paraId="764C88E5" w14:textId="77777777" w:rsidR="005A71A3" w:rsidRPr="006C13DF" w:rsidRDefault="005A71A3" w:rsidP="005A71A3">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С оглед осигуряване на пълната мрежа от социални услуги в цялата страна в дългосрочен план, със ЗСУ за първи път се въведе планиране на национално ниво на социалните услуги, финансирани от държавния бюджет, чрез Националната карта на </w:t>
      </w:r>
      <w:r w:rsidRPr="006C13DF">
        <w:rPr>
          <w:rFonts w:ascii="Times New Roman" w:eastAsia="Times New Roman" w:hAnsi="Times New Roman" w:cs="Times New Roman"/>
          <w:sz w:val="24"/>
          <w:szCs w:val="24"/>
          <w:lang w:eastAsia="bg-BG"/>
        </w:rPr>
        <w:lastRenderedPageBreak/>
        <w:t>социалните услуги, която беше приета с Решение на Министерския съвет № 574 от 08.08.2024 г. Планирането на социалните услуги на национално ниво чрез Националната карта цели да осигури равен достъп до социални услуги на територията на цялата страна. В нея са включени всички социални и интегрирани здравно-социални услуги на общинско и областно ниво, за които се осигурява финансиране от държавния бюджет, както и максималният брой на потребителите на тези услуги. Всички социални услуги, включени в Картата, са услуги, които съответстват на приоритетите на държавната политика в областта на социалните услуги. Съгласно ЗСУ всички услуги по Картата следва да бъдат създадени до 2035 г.</w:t>
      </w:r>
    </w:p>
    <w:p w14:paraId="712CA65C" w14:textId="77777777" w:rsidR="005A71A3" w:rsidRPr="006C13DF" w:rsidRDefault="005A71A3" w:rsidP="005A71A3">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Процесът на деинституционализация на грижата за възрастните хора и хората с увреждания продължава да се реализира чрез изпълнението на втория План за действие за периода 2022-2027 г. за изпълнение на Националната стратегия за дългосрочна грижа. Основната цел на стратегията е създаване на условия за независим и достоен живот на възрастните хора и хората с увреждания посредством предоставянето на качествени, достъпни и устойчиви услуги за дългосрочна грижа според индивидуалните им потребности, при постигане на по-добър баланс между качество на услугите и ефективното и ефикасното им предоставяне. </w:t>
      </w:r>
    </w:p>
    <w:p w14:paraId="58F70A49" w14:textId="77777777" w:rsidR="005A71A3" w:rsidRPr="006C13DF" w:rsidRDefault="005A71A3" w:rsidP="005A71A3">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Реформирането на съществуващите домове за стари хора чрез реализиране на конкретни дейности за подобряване на материалната среда и предоставянето на услугите, така че да отговорят на стандартите за качество, е подкрепено по линия на Националния план за възстановяване и устойчивост (НПВУ), по който се изпълнява конкретен проект в сферата на деинституционализацията на грижата за лицата с увреждания и възрастните хора. През 2022 г. е стартирал подкомпонент 1.2 (Процедура BG-RRP-11.010 – Извършване на строителни дейности и доставка на оборудване и обзавеждане с оглед реформиране на съществуващите домове за стари хора) на Проект П39 – Модернизиране на дългосрочната грижа по НПВУ. Към 31.12.2024 г. по процедурата са одобрени 79 предложения за изпълнение на инвестиции за над 340 млн. лв. Две проектни предложения са все още в оценка. </w:t>
      </w:r>
    </w:p>
    <w:p w14:paraId="18527DE5" w14:textId="77777777" w:rsidR="005A71A3" w:rsidRPr="006C13DF" w:rsidRDefault="005A71A3" w:rsidP="00E91E47">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В рамките на подкомпонент 1.1 – Изграждане и оборудване на нови социални и интегрирани здравно-социални услуги за резидентна грижа и специализирани социални услуги за лица с увреждания се изпълнява Процедура BG-RRP-11.018 „Изграждане и оборудване на нови социални и интегрирани здравно-социални услуги за резидентна грижа и специализирани социални услуги за лица с увреждания“. Процедурата е насочена към създаването на 254 нови социални и интегрирани здравно-социални услуги за резидентна грижа и специализирани социални услуги, за да бъде възможно закриването на приблизително 60% от съществуващите специализирани институции за хора с увреждания до края на 2027 г. Процедурата е с бюджет 331 млн. лв. и е насочена към финансиране на изграждането на социални услуги в общините, на чиято територия е предвидено създаването на новите социални услуги във връзка със закриването на домовете за лица с увреждания, съгласно направеното предварително картиране на социалните услуги и Националната карта на социалните услуги (64 общини). Със Заповед на ръководителя на Структурата за наблюдение и докладване от 13.11.2024 г. е назначена комисия за оценка на получените по процедурата проектни предложения.</w:t>
      </w:r>
    </w:p>
    <w:p w14:paraId="2FB478D5" w14:textId="77777777" w:rsidR="00316C3E" w:rsidRPr="006C13DF" w:rsidRDefault="00316C3E" w:rsidP="00E91E47">
      <w:pPr>
        <w:spacing w:after="0" w:line="240" w:lineRule="auto"/>
        <w:ind w:firstLine="720"/>
        <w:jc w:val="both"/>
        <w:rPr>
          <w:rFonts w:ascii="Times New Roman" w:eastAsia="Times New Roman" w:hAnsi="Times New Roman" w:cs="Times New Roman"/>
          <w:sz w:val="24"/>
          <w:szCs w:val="24"/>
          <w:lang w:eastAsia="bg-BG"/>
        </w:rPr>
      </w:pPr>
    </w:p>
    <w:p w14:paraId="398C5786" w14:textId="77777777" w:rsidR="00316C3E" w:rsidRPr="006C13DF" w:rsidRDefault="00316C3E" w:rsidP="00316C3E">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ОБЩИНИ</w:t>
      </w:r>
    </w:p>
    <w:p w14:paraId="580688D8" w14:textId="77777777" w:rsidR="00316C3E" w:rsidRPr="006C13DF" w:rsidRDefault="00662CD5" w:rsidP="00316C3E">
      <w:pPr>
        <w:spacing w:after="0" w:line="240" w:lineRule="auto"/>
        <w:jc w:val="center"/>
        <w:rPr>
          <w:rFonts w:ascii="Times New Roman" w:eastAsia="Times New Roman" w:hAnsi="Times New Roman" w:cs="Times New Roman"/>
          <w:sz w:val="24"/>
          <w:szCs w:val="24"/>
          <w:lang w:eastAsia="bg-BG"/>
        </w:rPr>
      </w:pPr>
      <w:r>
        <w:rPr>
          <w:rFonts w:ascii="Times New Roman" w:eastAsia="Calibri" w:hAnsi="Times New Roman" w:cs="Times New Roman"/>
          <w:b/>
          <w:color w:val="C0504D"/>
          <w:sz w:val="24"/>
          <w:szCs w:val="24"/>
        </w:rPr>
        <w:t>АГЕНЦИЯ ЗА СОЦИАЛНО ПОДПОМАГАНЕ</w:t>
      </w:r>
    </w:p>
    <w:p w14:paraId="0DBCA628" w14:textId="77777777" w:rsidR="00D20C6E" w:rsidRPr="006C13DF" w:rsidRDefault="00D20C6E" w:rsidP="00D20C6E">
      <w:pPr>
        <w:spacing w:after="0" w:line="240" w:lineRule="auto"/>
        <w:jc w:val="both"/>
        <w:rPr>
          <w:rFonts w:ascii="Times New Roman" w:eastAsia="Times New Roman" w:hAnsi="Times New Roman" w:cs="Times New Roman"/>
          <w:sz w:val="24"/>
          <w:szCs w:val="24"/>
          <w:lang w:eastAsia="bg-BG"/>
        </w:rPr>
      </w:pPr>
    </w:p>
    <w:p w14:paraId="193EFE49" w14:textId="77777777" w:rsidR="00316C3E" w:rsidRDefault="00447907" w:rsidP="00316C3E">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3.5.1</w:t>
      </w:r>
      <w:r w:rsidR="002B6660">
        <w:rPr>
          <w:rFonts w:ascii="Times New Roman" w:eastAsia="Times New Roman" w:hAnsi="Times New Roman" w:cs="Times New Roman"/>
          <w:b/>
          <w:sz w:val="24"/>
          <w:szCs w:val="24"/>
          <w:lang w:eastAsia="bg-BG"/>
        </w:rPr>
        <w:t>.</w:t>
      </w:r>
      <w:r w:rsidRPr="006C13DF">
        <w:rPr>
          <w:rFonts w:ascii="Times New Roman" w:eastAsia="Times New Roman" w:hAnsi="Times New Roman" w:cs="Times New Roman"/>
          <w:b/>
          <w:sz w:val="24"/>
          <w:szCs w:val="24"/>
          <w:lang w:eastAsia="bg-BG"/>
        </w:rPr>
        <w:t xml:space="preserve"> Реформиране на Домовете за стари хора</w:t>
      </w:r>
    </w:p>
    <w:p w14:paraId="20AE0160" w14:textId="77777777" w:rsidR="00A9795C" w:rsidRPr="006C13DF" w:rsidRDefault="00A9795C" w:rsidP="00316C3E">
      <w:pPr>
        <w:spacing w:after="0" w:line="240" w:lineRule="auto"/>
        <w:jc w:val="both"/>
        <w:rPr>
          <w:rFonts w:ascii="Times New Roman" w:eastAsia="Times New Roman" w:hAnsi="Times New Roman" w:cs="Times New Roman"/>
          <w:b/>
          <w:sz w:val="24"/>
          <w:szCs w:val="24"/>
          <w:lang w:eastAsia="bg-BG"/>
        </w:rPr>
      </w:pPr>
    </w:p>
    <w:p w14:paraId="4E7784F5"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В периода 2023 – 2024 г. продължи изпълнението на предприетата мащабна реформа в областта на социалните услуги, която се реализира чрез влезлия в сила на </w:t>
      </w:r>
      <w:r w:rsidRPr="006C13DF">
        <w:rPr>
          <w:rFonts w:ascii="Times New Roman" w:eastAsia="Times New Roman" w:hAnsi="Times New Roman" w:cs="Times New Roman"/>
          <w:sz w:val="24"/>
          <w:szCs w:val="24"/>
          <w:lang w:eastAsia="bg-BG"/>
        </w:rPr>
        <w:lastRenderedPageBreak/>
        <w:t>01.07.2020 г. Закон за социалните услуги (ЗСУ) и подзаконовите нормативни актове към него. Новата нормативна уредба урежда всички въпроси, свързани с предоставянето, планирането, финансирането, качеството, контрола и мониторинга на социалните услуги.</w:t>
      </w:r>
    </w:p>
    <w:p w14:paraId="5A3496F9"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С приемането на Националната стратегия за дългосрочна грижа (НСДГ) през 2014 г. стартира процесът на цялостната реформа в системата на грижата за пълнолетните лица, която установи концептуалната рамка за изграждането и развитието на ефективна съвременна система от социални и интегрирани услуги за дългосрочна грижа и се постави специален акцент върху деинституционализацията на грижата за хората с увреждания и възрастните хора.</w:t>
      </w:r>
    </w:p>
    <w:p w14:paraId="2E90C4D8"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В приетия План за действие за изпълнение на НСДГ за периода 2022 – 2027 г. е предвидено създаване на нови социални и интегрирани здравно-социални услуги в общността, в които лицата, които са настанени към момента в домовете за хора с увреждания, да продължат живота си с подходяща подкрепа, съгласно принципите за деинституционализация. Паралелно е предвидено изграждане на нови подкрепящи услуги, които осигуряват подкрепа за дневни занимания, застъпничество и посредничество, обучение в умения и развитие на трудови умения, с което се подпомага социалното включване в общността. Броят на местата в новите услуги ще бъде по-голям и тяхното изграждане ще е насочено и към удовлетворяване на потребности на хора от общността.</w:t>
      </w:r>
    </w:p>
    <w:p w14:paraId="02DC6C03"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Ключово място в Плана за действие за периода 2022 – 2027 г. за изпълнение на НСДГ е отредено на мерки и дейности, насочени към осигуряване на подкрепа в домашна среда, развитие на качествени и достъпни социални и интегрирани здравно-социални услуги, закриване на 41 домове за хора с увреждания и реформиране на 82 съществуващи домове за стари хора, повишаване на ефективността на системата за дългосрочна грижа и изграждане на необходимата инфраструктура за предоставяне на услугите. През разглеждания период продължи изпълнението на заложените в Плана за действие мерки по предоставяне на услуги, както и в домашна среда.</w:t>
      </w:r>
    </w:p>
    <w:p w14:paraId="5D2864E3"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Създаването на услугите ще бъде насочено към осигуряване на по-голяма автономност и независимост на хората, така че да бъдат стимулирани към водене на относително самостоятелен начин на живот. </w:t>
      </w:r>
    </w:p>
    <w:p w14:paraId="71B34257"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Съгласно ЗСУ всички домове за стари хора следва да се реформират в съответствие със стандартите за качество на резидентната грижа за възрастни хора в </w:t>
      </w:r>
      <w:proofErr w:type="spellStart"/>
      <w:r w:rsidRPr="006C13DF">
        <w:rPr>
          <w:rFonts w:ascii="Times New Roman" w:eastAsia="Times New Roman" w:hAnsi="Times New Roman" w:cs="Times New Roman"/>
          <w:sz w:val="24"/>
          <w:szCs w:val="24"/>
          <w:lang w:eastAsia="bg-BG"/>
        </w:rPr>
        <w:t>надтрудоспособна</w:t>
      </w:r>
      <w:proofErr w:type="spellEnd"/>
      <w:r w:rsidRPr="006C13DF">
        <w:rPr>
          <w:rFonts w:ascii="Times New Roman" w:eastAsia="Times New Roman" w:hAnsi="Times New Roman" w:cs="Times New Roman"/>
          <w:sz w:val="24"/>
          <w:szCs w:val="24"/>
          <w:lang w:eastAsia="bg-BG"/>
        </w:rPr>
        <w:t xml:space="preserve"> възраст, определени в Наредбата за качеството на социалните услуги. В тази връзка ще се реформират 82 съществуващи домове за стари хора с капацитет за 5 598 потребители. </w:t>
      </w:r>
    </w:p>
    <w:p w14:paraId="0504E757"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Местните власти носят конкретни отговорности за инициирането и изпълнението на хоризонталните политики и мерки за социално включване. В този контекст, общините поемат и основната отговорност за изпълнението на мерките, заложени в НСДГ и в частност трансформирането на домовете за стари хора в определения от ЗСУ срок. Всяка община, която управлява дом за стари хора, приема план за реформиране на дома с цел съответствие на предоставяната от общината резидентна грижа за възрастни хора в </w:t>
      </w:r>
      <w:proofErr w:type="spellStart"/>
      <w:r w:rsidRPr="006C13DF">
        <w:rPr>
          <w:rFonts w:ascii="Times New Roman" w:eastAsia="Times New Roman" w:hAnsi="Times New Roman" w:cs="Times New Roman"/>
          <w:sz w:val="24"/>
          <w:szCs w:val="24"/>
          <w:lang w:eastAsia="bg-BG"/>
        </w:rPr>
        <w:t>надтрудоспособна</w:t>
      </w:r>
      <w:proofErr w:type="spellEnd"/>
      <w:r w:rsidRPr="006C13DF">
        <w:rPr>
          <w:rFonts w:ascii="Times New Roman" w:eastAsia="Times New Roman" w:hAnsi="Times New Roman" w:cs="Times New Roman"/>
          <w:sz w:val="24"/>
          <w:szCs w:val="24"/>
          <w:lang w:eastAsia="bg-BG"/>
        </w:rPr>
        <w:t xml:space="preserve"> възраст със стандартите за качество на тази услуга, определени в Наредбата за качеството на социалните услуги.</w:t>
      </w:r>
    </w:p>
    <w:p w14:paraId="282B9F17"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В резултат от изпълнението на процеса на деинституционализация на грижата за възрастните хора и хората с увреждания в периода м. януари – м. декември 2023 г. са </w:t>
      </w:r>
      <w:r w:rsidRPr="00A9795C">
        <w:rPr>
          <w:rFonts w:ascii="Times New Roman" w:eastAsia="Times New Roman" w:hAnsi="Times New Roman" w:cs="Times New Roman"/>
          <w:sz w:val="24"/>
          <w:szCs w:val="24"/>
          <w:lang w:eastAsia="bg-BG"/>
        </w:rPr>
        <w:t>закрити общо 3 специализирани институции за хора с увреждания със 169 места, a в периода м. януари-декември 2024 г. са закрити общо 2 специализирани институции за хора с увреждания със 131 места.</w:t>
      </w:r>
      <w:r w:rsidRPr="006C13DF">
        <w:rPr>
          <w:rFonts w:ascii="Times New Roman" w:eastAsia="Times New Roman" w:hAnsi="Times New Roman" w:cs="Times New Roman"/>
          <w:sz w:val="24"/>
          <w:szCs w:val="24"/>
          <w:lang w:eastAsia="bg-BG"/>
        </w:rPr>
        <w:t xml:space="preserve"> Същевременно, </w:t>
      </w:r>
      <w:r w:rsidRPr="00A9795C">
        <w:rPr>
          <w:rFonts w:ascii="Times New Roman" w:eastAsia="Times New Roman" w:hAnsi="Times New Roman" w:cs="Times New Roman"/>
          <w:b/>
          <w:sz w:val="24"/>
          <w:szCs w:val="24"/>
          <w:lang w:eastAsia="bg-BG"/>
        </w:rPr>
        <w:t>общият брой на създадените през 2023 г. нови социални услуги за пълнолетни лица е 69 с общ брой потребители 1 351</w:t>
      </w:r>
      <w:r w:rsidRPr="006C13DF">
        <w:rPr>
          <w:rFonts w:ascii="Times New Roman" w:eastAsia="Times New Roman" w:hAnsi="Times New Roman" w:cs="Times New Roman"/>
          <w:sz w:val="24"/>
          <w:szCs w:val="24"/>
          <w:lang w:eastAsia="bg-BG"/>
        </w:rPr>
        <w:t xml:space="preserve">. От тях 21 са подкрепящи специализирани услуги за 690 потребители и 48 са услугите за </w:t>
      </w:r>
      <w:r w:rsidRPr="006C13DF">
        <w:rPr>
          <w:rFonts w:ascii="Times New Roman" w:eastAsia="Times New Roman" w:hAnsi="Times New Roman" w:cs="Times New Roman"/>
          <w:sz w:val="24"/>
          <w:szCs w:val="24"/>
          <w:lang w:eastAsia="bg-BG"/>
        </w:rPr>
        <w:lastRenderedPageBreak/>
        <w:t xml:space="preserve">резидентна грижа за 661 потребители. </w:t>
      </w:r>
      <w:r w:rsidRPr="00A9795C">
        <w:rPr>
          <w:rFonts w:ascii="Times New Roman" w:eastAsia="Times New Roman" w:hAnsi="Times New Roman" w:cs="Times New Roman"/>
          <w:b/>
          <w:sz w:val="24"/>
          <w:szCs w:val="24"/>
          <w:lang w:eastAsia="bg-BG"/>
        </w:rPr>
        <w:t>Общият брой на създадените през 2024 г. нови социални услуги за пълнолетни лица е 27 с общ брой потребители 498</w:t>
      </w:r>
      <w:r w:rsidRPr="006C13DF">
        <w:rPr>
          <w:rFonts w:ascii="Times New Roman" w:eastAsia="Times New Roman" w:hAnsi="Times New Roman" w:cs="Times New Roman"/>
          <w:sz w:val="24"/>
          <w:szCs w:val="24"/>
          <w:lang w:eastAsia="bg-BG"/>
        </w:rPr>
        <w:t>. От тях 7 са подкрепящи специализирани услуги за 230 потребители и 20 са услугите за резидентна грижа за 268 потребители. Увеличен е броят на местата в 10 социални услуги със 120 места – в 7 подкрепящи специализирани услуги със 109 места и в 3 социални услуги за резидентна грижа с 11 места.</w:t>
      </w:r>
    </w:p>
    <w:p w14:paraId="2C830ED2"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Със ЗСУ за първи път се въведе планиране на национално ниво на социалните услуги, финансирани от държавния бюджет, чрез разработване на Национална карта на социалните услуги. По този начин държавата пое ангажимент за създаване на пълна мрежа от социални услуги в цялата страна в дългосрочен план. Националното планиране е особено важно, тъй като то е основанието за определяне на пакета от социални услуги на ниво община и област, за които следва да се осигури финансиране от държавния бюджет. В картата се определи и максималният брой потребители на всички социални услуги, за които се осигурява изцяло или частично финансиране от държавния бюджет.</w:t>
      </w:r>
    </w:p>
    <w:p w14:paraId="3ADC637C"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През отчетния период с оглед разработване на Националната карта на социалните услуги от общините са извършени анализи относно потребностите от социални услуги на общинско и областно ниво, които се финансират от държавния бюджет и на тяхна основа са разработени предложения за планирането на социалните услуги на общинско и областно ниво. Анализите са разработени от всички общини след публикуването на данните от Преброяването на населението и жилищния фонд в България в периода октомври – декември 2022 г. на електронната страница на Националния статистически институт. Въз основа на анализите и предложенията на общините АСП извърши анализ на потребностите на национално ниво от социални услуги, които се финансират изцяло или частично от държавния бюджет, и разработи предложение за Национална карта на социалните услуги. С Решение № 574 от 08.08.2024 г. Министерският съвет прие Националната карта на социалните услуги.</w:t>
      </w:r>
    </w:p>
    <w:p w14:paraId="33E153AE" w14:textId="77777777" w:rsidR="00316C3E" w:rsidRPr="006C13DF" w:rsidRDefault="00316C3E" w:rsidP="00316C3E">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Със Заповед № РД01-2684/18.12.2024 г. на изпълнителния директор на АСП е създадена междуведомствена работна група с участието на всички заинтересовани страни за разработване на предложение за стандарти за финансиране на социалните услуги, които се финансират от държавния бюджет за 2026 г., съгласно чл. 45, ал. 1 от ЗСУ, с натурални и стойностни показатели.</w:t>
      </w:r>
    </w:p>
    <w:p w14:paraId="66540690" w14:textId="77777777" w:rsidR="00316C3E" w:rsidRPr="006C13DF" w:rsidRDefault="00316C3E" w:rsidP="00316C3E">
      <w:pPr>
        <w:spacing w:after="0" w:line="240" w:lineRule="auto"/>
        <w:ind w:firstLine="720"/>
        <w:jc w:val="both"/>
        <w:rPr>
          <w:rFonts w:ascii="Times New Roman" w:eastAsia="Times New Roman" w:hAnsi="Times New Roman" w:cs="Times New Roman"/>
          <w:sz w:val="24"/>
          <w:szCs w:val="24"/>
          <w:lang w:eastAsia="bg-BG"/>
        </w:rPr>
      </w:pPr>
    </w:p>
    <w:p w14:paraId="408C9FAC" w14:textId="77777777" w:rsidR="00316C3E" w:rsidRPr="006C13DF" w:rsidRDefault="00316C3E" w:rsidP="00316C3E">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ОБЩИНИ</w:t>
      </w:r>
    </w:p>
    <w:p w14:paraId="6DD66FC2" w14:textId="77777777" w:rsidR="00316C3E" w:rsidRPr="006C13DF" w:rsidRDefault="00662CD5" w:rsidP="00316C3E">
      <w:pPr>
        <w:spacing w:after="0" w:line="240" w:lineRule="auto"/>
        <w:jc w:val="center"/>
        <w:rPr>
          <w:rFonts w:ascii="Times New Roman" w:eastAsia="Times New Roman" w:hAnsi="Times New Roman" w:cs="Times New Roman"/>
          <w:sz w:val="24"/>
          <w:szCs w:val="24"/>
          <w:lang w:eastAsia="bg-BG"/>
        </w:rPr>
      </w:pPr>
      <w:r>
        <w:rPr>
          <w:rFonts w:ascii="Times New Roman" w:eastAsia="Calibri" w:hAnsi="Times New Roman" w:cs="Times New Roman"/>
          <w:b/>
          <w:color w:val="C0504D"/>
          <w:sz w:val="24"/>
          <w:szCs w:val="24"/>
        </w:rPr>
        <w:t>АГЕНЦИЯ ЗА СОЦИАЛНО ПОДПОМАГАНЕ</w:t>
      </w:r>
    </w:p>
    <w:p w14:paraId="568A635B" w14:textId="77777777" w:rsidR="00316C3E" w:rsidRPr="006C13DF" w:rsidRDefault="00316C3E" w:rsidP="00316C3E">
      <w:pPr>
        <w:spacing w:after="0" w:line="240" w:lineRule="auto"/>
        <w:ind w:firstLine="720"/>
        <w:jc w:val="both"/>
        <w:rPr>
          <w:rFonts w:ascii="Times New Roman" w:eastAsia="Times New Roman" w:hAnsi="Times New Roman" w:cs="Times New Roman"/>
          <w:sz w:val="24"/>
          <w:szCs w:val="24"/>
          <w:lang w:eastAsia="bg-BG"/>
        </w:rPr>
      </w:pPr>
    </w:p>
    <w:p w14:paraId="161279E5" w14:textId="77777777" w:rsidR="00316C3E" w:rsidRPr="006C13DF" w:rsidRDefault="00316C3E" w:rsidP="00316C3E">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3.5.2. Предоставяне на социалната услуга „Асистентска подкрепа“ за по реда на Закона за социалните услуги (ЗСУ)</w:t>
      </w:r>
    </w:p>
    <w:p w14:paraId="5DDB05E1" w14:textId="77777777" w:rsidR="00316C3E" w:rsidRPr="006C13DF" w:rsidRDefault="00316C3E" w:rsidP="00316C3E">
      <w:pPr>
        <w:spacing w:after="0" w:line="240" w:lineRule="auto"/>
        <w:ind w:firstLine="720"/>
        <w:jc w:val="both"/>
        <w:rPr>
          <w:rFonts w:ascii="Times New Roman" w:eastAsia="Times New Roman" w:hAnsi="Times New Roman" w:cs="Times New Roman"/>
          <w:sz w:val="24"/>
          <w:szCs w:val="24"/>
          <w:lang w:eastAsia="bg-BG"/>
        </w:rPr>
      </w:pPr>
    </w:p>
    <w:p w14:paraId="367D71B7" w14:textId="77777777" w:rsidR="00316C3E" w:rsidRPr="006C13DF" w:rsidRDefault="00316C3E" w:rsidP="00316C3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Асистентска подкрепа по реда на ЗСУ с финансиране от държавния бюджет продължи без прекъсване и в периода 2023 – 2024 г. През 2023 г. и през 2024 г. услугата се предоставя в </w:t>
      </w:r>
      <w:r w:rsidRPr="00A9795C">
        <w:rPr>
          <w:rFonts w:ascii="Times New Roman" w:eastAsia="Times New Roman" w:hAnsi="Times New Roman" w:cs="Times New Roman"/>
          <w:b/>
          <w:sz w:val="24"/>
          <w:szCs w:val="24"/>
          <w:lang w:eastAsia="bg-BG"/>
        </w:rPr>
        <w:t>263 общини с възможност за подкрепа на 21 710 потребители</w:t>
      </w:r>
      <w:r w:rsidRPr="006C13DF">
        <w:rPr>
          <w:rFonts w:ascii="Times New Roman" w:eastAsia="Times New Roman" w:hAnsi="Times New Roman" w:cs="Times New Roman"/>
          <w:sz w:val="24"/>
          <w:szCs w:val="24"/>
          <w:lang w:eastAsia="bg-BG"/>
        </w:rPr>
        <w:t xml:space="preserve">. </w:t>
      </w:r>
    </w:p>
    <w:p w14:paraId="05803F51" w14:textId="77777777" w:rsidR="00D20C6E" w:rsidRPr="006C13DF" w:rsidRDefault="00D20C6E" w:rsidP="00E91E47">
      <w:pPr>
        <w:spacing w:after="0" w:line="240" w:lineRule="auto"/>
        <w:jc w:val="both"/>
        <w:rPr>
          <w:rFonts w:ascii="Times New Roman" w:eastAsia="Times New Roman" w:hAnsi="Times New Roman" w:cs="Times New Roman"/>
          <w:b/>
          <w:sz w:val="24"/>
          <w:szCs w:val="24"/>
          <w:lang w:eastAsia="bg-BG"/>
        </w:rPr>
      </w:pPr>
    </w:p>
    <w:p w14:paraId="2409C4FE" w14:textId="77777777" w:rsidR="00D20C6E" w:rsidRPr="006C13DF" w:rsidRDefault="00D20C6E" w:rsidP="00D20C6E">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МИНИСТЕРСТВО НА ТРУДА И СОЦИАЛНАТА ПОЛИТИКА</w:t>
      </w:r>
    </w:p>
    <w:p w14:paraId="25D71174" w14:textId="77777777" w:rsidR="00D20C6E" w:rsidRPr="006C13DF" w:rsidRDefault="00D20C6E" w:rsidP="00D20C6E">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АГЕНЦИЯ ЗА СОЦИАЛНО ПОДПОМАГАНЕ</w:t>
      </w:r>
    </w:p>
    <w:p w14:paraId="46C54610" w14:textId="77777777" w:rsidR="00D20C6E" w:rsidRPr="006C13DF" w:rsidRDefault="00D20C6E" w:rsidP="00E91E47">
      <w:pPr>
        <w:spacing w:after="0" w:line="240" w:lineRule="auto"/>
        <w:jc w:val="both"/>
        <w:rPr>
          <w:rFonts w:ascii="Times New Roman" w:eastAsia="Times New Roman" w:hAnsi="Times New Roman" w:cs="Times New Roman"/>
          <w:b/>
          <w:sz w:val="24"/>
          <w:szCs w:val="24"/>
          <w:lang w:eastAsia="bg-BG"/>
        </w:rPr>
      </w:pPr>
    </w:p>
    <w:p w14:paraId="191DB320" w14:textId="77777777" w:rsidR="00D20C6E" w:rsidRPr="006C13DF" w:rsidRDefault="00D20C6E" w:rsidP="00E91E47">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3.5.3. Достъпна подкрепа чрез предоставяне на механизма лична помощ на лица с установени вид и степен на увреждане или степен на трайно намалена работоспособност с определена чужда помощ - осигуряване на асистентска подкрепа в домашна среда за извършване на дейности от личен, домашен или социален характер и за преодоляване на бариерите на функционалните  ограничения на хората с увреждания</w:t>
      </w:r>
    </w:p>
    <w:p w14:paraId="236D87E7" w14:textId="77777777" w:rsidR="00654118" w:rsidRDefault="00654118" w:rsidP="00D20C6E">
      <w:pPr>
        <w:spacing w:after="0" w:line="240" w:lineRule="auto"/>
        <w:ind w:firstLine="720"/>
        <w:jc w:val="both"/>
        <w:rPr>
          <w:rFonts w:ascii="Times New Roman" w:eastAsia="Times New Roman" w:hAnsi="Times New Roman" w:cs="Times New Roman"/>
          <w:sz w:val="24"/>
          <w:szCs w:val="24"/>
          <w:lang w:eastAsia="bg-BG"/>
        </w:rPr>
      </w:pPr>
    </w:p>
    <w:p w14:paraId="3C036204" w14:textId="77777777" w:rsidR="00D20C6E" w:rsidRPr="006C13DF" w:rsidRDefault="00D20C6E" w:rsidP="00D20C6E">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В Държавен вестник, бр. 105 от 18.12.2018 г. е обнародван Законът за личната помощ, който урежда условията и реда за предоставянето и ползването на лична помощ от хора с увреждания.</w:t>
      </w:r>
    </w:p>
    <w:p w14:paraId="68D3F6A9" w14:textId="77777777" w:rsidR="00D20C6E" w:rsidRPr="006C13DF" w:rsidRDefault="00D20C6E" w:rsidP="00D20C6E">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Личната помощ е механизъм за подкрепа на хора с увреждания за упражняване на правата им, за пълноценно участие в обществото, за извършване на дейности, отговарящи на индивидуалните им потребности от личен, домашен или социален характер и за преодоляване на бариерите на функционалните им ограничения.</w:t>
      </w:r>
    </w:p>
    <w:p w14:paraId="26AAAEFA" w14:textId="77777777" w:rsidR="00D20C6E" w:rsidRPr="006C13DF" w:rsidRDefault="00D20C6E" w:rsidP="00D20C6E">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През 2023 г. механизмът лична помощ е предоставен на </w:t>
      </w:r>
      <w:r w:rsidRPr="00A9795C">
        <w:rPr>
          <w:rFonts w:ascii="Times New Roman" w:eastAsia="Times New Roman" w:hAnsi="Times New Roman" w:cs="Times New Roman"/>
          <w:b/>
          <w:sz w:val="24"/>
          <w:szCs w:val="24"/>
          <w:lang w:eastAsia="bg-BG"/>
        </w:rPr>
        <w:t>58 534 възрастни лица с увреждания</w:t>
      </w:r>
      <w:r w:rsidRPr="006C13DF">
        <w:rPr>
          <w:rFonts w:ascii="Times New Roman" w:eastAsia="Times New Roman" w:hAnsi="Times New Roman" w:cs="Times New Roman"/>
          <w:sz w:val="24"/>
          <w:szCs w:val="24"/>
          <w:lang w:eastAsia="bg-BG"/>
        </w:rPr>
        <w:t>.</w:t>
      </w:r>
    </w:p>
    <w:p w14:paraId="7D0770C7" w14:textId="77777777" w:rsidR="00D20C6E" w:rsidRPr="006C13DF" w:rsidRDefault="00D20C6E" w:rsidP="00D20C6E">
      <w:pPr>
        <w:spacing w:after="0" w:line="240" w:lineRule="auto"/>
        <w:ind w:firstLine="720"/>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 xml:space="preserve">През 2024 г. механизмът лична помощ е предоставен на </w:t>
      </w:r>
      <w:r w:rsidRPr="00A9795C">
        <w:rPr>
          <w:rFonts w:ascii="Times New Roman" w:eastAsia="Times New Roman" w:hAnsi="Times New Roman" w:cs="Times New Roman"/>
          <w:b/>
          <w:sz w:val="24"/>
          <w:szCs w:val="24"/>
          <w:lang w:eastAsia="bg-BG"/>
        </w:rPr>
        <w:t>70 662 възрастни лица с увреждания</w:t>
      </w:r>
      <w:r w:rsidRPr="006C13DF">
        <w:rPr>
          <w:rFonts w:ascii="Times New Roman" w:eastAsia="Times New Roman" w:hAnsi="Times New Roman" w:cs="Times New Roman"/>
          <w:sz w:val="24"/>
          <w:szCs w:val="24"/>
          <w:lang w:eastAsia="bg-BG"/>
        </w:rPr>
        <w:t>.</w:t>
      </w:r>
    </w:p>
    <w:p w14:paraId="217E78D5" w14:textId="77777777" w:rsidR="008B5C48" w:rsidRPr="006C13DF" w:rsidRDefault="008B5C48" w:rsidP="00E91E47">
      <w:pPr>
        <w:spacing w:after="0" w:line="240" w:lineRule="auto"/>
        <w:jc w:val="both"/>
        <w:rPr>
          <w:rFonts w:ascii="Times New Roman" w:eastAsia="Times New Roman" w:hAnsi="Times New Roman" w:cs="Times New Roman"/>
          <w:b/>
          <w:i/>
          <w:sz w:val="24"/>
          <w:szCs w:val="24"/>
          <w:lang w:eastAsia="bg-BG"/>
        </w:rPr>
      </w:pPr>
    </w:p>
    <w:p w14:paraId="0BEE44A5" w14:textId="77777777" w:rsidR="00415073" w:rsidRPr="006C13DF" w:rsidRDefault="00415073" w:rsidP="00415073">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НАЦИОНАЛНА ЗДРАВНООСИГУРИТЕЛНА КАСА </w:t>
      </w:r>
    </w:p>
    <w:p w14:paraId="4ECC296F" w14:textId="77777777" w:rsidR="00415073" w:rsidRPr="006C13DF" w:rsidRDefault="00415073" w:rsidP="00E91E47">
      <w:pPr>
        <w:spacing w:after="0" w:line="240" w:lineRule="auto"/>
        <w:jc w:val="both"/>
        <w:rPr>
          <w:rFonts w:ascii="Times New Roman" w:eastAsia="Times New Roman" w:hAnsi="Times New Roman" w:cs="Times New Roman"/>
          <w:b/>
          <w:i/>
          <w:sz w:val="24"/>
          <w:szCs w:val="24"/>
          <w:lang w:eastAsia="bg-BG"/>
        </w:rPr>
      </w:pPr>
    </w:p>
    <w:p w14:paraId="095E69B5" w14:textId="77777777" w:rsidR="008B5C48" w:rsidRPr="006C13DF" w:rsidRDefault="008B5C48" w:rsidP="00E91E47">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 xml:space="preserve">3.5.4. </w:t>
      </w:r>
      <w:r w:rsidR="00415073" w:rsidRPr="006C13DF">
        <w:rPr>
          <w:rFonts w:ascii="Times New Roman" w:eastAsia="Times New Roman" w:hAnsi="Times New Roman" w:cs="Times New Roman"/>
          <w:b/>
          <w:sz w:val="24"/>
          <w:szCs w:val="24"/>
          <w:lang w:eastAsia="bg-BG"/>
        </w:rPr>
        <w:t>З</w:t>
      </w:r>
      <w:r w:rsidRPr="006C13DF">
        <w:rPr>
          <w:rFonts w:ascii="Times New Roman" w:eastAsia="Times New Roman" w:hAnsi="Times New Roman" w:cs="Times New Roman"/>
          <w:b/>
          <w:sz w:val="24"/>
          <w:szCs w:val="24"/>
          <w:lang w:eastAsia="bg-BG"/>
        </w:rPr>
        <w:t>аплаща</w:t>
      </w:r>
      <w:r w:rsidR="00415073" w:rsidRPr="006C13DF">
        <w:rPr>
          <w:rFonts w:ascii="Times New Roman" w:eastAsia="Times New Roman" w:hAnsi="Times New Roman" w:cs="Times New Roman"/>
          <w:b/>
          <w:sz w:val="24"/>
          <w:szCs w:val="24"/>
          <w:lang w:eastAsia="bg-BG"/>
        </w:rPr>
        <w:t>не на</w:t>
      </w:r>
      <w:r w:rsidRPr="006C13DF">
        <w:rPr>
          <w:rFonts w:ascii="Times New Roman" w:eastAsia="Times New Roman" w:hAnsi="Times New Roman" w:cs="Times New Roman"/>
          <w:b/>
          <w:sz w:val="24"/>
          <w:szCs w:val="24"/>
          <w:lang w:eastAsia="bg-BG"/>
        </w:rPr>
        <w:t xml:space="preserve"> дейностите за комплексно диспансерно /амбулаторно/ наблюдение на пациенти с психични и кожно-венерически заболявания, договорената и извършена дейност от изпълнители на болнична медицинска помощ (БМП) в центрове за психично здраве и в центрове з</w:t>
      </w:r>
      <w:r w:rsidR="00415073" w:rsidRPr="006C13DF">
        <w:rPr>
          <w:rFonts w:ascii="Times New Roman" w:eastAsia="Times New Roman" w:hAnsi="Times New Roman" w:cs="Times New Roman"/>
          <w:b/>
          <w:sz w:val="24"/>
          <w:szCs w:val="24"/>
          <w:lang w:eastAsia="bg-BG"/>
        </w:rPr>
        <w:t>а кожно-венерически заболявания</w:t>
      </w:r>
    </w:p>
    <w:p w14:paraId="060A0B31" w14:textId="77777777" w:rsidR="00415073" w:rsidRPr="006C13DF" w:rsidRDefault="00415073" w:rsidP="00E91E47">
      <w:pPr>
        <w:spacing w:after="0" w:line="240" w:lineRule="auto"/>
        <w:jc w:val="both"/>
        <w:rPr>
          <w:rFonts w:ascii="Times New Roman" w:eastAsia="Times New Roman" w:hAnsi="Times New Roman" w:cs="Times New Roman"/>
          <w:b/>
          <w:sz w:val="24"/>
          <w:szCs w:val="24"/>
          <w:lang w:eastAsia="bg-BG"/>
        </w:rPr>
      </w:pPr>
    </w:p>
    <w:p w14:paraId="4A5C0063" w14:textId="77777777" w:rsidR="00415073" w:rsidRPr="006C13DF" w:rsidRDefault="00415073" w:rsidP="00415073">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НЗОК заплаща дейностите за комплексно диспансерно /амбулаторно/ наблюдение на пациенти с психични и кожно-венерически заболявания, договорената и извършена дейност от изпълнители на болнична медицинска помощ (БМП) в центрове за психично здраве и в центрове за кожно-венерически заболявания.</w:t>
      </w:r>
    </w:p>
    <w:p w14:paraId="4687A889" w14:textId="77777777" w:rsidR="00415073" w:rsidRPr="006C13DF" w:rsidRDefault="00415073" w:rsidP="00415073">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Комплексното диспансерно (амбулаторно) наблюдение на пациенти с кожно-венерически заболявания и с психични заболявания се осъществява в съответствие с Наредба №8 от 2016г. за профилактичните прегледи и диспансеризацията и наредбата по чл. 45, ал. 2 от Закона за здравното осигуряване, т.е. на</w:t>
      </w:r>
      <w:r w:rsidRPr="006C13DF">
        <w:rPr>
          <w:rFonts w:ascii="Times New Roman" w:hAnsi="Times New Roman" w:cs="Times New Roman"/>
          <w:b/>
          <w:sz w:val="24"/>
          <w:szCs w:val="24"/>
        </w:rPr>
        <w:t xml:space="preserve"> </w:t>
      </w:r>
      <w:r w:rsidRPr="006C13DF">
        <w:rPr>
          <w:rFonts w:ascii="Times New Roman" w:hAnsi="Times New Roman" w:cs="Times New Roman"/>
          <w:sz w:val="24"/>
          <w:szCs w:val="24"/>
        </w:rPr>
        <w:t xml:space="preserve">Наредба №9 от 10 декември 2019 г. за определяне на пакета от здравни дейности, гарантиран от бюджета на НЗОК, издадени от министъра на здравеопазването. </w:t>
      </w:r>
    </w:p>
    <w:p w14:paraId="5D59700D" w14:textId="77777777" w:rsidR="00415073" w:rsidRPr="006C13DF" w:rsidRDefault="00415073" w:rsidP="00415073">
      <w:pPr>
        <w:spacing w:after="0" w:line="240" w:lineRule="auto"/>
        <w:ind w:firstLine="709"/>
        <w:jc w:val="both"/>
        <w:rPr>
          <w:rFonts w:ascii="Times New Roman" w:hAnsi="Times New Roman" w:cs="Times New Roman"/>
          <w:sz w:val="24"/>
          <w:szCs w:val="24"/>
          <w:lang w:val="en-US"/>
        </w:rPr>
      </w:pPr>
      <w:r w:rsidRPr="006C13DF">
        <w:rPr>
          <w:rFonts w:ascii="Times New Roman" w:hAnsi="Times New Roman" w:cs="Times New Roman"/>
          <w:sz w:val="24"/>
          <w:szCs w:val="24"/>
        </w:rPr>
        <w:t>През 20</w:t>
      </w:r>
      <w:r w:rsidRPr="006C13DF">
        <w:rPr>
          <w:rFonts w:ascii="Times New Roman" w:hAnsi="Times New Roman" w:cs="Times New Roman"/>
          <w:sz w:val="24"/>
          <w:szCs w:val="24"/>
          <w:lang w:val="en-US"/>
        </w:rPr>
        <w:t>23</w:t>
      </w:r>
      <w:r w:rsidRPr="006C13DF">
        <w:rPr>
          <w:rFonts w:ascii="Times New Roman" w:hAnsi="Times New Roman" w:cs="Times New Roman"/>
          <w:sz w:val="24"/>
          <w:szCs w:val="24"/>
        </w:rPr>
        <w:t xml:space="preserve"> г. за Комплексното диспансерно (амбулаторно) наблюдение на пациенти с кожно-венерически заболявания и с психични заболявания са заплатени средства в размер на 226 хил. лв. </w:t>
      </w:r>
    </w:p>
    <w:p w14:paraId="4B2C8C39" w14:textId="77777777" w:rsidR="00415073" w:rsidRPr="006C13DF" w:rsidRDefault="00415073" w:rsidP="00415073">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През 202</w:t>
      </w:r>
      <w:r w:rsidRPr="006C13DF">
        <w:rPr>
          <w:rFonts w:ascii="Times New Roman" w:hAnsi="Times New Roman" w:cs="Times New Roman"/>
          <w:sz w:val="24"/>
          <w:szCs w:val="24"/>
          <w:lang w:val="en-US"/>
        </w:rPr>
        <w:t>4</w:t>
      </w:r>
      <w:r w:rsidRPr="006C13DF">
        <w:rPr>
          <w:rFonts w:ascii="Times New Roman" w:hAnsi="Times New Roman" w:cs="Times New Roman"/>
          <w:sz w:val="24"/>
          <w:szCs w:val="24"/>
        </w:rPr>
        <w:t xml:space="preserve"> г. за Комплексното диспансерно (амбулаторно) наблюдение на пациенти с кожно-венерически заболявания и с психични заболявания са заплатени средства в размер на 342 хил. лв. </w:t>
      </w:r>
    </w:p>
    <w:p w14:paraId="070C36F6" w14:textId="77777777" w:rsidR="00415073" w:rsidRPr="006C13DF" w:rsidRDefault="00415073" w:rsidP="00E91E47">
      <w:pPr>
        <w:spacing w:after="0" w:line="240" w:lineRule="auto"/>
        <w:jc w:val="both"/>
        <w:rPr>
          <w:rFonts w:ascii="Times New Roman" w:eastAsia="Times New Roman" w:hAnsi="Times New Roman" w:cs="Times New Roman"/>
          <w:b/>
          <w:i/>
          <w:sz w:val="24"/>
          <w:szCs w:val="24"/>
          <w:lang w:eastAsia="bg-BG"/>
        </w:rPr>
      </w:pPr>
    </w:p>
    <w:p w14:paraId="7AA51D15" w14:textId="77777777" w:rsidR="00415073" w:rsidRPr="006C13DF" w:rsidRDefault="00415073" w:rsidP="00415073">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НАЦИОНАЛНА ЗДРАВНООСИГУРИТЕЛНА КАСА</w:t>
      </w:r>
    </w:p>
    <w:p w14:paraId="2B59A4CB" w14:textId="77777777" w:rsidR="00D756E4" w:rsidRPr="006C13DF" w:rsidRDefault="00D756E4" w:rsidP="00415073">
      <w:pPr>
        <w:spacing w:after="0" w:line="240" w:lineRule="auto"/>
        <w:jc w:val="center"/>
        <w:rPr>
          <w:rFonts w:ascii="Times New Roman" w:eastAsia="Calibri" w:hAnsi="Times New Roman" w:cs="Times New Roman"/>
          <w:b/>
          <w:color w:val="C0504D"/>
          <w:sz w:val="24"/>
          <w:szCs w:val="24"/>
        </w:rPr>
      </w:pPr>
    </w:p>
    <w:p w14:paraId="2913C475" w14:textId="77777777" w:rsidR="008B5C48" w:rsidRPr="006C13DF" w:rsidRDefault="008B5C48" w:rsidP="008B5C48">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3.5.5. Физиотерапия и рехабилитация в извънболничната и в болничната медицинска помощ</w:t>
      </w:r>
      <w:r w:rsidR="009E7955" w:rsidRPr="006C13DF">
        <w:rPr>
          <w:rFonts w:ascii="Times New Roman" w:eastAsia="Times New Roman" w:hAnsi="Times New Roman" w:cs="Times New Roman"/>
          <w:b/>
          <w:sz w:val="24"/>
          <w:szCs w:val="24"/>
          <w:lang w:eastAsia="bg-BG"/>
        </w:rPr>
        <w:t xml:space="preserve">: </w:t>
      </w:r>
    </w:p>
    <w:p w14:paraId="766485A2" w14:textId="77777777" w:rsidR="009E7955" w:rsidRPr="006C13DF" w:rsidRDefault="009E7955" w:rsidP="008B5C48">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3.5.5.1. Физиотерапия и рехабилитация в извънболничната медицинска помощ</w:t>
      </w:r>
    </w:p>
    <w:p w14:paraId="09677C7C" w14:textId="77777777" w:rsidR="00415073" w:rsidRPr="006C13DF" w:rsidRDefault="00415073" w:rsidP="008B5C48">
      <w:pPr>
        <w:spacing w:after="0" w:line="240" w:lineRule="auto"/>
        <w:jc w:val="both"/>
        <w:rPr>
          <w:rFonts w:ascii="Times New Roman" w:eastAsia="Times New Roman" w:hAnsi="Times New Roman" w:cs="Times New Roman"/>
          <w:b/>
          <w:i/>
          <w:sz w:val="24"/>
          <w:szCs w:val="24"/>
          <w:lang w:eastAsia="bg-BG"/>
        </w:rPr>
      </w:pPr>
    </w:p>
    <w:p w14:paraId="621F526C" w14:textId="77777777" w:rsidR="009E7955" w:rsidRPr="006C13DF" w:rsidRDefault="009E7955" w:rsidP="009E7955">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В извънболничната медицинска помощ необходимостта от рехабилитационни мероприятия за здравноосигурените лица се установява от лекар специалист и/или от общопрактикуващия (личния) лекар, като лечението се извършва по предписан от лекаря специалист по „Физикална и рехабилитационна медицина“ физиотерапевтичен курс на лечение. Това е от съществено значение и за хората след претърпяно заболяване или хирургическа интервенция, с цел постигане на максимален терапевтичен ефект и превенция на по-нататъшни увреждания.</w:t>
      </w:r>
    </w:p>
    <w:p w14:paraId="66A9EDF8" w14:textId="77777777" w:rsidR="009E7955" w:rsidRPr="006C13DF" w:rsidRDefault="009E7955" w:rsidP="009E7955">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lastRenderedPageBreak/>
        <w:t>За физиотерапевтичен курс на лечение на определено заболяване се приема комплексно лечение, включващо първоначален преглед на лекаря специалист по физикална и рехабилитационна медицина, с оценка на обективното състояние на пациента с назначени видове и общ брой процедури до 20 в курс от група 1 и/или 2 или 3 по преценка на лекаря специалист, промените на</w:t>
      </w:r>
      <w:r w:rsidRPr="006C13DF">
        <w:rPr>
          <w:rFonts w:ascii="Times New Roman" w:hAnsi="Times New Roman" w:cs="Times New Roman"/>
          <w:bCs/>
          <w:sz w:val="24"/>
          <w:szCs w:val="24"/>
        </w:rPr>
        <w:t xml:space="preserve"> </w:t>
      </w:r>
      <w:r w:rsidRPr="006C13DF">
        <w:rPr>
          <w:rFonts w:ascii="Times New Roman" w:hAnsi="Times New Roman" w:cs="Times New Roman"/>
          <w:sz w:val="24"/>
          <w:szCs w:val="24"/>
        </w:rPr>
        <w:t>лечението, както и заключителен преглед с оценка на резултатите от проведеното лечение и отразени вид и брой на проведените процедури.</w:t>
      </w:r>
    </w:p>
    <w:p w14:paraId="201B4326" w14:textId="77777777" w:rsidR="009E7955" w:rsidRPr="006C13DF" w:rsidRDefault="009E7955" w:rsidP="009E7955">
      <w:pPr>
        <w:spacing w:after="0" w:line="240" w:lineRule="auto"/>
        <w:ind w:firstLine="708"/>
        <w:jc w:val="both"/>
        <w:rPr>
          <w:rFonts w:ascii="Times New Roman" w:eastAsia="Times New Roman" w:hAnsi="Times New Roman" w:cs="Times New Roman"/>
          <w:sz w:val="18"/>
          <w:szCs w:val="18"/>
          <w:lang w:val="en-US"/>
        </w:rPr>
      </w:pPr>
      <w:r w:rsidRPr="006C13DF">
        <w:rPr>
          <w:rFonts w:ascii="Times New Roman" w:hAnsi="Times New Roman" w:cs="Times New Roman"/>
          <w:sz w:val="24"/>
          <w:szCs w:val="24"/>
        </w:rPr>
        <w:t>През 20</w:t>
      </w:r>
      <w:r w:rsidRPr="006C13DF">
        <w:rPr>
          <w:rFonts w:ascii="Times New Roman" w:hAnsi="Times New Roman" w:cs="Times New Roman"/>
          <w:sz w:val="24"/>
          <w:szCs w:val="24"/>
          <w:lang w:val="en-US"/>
        </w:rPr>
        <w:t>23</w:t>
      </w:r>
      <w:r w:rsidRPr="006C13DF">
        <w:rPr>
          <w:rFonts w:ascii="Times New Roman" w:hAnsi="Times New Roman" w:cs="Times New Roman"/>
          <w:sz w:val="24"/>
          <w:szCs w:val="24"/>
        </w:rPr>
        <w:t xml:space="preserve"> г. за физиотерапия, извършена от изпълнители на СИМП са заплатени </w:t>
      </w:r>
      <w:r w:rsidRPr="006C13DF">
        <w:rPr>
          <w:rFonts w:ascii="Times New Roman" w:hAnsi="Times New Roman" w:cs="Times New Roman"/>
          <w:sz w:val="24"/>
          <w:szCs w:val="24"/>
          <w:lang w:val="en-US"/>
        </w:rPr>
        <w:t>69 683</w:t>
      </w:r>
      <w:r w:rsidRPr="006C13DF">
        <w:rPr>
          <w:rFonts w:ascii="Times New Roman" w:hAnsi="Times New Roman" w:cs="Times New Roman"/>
          <w:sz w:val="24"/>
          <w:szCs w:val="24"/>
        </w:rPr>
        <w:t>,5 хил. лв. и 409</w:t>
      </w:r>
      <w:r w:rsidRPr="006C13DF">
        <w:rPr>
          <w:rFonts w:ascii="Times New Roman" w:hAnsi="Times New Roman" w:cs="Times New Roman"/>
          <w:sz w:val="24"/>
          <w:szCs w:val="24"/>
          <w:lang w:val="en-US"/>
        </w:rPr>
        <w:t>,</w:t>
      </w:r>
      <w:r w:rsidRPr="006C13DF">
        <w:rPr>
          <w:rFonts w:ascii="Times New Roman" w:hAnsi="Times New Roman" w:cs="Times New Roman"/>
          <w:sz w:val="24"/>
          <w:szCs w:val="24"/>
        </w:rPr>
        <w:t xml:space="preserve">7 хил. лв. за ВСД изпълнявани от лекар специалист по физиотерапия. Заплатените средства за лицата над 65-годишна възраст са 40 613 хил. лв. </w:t>
      </w:r>
    </w:p>
    <w:p w14:paraId="50EBCC8A" w14:textId="77777777" w:rsidR="009E7955" w:rsidRPr="006C13DF" w:rsidRDefault="009E7955" w:rsidP="009E7955">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През 202</w:t>
      </w:r>
      <w:r w:rsidRPr="006C13DF">
        <w:rPr>
          <w:rFonts w:ascii="Times New Roman" w:hAnsi="Times New Roman" w:cs="Times New Roman"/>
          <w:sz w:val="24"/>
          <w:szCs w:val="24"/>
          <w:lang w:val="en-US"/>
        </w:rPr>
        <w:t>4</w:t>
      </w:r>
      <w:r w:rsidRPr="006C13DF">
        <w:rPr>
          <w:rFonts w:ascii="Times New Roman" w:hAnsi="Times New Roman" w:cs="Times New Roman"/>
          <w:sz w:val="24"/>
          <w:szCs w:val="24"/>
        </w:rPr>
        <w:t xml:space="preserve"> г. за физиотерапия, извършена от изпълнители на СИМП са заплатени 98 933,5  хил. лв. и 341</w:t>
      </w:r>
      <w:r w:rsidRPr="006C13DF">
        <w:rPr>
          <w:rFonts w:ascii="Times New Roman" w:hAnsi="Times New Roman" w:cs="Times New Roman"/>
          <w:sz w:val="24"/>
          <w:szCs w:val="24"/>
          <w:lang w:val="en-US"/>
        </w:rPr>
        <w:t>,</w:t>
      </w:r>
      <w:r w:rsidRPr="006C13DF">
        <w:rPr>
          <w:rFonts w:ascii="Times New Roman" w:hAnsi="Times New Roman" w:cs="Times New Roman"/>
          <w:sz w:val="24"/>
          <w:szCs w:val="24"/>
        </w:rPr>
        <w:t>7</w:t>
      </w:r>
      <w:r w:rsidRPr="006C13DF">
        <w:rPr>
          <w:rFonts w:ascii="Times New Roman" w:hAnsi="Times New Roman" w:cs="Times New Roman"/>
          <w:sz w:val="24"/>
          <w:szCs w:val="24"/>
          <w:lang w:val="en-US"/>
        </w:rPr>
        <w:t> </w:t>
      </w:r>
      <w:r w:rsidRPr="006C13DF">
        <w:rPr>
          <w:rFonts w:ascii="Times New Roman" w:hAnsi="Times New Roman" w:cs="Times New Roman"/>
          <w:sz w:val="24"/>
          <w:szCs w:val="24"/>
        </w:rPr>
        <w:t>хил. лв. за ВСД изпълнявани от лекар специалист по физиотерапия, от заплатените средства 55 616 хил. лв. са за лицата над 65-годишна възраст.</w:t>
      </w:r>
    </w:p>
    <w:p w14:paraId="0112ABC5" w14:textId="77777777" w:rsidR="00415073" w:rsidRPr="006C13DF" w:rsidRDefault="00415073" w:rsidP="008B5C48">
      <w:pPr>
        <w:spacing w:after="0" w:line="240" w:lineRule="auto"/>
        <w:jc w:val="both"/>
        <w:rPr>
          <w:rFonts w:ascii="Times New Roman" w:eastAsia="Times New Roman" w:hAnsi="Times New Roman" w:cs="Times New Roman"/>
          <w:b/>
          <w:i/>
          <w:sz w:val="24"/>
          <w:szCs w:val="24"/>
          <w:lang w:eastAsia="bg-BG"/>
        </w:rPr>
      </w:pPr>
    </w:p>
    <w:p w14:paraId="44544BAE" w14:textId="77777777" w:rsidR="008B5C48" w:rsidRPr="006C13DF" w:rsidRDefault="008B5C48" w:rsidP="008B5C48">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3.5.5.2. Физиотерапия и рехабилитация и в болничната медицинска помощ</w:t>
      </w:r>
    </w:p>
    <w:p w14:paraId="70E82501" w14:textId="77777777" w:rsidR="009E7955" w:rsidRPr="006C13DF" w:rsidRDefault="009E7955" w:rsidP="008B5C48">
      <w:pPr>
        <w:spacing w:after="0" w:line="240" w:lineRule="auto"/>
        <w:jc w:val="both"/>
        <w:rPr>
          <w:rFonts w:ascii="Times New Roman" w:eastAsia="Times New Roman" w:hAnsi="Times New Roman" w:cs="Times New Roman"/>
          <w:b/>
          <w:sz w:val="24"/>
          <w:szCs w:val="24"/>
          <w:lang w:eastAsia="bg-BG"/>
        </w:rPr>
      </w:pPr>
    </w:p>
    <w:p w14:paraId="14E09805" w14:textId="77777777" w:rsidR="009E7955" w:rsidRPr="006C13DF" w:rsidRDefault="009E7955" w:rsidP="009E7955">
      <w:pPr>
        <w:spacing w:after="0" w:line="240" w:lineRule="auto"/>
        <w:ind w:firstLine="708"/>
        <w:jc w:val="both"/>
        <w:rPr>
          <w:rFonts w:ascii="Times New Roman" w:hAnsi="Times New Roman" w:cs="Times New Roman"/>
          <w:sz w:val="24"/>
          <w:szCs w:val="24"/>
        </w:rPr>
      </w:pPr>
      <w:r w:rsidRPr="006C13DF">
        <w:rPr>
          <w:rFonts w:ascii="Times New Roman" w:hAnsi="Times New Roman" w:cs="Times New Roman"/>
          <w:sz w:val="24"/>
          <w:szCs w:val="24"/>
        </w:rPr>
        <w:t xml:space="preserve">През 2024 г. най-голям брой договори НЗОК е сключила за следните дейности, свързани с физикална и рехабилитационна медицина по: </w:t>
      </w:r>
    </w:p>
    <w:p w14:paraId="0734A6A6" w14:textId="77777777" w:rsidR="009E7955" w:rsidRPr="006C13DF" w:rsidRDefault="009E7955"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Клинична пътека №263.1 „Физикална терапия и рехабилитация при болести на периферна нервна система“ – 141 договора; </w:t>
      </w:r>
    </w:p>
    <w:p w14:paraId="09E9F5F1" w14:textId="77777777" w:rsidR="009E7955" w:rsidRPr="006C13DF" w:rsidRDefault="009E7955"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 №265.1 „Физикална терапия и рехабилитация при болести на опорно-двигателен апарат“ – 140 договора;</w:t>
      </w:r>
    </w:p>
    <w:p w14:paraId="6F8CC489" w14:textId="77777777" w:rsidR="009E7955" w:rsidRPr="006C13DF" w:rsidRDefault="009E7955"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 №262.1 „Физикална терапия и рехабилитация на болести на централна нервна система“ – 131 договора;</w:t>
      </w:r>
    </w:p>
    <w:p w14:paraId="065CBF7F" w14:textId="77777777" w:rsidR="009E7955" w:rsidRPr="006C13DF" w:rsidRDefault="009E7955"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Клинична пътека №261 „Физикална терапия и рехабилитация при първични мускулни увреждания и </w:t>
      </w:r>
      <w:proofErr w:type="spellStart"/>
      <w:r w:rsidRPr="006C13DF">
        <w:rPr>
          <w:rFonts w:ascii="Times New Roman" w:hAnsi="Times New Roman" w:cs="Times New Roman"/>
          <w:sz w:val="24"/>
          <w:szCs w:val="24"/>
        </w:rPr>
        <w:t>спинална</w:t>
      </w:r>
      <w:proofErr w:type="spellEnd"/>
      <w:r w:rsidRPr="006C13DF">
        <w:rPr>
          <w:rFonts w:ascii="Times New Roman" w:hAnsi="Times New Roman" w:cs="Times New Roman"/>
          <w:sz w:val="24"/>
          <w:szCs w:val="24"/>
        </w:rPr>
        <w:t xml:space="preserve"> мускулна атрофия“ – 96 договора;</w:t>
      </w:r>
    </w:p>
    <w:p w14:paraId="2F2B2B34" w14:textId="77777777" w:rsidR="009E7955" w:rsidRPr="006C13DF" w:rsidRDefault="009E7955"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 №260.1 „Физикална терапия и рехабилитация при детска церебрална парализа“ – 87 договора;</w:t>
      </w:r>
    </w:p>
    <w:p w14:paraId="262528FB" w14:textId="77777777" w:rsidR="009E7955" w:rsidRPr="006C13DF" w:rsidRDefault="009E7955"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 №254 „Продължително лечение и ранна рехабилитация след острия стадий на исхемичен и хеморагичен мозъчен инсулт с о</w:t>
      </w:r>
      <w:r w:rsidR="004A3DCD" w:rsidRPr="006C13DF">
        <w:rPr>
          <w:rFonts w:ascii="Times New Roman" w:hAnsi="Times New Roman" w:cs="Times New Roman"/>
          <w:sz w:val="24"/>
          <w:szCs w:val="24"/>
        </w:rPr>
        <w:t>статъчни проблеми за здравето“ – 81 договора;</w:t>
      </w:r>
    </w:p>
    <w:p w14:paraId="7AA1FCC6" w14:textId="77777777" w:rsidR="009E7955"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 №</w:t>
      </w:r>
      <w:r w:rsidR="009E7955" w:rsidRPr="006C13DF">
        <w:rPr>
          <w:rFonts w:ascii="Times New Roman" w:hAnsi="Times New Roman" w:cs="Times New Roman"/>
          <w:sz w:val="24"/>
          <w:szCs w:val="24"/>
        </w:rPr>
        <w:t xml:space="preserve">264 „Физикална терапия и рехабилитация след преживян/стар инфаркт на миокарда </w:t>
      </w:r>
      <w:r w:rsidRPr="006C13DF">
        <w:rPr>
          <w:rFonts w:ascii="Times New Roman" w:hAnsi="Times New Roman" w:cs="Times New Roman"/>
          <w:sz w:val="24"/>
          <w:szCs w:val="24"/>
        </w:rPr>
        <w:t>и след оперативни интервенции“ – 82 договора;</w:t>
      </w:r>
    </w:p>
    <w:p w14:paraId="336B1EBB" w14:textId="77777777" w:rsidR="004A3DCD"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 №</w:t>
      </w:r>
      <w:r w:rsidR="009E7955" w:rsidRPr="006C13DF">
        <w:rPr>
          <w:rFonts w:ascii="Times New Roman" w:hAnsi="Times New Roman" w:cs="Times New Roman"/>
          <w:sz w:val="24"/>
          <w:szCs w:val="24"/>
        </w:rPr>
        <w:t xml:space="preserve">267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Физикална терапия, рехабилитация и специализирани грижи след лечение от COVID-19</w:t>
      </w:r>
      <w:r w:rsidRPr="006C13DF">
        <w:rPr>
          <w:rFonts w:ascii="Times New Roman" w:hAnsi="Times New Roman" w:cs="Times New Roman"/>
          <w:sz w:val="24"/>
          <w:szCs w:val="24"/>
        </w:rPr>
        <w:t>“ – 73 договора;</w:t>
      </w:r>
    </w:p>
    <w:p w14:paraId="2F86CDDE" w14:textId="77777777" w:rsidR="004A3DCD"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w:t>
      </w:r>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256 „Продължително лечение и ранна рехабилитация след оперативни интервенции с голям и много голям обем и сложност с о</w:t>
      </w:r>
      <w:r w:rsidRPr="006C13DF">
        <w:rPr>
          <w:rFonts w:ascii="Times New Roman" w:hAnsi="Times New Roman" w:cs="Times New Roman"/>
          <w:sz w:val="24"/>
          <w:szCs w:val="24"/>
        </w:rPr>
        <w:t>статъчни проблеми за здравето“ – 56 договора;</w:t>
      </w:r>
    </w:p>
    <w:p w14:paraId="619480A2" w14:textId="77777777" w:rsidR="004A3DCD"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w:t>
      </w:r>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257 „Физикална терапия, рехабилитация и специализирани грижи при персистиращо/х</w:t>
      </w:r>
      <w:r w:rsidRPr="006C13DF">
        <w:rPr>
          <w:rFonts w:ascii="Times New Roman" w:hAnsi="Times New Roman" w:cs="Times New Roman"/>
          <w:sz w:val="24"/>
          <w:szCs w:val="24"/>
        </w:rPr>
        <w:t>ронично/вегетативно състояние“ – 42 договора;</w:t>
      </w:r>
    </w:p>
    <w:p w14:paraId="1917AF87" w14:textId="77777777" w:rsidR="004A3DCD"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w:t>
      </w:r>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255 „Продължително лечение и ранна рехабилитация след инфаркт на миокарда и след сърдечни интервенции“ – 34 договора</w:t>
      </w:r>
      <w:r w:rsidRPr="006C13DF">
        <w:rPr>
          <w:rFonts w:ascii="Times New Roman" w:hAnsi="Times New Roman" w:cs="Times New Roman"/>
          <w:sz w:val="24"/>
          <w:szCs w:val="24"/>
        </w:rPr>
        <w:t>;</w:t>
      </w:r>
    </w:p>
    <w:p w14:paraId="3CB59E5E" w14:textId="77777777" w:rsidR="004A3DCD"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w:t>
      </w:r>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 xml:space="preserve">262.2 „Физикална терапия и рехабилитация на болести на централна нервна система като последици от мозъчно-съдова болест, след непосредствена </w:t>
      </w:r>
      <w:proofErr w:type="spellStart"/>
      <w:r w:rsidR="009E7955" w:rsidRPr="006C13DF">
        <w:rPr>
          <w:rFonts w:ascii="Times New Roman" w:hAnsi="Times New Roman" w:cs="Times New Roman"/>
          <w:sz w:val="24"/>
          <w:szCs w:val="24"/>
        </w:rPr>
        <w:t>дехоспитализация</w:t>
      </w:r>
      <w:proofErr w:type="spellEnd"/>
      <w:r w:rsidR="009E7955" w:rsidRPr="006C13DF">
        <w:rPr>
          <w:rFonts w:ascii="Times New Roman" w:hAnsi="Times New Roman" w:cs="Times New Roman"/>
          <w:sz w:val="24"/>
          <w:szCs w:val="24"/>
        </w:rPr>
        <w:t xml:space="preserve"> от профилирана клиника/отделение за активно ле</w:t>
      </w:r>
      <w:r w:rsidRPr="006C13DF">
        <w:rPr>
          <w:rFonts w:ascii="Times New Roman" w:hAnsi="Times New Roman" w:cs="Times New Roman"/>
          <w:sz w:val="24"/>
          <w:szCs w:val="24"/>
        </w:rPr>
        <w:t>чение на основното заболяване“ –</w:t>
      </w:r>
      <w:r w:rsidR="009E7955" w:rsidRPr="006C13DF">
        <w:rPr>
          <w:rFonts w:ascii="Times New Roman" w:hAnsi="Times New Roman" w:cs="Times New Roman"/>
          <w:sz w:val="24"/>
          <w:szCs w:val="24"/>
        </w:rPr>
        <w:t xml:space="preserve"> 18 договора</w:t>
      </w:r>
      <w:r w:rsidRPr="006C13DF">
        <w:rPr>
          <w:rFonts w:ascii="Times New Roman" w:hAnsi="Times New Roman" w:cs="Times New Roman"/>
          <w:sz w:val="24"/>
          <w:szCs w:val="24"/>
        </w:rPr>
        <w:t>;</w:t>
      </w:r>
    </w:p>
    <w:p w14:paraId="1E894B33" w14:textId="77777777" w:rsidR="004A3DCD"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w:t>
      </w:r>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2</w:t>
      </w:r>
      <w:r w:rsidRPr="006C13DF">
        <w:rPr>
          <w:rFonts w:ascii="Times New Roman" w:hAnsi="Times New Roman" w:cs="Times New Roman"/>
          <w:sz w:val="24"/>
          <w:szCs w:val="24"/>
        </w:rPr>
        <w:t xml:space="preserve">65.3 </w:t>
      </w:r>
      <w:r w:rsidR="009E7955" w:rsidRPr="006C13DF">
        <w:rPr>
          <w:rFonts w:ascii="Times New Roman" w:hAnsi="Times New Roman" w:cs="Times New Roman"/>
          <w:sz w:val="24"/>
          <w:szCs w:val="24"/>
        </w:rPr>
        <w:t xml:space="preserve">„Физикална терапия и рехабилитация при болести на опорно-двигателен апарат след непосредствена </w:t>
      </w:r>
      <w:proofErr w:type="spellStart"/>
      <w:r w:rsidR="009E7955" w:rsidRPr="006C13DF">
        <w:rPr>
          <w:rFonts w:ascii="Times New Roman" w:hAnsi="Times New Roman" w:cs="Times New Roman"/>
          <w:sz w:val="24"/>
          <w:szCs w:val="24"/>
        </w:rPr>
        <w:t>дехоспитализация</w:t>
      </w:r>
      <w:proofErr w:type="spellEnd"/>
      <w:r w:rsidR="009E7955" w:rsidRPr="006C13DF">
        <w:rPr>
          <w:rFonts w:ascii="Times New Roman" w:hAnsi="Times New Roman" w:cs="Times New Roman"/>
          <w:sz w:val="24"/>
          <w:szCs w:val="24"/>
        </w:rPr>
        <w:t xml:space="preserve"> от профилирана клиника/отделение за активно ле</w:t>
      </w:r>
      <w:r w:rsidRPr="006C13DF">
        <w:rPr>
          <w:rFonts w:ascii="Times New Roman" w:hAnsi="Times New Roman" w:cs="Times New Roman"/>
          <w:sz w:val="24"/>
          <w:szCs w:val="24"/>
        </w:rPr>
        <w:t>чение на основното заболяване“ –</w:t>
      </w:r>
      <w:r w:rsidR="009E7955" w:rsidRPr="006C13DF">
        <w:rPr>
          <w:rFonts w:ascii="Times New Roman" w:hAnsi="Times New Roman" w:cs="Times New Roman"/>
          <w:sz w:val="24"/>
          <w:szCs w:val="24"/>
        </w:rPr>
        <w:t xml:space="preserve"> 11 договора</w:t>
      </w:r>
      <w:r w:rsidRPr="006C13DF">
        <w:rPr>
          <w:rFonts w:ascii="Times New Roman" w:hAnsi="Times New Roman" w:cs="Times New Roman"/>
          <w:sz w:val="24"/>
          <w:szCs w:val="24"/>
        </w:rPr>
        <w:t>;</w:t>
      </w:r>
    </w:p>
    <w:p w14:paraId="1416AF35" w14:textId="77777777" w:rsidR="009E7955"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w:t>
      </w:r>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 xml:space="preserve">266 „Речева рехабилитация след </w:t>
      </w:r>
      <w:proofErr w:type="spellStart"/>
      <w:r w:rsidR="009E7955" w:rsidRPr="006C13DF">
        <w:rPr>
          <w:rFonts w:ascii="Times New Roman" w:hAnsi="Times New Roman" w:cs="Times New Roman"/>
          <w:sz w:val="24"/>
          <w:szCs w:val="24"/>
        </w:rPr>
        <w:t>ларингектомия</w:t>
      </w:r>
      <w:proofErr w:type="spellEnd"/>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 xml:space="preserve"> 4 договора</w:t>
      </w:r>
      <w:r w:rsidRPr="006C13DF">
        <w:rPr>
          <w:rFonts w:ascii="Times New Roman" w:hAnsi="Times New Roman" w:cs="Times New Roman"/>
          <w:sz w:val="24"/>
          <w:szCs w:val="24"/>
        </w:rPr>
        <w:t>;</w:t>
      </w:r>
    </w:p>
    <w:p w14:paraId="454C4943" w14:textId="77777777" w:rsidR="004A3DCD"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lastRenderedPageBreak/>
        <w:t>Клинична пътека №</w:t>
      </w:r>
      <w:r w:rsidR="009E7955" w:rsidRPr="006C13DF">
        <w:rPr>
          <w:rFonts w:ascii="Times New Roman" w:hAnsi="Times New Roman" w:cs="Times New Roman"/>
          <w:sz w:val="24"/>
          <w:szCs w:val="24"/>
        </w:rPr>
        <w:t>265.2 „Физикална терапия и рехабилитация с комплексна подводно-</w:t>
      </w:r>
      <w:proofErr w:type="spellStart"/>
      <w:r w:rsidR="009E7955" w:rsidRPr="006C13DF">
        <w:rPr>
          <w:rFonts w:ascii="Times New Roman" w:hAnsi="Times New Roman" w:cs="Times New Roman"/>
          <w:sz w:val="24"/>
          <w:szCs w:val="24"/>
        </w:rPr>
        <w:t>екстензионна</w:t>
      </w:r>
      <w:proofErr w:type="spellEnd"/>
      <w:r w:rsidR="009E7955" w:rsidRPr="006C13DF">
        <w:rPr>
          <w:rFonts w:ascii="Times New Roman" w:hAnsi="Times New Roman" w:cs="Times New Roman"/>
          <w:sz w:val="24"/>
          <w:szCs w:val="24"/>
        </w:rPr>
        <w:t xml:space="preserve"> терапия п</w:t>
      </w:r>
      <w:r w:rsidRPr="006C13DF">
        <w:rPr>
          <w:rFonts w:ascii="Times New Roman" w:hAnsi="Times New Roman" w:cs="Times New Roman"/>
          <w:sz w:val="24"/>
          <w:szCs w:val="24"/>
        </w:rPr>
        <w:t>ри болести на гръбначния стълб“ –</w:t>
      </w:r>
      <w:r w:rsidR="009E7955" w:rsidRPr="006C13DF">
        <w:rPr>
          <w:rFonts w:ascii="Times New Roman" w:hAnsi="Times New Roman" w:cs="Times New Roman"/>
          <w:sz w:val="24"/>
          <w:szCs w:val="24"/>
        </w:rPr>
        <w:t xml:space="preserve"> 2 договора</w:t>
      </w:r>
      <w:r w:rsidRPr="006C13DF">
        <w:rPr>
          <w:rFonts w:ascii="Times New Roman" w:hAnsi="Times New Roman" w:cs="Times New Roman"/>
          <w:sz w:val="24"/>
          <w:szCs w:val="24"/>
        </w:rPr>
        <w:t>;</w:t>
      </w:r>
    </w:p>
    <w:p w14:paraId="1AA37459" w14:textId="77777777" w:rsidR="009E7955" w:rsidRPr="006C13DF" w:rsidRDefault="004A3DCD"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Клинична пътека</w:t>
      </w:r>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263.2 „Физикална терапия и рехабилитация с комплексна подводно-</w:t>
      </w:r>
      <w:proofErr w:type="spellStart"/>
      <w:r w:rsidR="009E7955" w:rsidRPr="006C13DF">
        <w:rPr>
          <w:rFonts w:ascii="Times New Roman" w:hAnsi="Times New Roman" w:cs="Times New Roman"/>
          <w:sz w:val="24"/>
          <w:szCs w:val="24"/>
        </w:rPr>
        <w:t>екстензионна</w:t>
      </w:r>
      <w:proofErr w:type="spellEnd"/>
      <w:r w:rsidR="009E7955" w:rsidRPr="006C13DF">
        <w:rPr>
          <w:rFonts w:ascii="Times New Roman" w:hAnsi="Times New Roman" w:cs="Times New Roman"/>
          <w:sz w:val="24"/>
          <w:szCs w:val="24"/>
        </w:rPr>
        <w:t xml:space="preserve"> терапия при болести на периферна нервна система с увреждания на гръбначния стълб“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 xml:space="preserve"> 2 договора.</w:t>
      </w:r>
    </w:p>
    <w:p w14:paraId="0BB3281E" w14:textId="77777777" w:rsidR="009E7955" w:rsidRPr="006C13DF" w:rsidRDefault="009E7955" w:rsidP="009E7955">
      <w:pPr>
        <w:spacing w:after="0" w:line="240" w:lineRule="auto"/>
        <w:ind w:firstLine="708"/>
        <w:jc w:val="both"/>
        <w:rPr>
          <w:rFonts w:ascii="Times New Roman" w:hAnsi="Times New Roman" w:cs="Times New Roman"/>
          <w:sz w:val="24"/>
          <w:szCs w:val="24"/>
        </w:rPr>
      </w:pPr>
      <w:r w:rsidRPr="006C13DF">
        <w:rPr>
          <w:rFonts w:ascii="Times New Roman" w:hAnsi="Times New Roman" w:cs="Times New Roman"/>
          <w:sz w:val="24"/>
          <w:szCs w:val="24"/>
        </w:rPr>
        <w:t>Чрез клиничните пътеки (КП) за физикална медицина и рехабилитация се постига по-добро идентифициране и контрол на хроничн</w:t>
      </w:r>
      <w:r w:rsidR="004A3DCD" w:rsidRPr="006C13DF">
        <w:rPr>
          <w:rFonts w:ascii="Times New Roman" w:hAnsi="Times New Roman" w:cs="Times New Roman"/>
          <w:sz w:val="24"/>
          <w:szCs w:val="24"/>
        </w:rPr>
        <w:t>ите заболявания. Насочеността е</w:t>
      </w:r>
      <w:r w:rsidRPr="006C13DF">
        <w:rPr>
          <w:rFonts w:ascii="Times New Roman" w:hAnsi="Times New Roman" w:cs="Times New Roman"/>
          <w:sz w:val="24"/>
          <w:szCs w:val="24"/>
        </w:rPr>
        <w:t xml:space="preserve"> към намаляване на </w:t>
      </w:r>
      <w:proofErr w:type="spellStart"/>
      <w:r w:rsidRPr="006C13DF">
        <w:rPr>
          <w:rFonts w:ascii="Times New Roman" w:hAnsi="Times New Roman" w:cs="Times New Roman"/>
          <w:sz w:val="24"/>
          <w:szCs w:val="24"/>
        </w:rPr>
        <w:t>инвалидизацията</w:t>
      </w:r>
      <w:proofErr w:type="spellEnd"/>
      <w:r w:rsidRPr="006C13DF">
        <w:rPr>
          <w:rFonts w:ascii="Times New Roman" w:hAnsi="Times New Roman" w:cs="Times New Roman"/>
          <w:sz w:val="24"/>
          <w:szCs w:val="24"/>
        </w:rPr>
        <w:t xml:space="preserve"> и повишаване на възможността хората </w:t>
      </w:r>
      <w:r w:rsidR="00C374DB" w:rsidRPr="006C13DF">
        <w:rPr>
          <w:rFonts w:ascii="Times New Roman" w:hAnsi="Times New Roman" w:cs="Times New Roman"/>
          <w:sz w:val="24"/>
          <w:szCs w:val="24"/>
        </w:rPr>
        <w:t>да останат икономически активни</w:t>
      </w:r>
      <w:r w:rsidRPr="006C13DF">
        <w:rPr>
          <w:rFonts w:ascii="Times New Roman" w:hAnsi="Times New Roman" w:cs="Times New Roman"/>
          <w:sz w:val="24"/>
          <w:szCs w:val="24"/>
        </w:rPr>
        <w:t>. За целта е постигната оптимална договореност между НЗОК и лечебните заведения (ЛЗ) в частта „Физикална медицина и рехабилитация“.</w:t>
      </w:r>
    </w:p>
    <w:p w14:paraId="7316B9B2" w14:textId="77777777" w:rsidR="009E7955" w:rsidRPr="006C13DF" w:rsidRDefault="009E7955" w:rsidP="009E7955">
      <w:pPr>
        <w:spacing w:after="0" w:line="240" w:lineRule="auto"/>
        <w:ind w:firstLine="709"/>
        <w:jc w:val="both"/>
        <w:rPr>
          <w:rFonts w:ascii="Times New Roman" w:hAnsi="Times New Roman" w:cs="Times New Roman"/>
          <w:sz w:val="24"/>
          <w:szCs w:val="24"/>
          <w:lang w:val="en-US"/>
        </w:rPr>
      </w:pPr>
      <w:r w:rsidRPr="006C13DF">
        <w:rPr>
          <w:rFonts w:ascii="Times New Roman" w:hAnsi="Times New Roman" w:cs="Times New Roman"/>
          <w:sz w:val="24"/>
          <w:szCs w:val="24"/>
        </w:rPr>
        <w:t>За физиотерапия и рехабилитация през 202</w:t>
      </w:r>
      <w:r w:rsidRPr="006C13DF">
        <w:rPr>
          <w:rFonts w:ascii="Times New Roman" w:hAnsi="Times New Roman" w:cs="Times New Roman"/>
          <w:sz w:val="24"/>
          <w:szCs w:val="24"/>
          <w:lang w:val="en-US"/>
        </w:rPr>
        <w:t>3</w:t>
      </w:r>
      <w:r w:rsidRPr="006C13DF">
        <w:rPr>
          <w:rFonts w:ascii="Times New Roman" w:hAnsi="Times New Roman" w:cs="Times New Roman"/>
          <w:sz w:val="24"/>
          <w:szCs w:val="24"/>
        </w:rPr>
        <w:t xml:space="preserve"> г. в болничната медицинска помощ са заплатени 109 500,6 хил. лв., като от тях 62 272  хил. лв. са заплатени за лицата над 65-годишна възраст. Водещи са заболяванията на централната нервна система, периферната нервна система, детска церебрална парализа и б</w:t>
      </w:r>
      <w:r w:rsidR="00C374DB" w:rsidRPr="006C13DF">
        <w:rPr>
          <w:rFonts w:ascii="Times New Roman" w:hAnsi="Times New Roman" w:cs="Times New Roman"/>
          <w:sz w:val="24"/>
          <w:szCs w:val="24"/>
        </w:rPr>
        <w:t>олестите на опорно-</w:t>
      </w:r>
      <w:r w:rsidRPr="006C13DF">
        <w:rPr>
          <w:rFonts w:ascii="Times New Roman" w:hAnsi="Times New Roman" w:cs="Times New Roman"/>
          <w:sz w:val="24"/>
          <w:szCs w:val="24"/>
        </w:rPr>
        <w:t xml:space="preserve">двигателния апарат, включени в КП. </w:t>
      </w:r>
    </w:p>
    <w:p w14:paraId="49DEE7B6" w14:textId="77777777" w:rsidR="009E7955" w:rsidRPr="006C13DF" w:rsidRDefault="009E7955" w:rsidP="009E7955">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За физиотерапия и рехабилитация през 2024 г. в болничната медицинска помощ са заплатени 119 191</w:t>
      </w:r>
      <w:r w:rsidRPr="006C13DF">
        <w:rPr>
          <w:rFonts w:ascii="Times New Roman" w:hAnsi="Times New Roman" w:cs="Times New Roman"/>
          <w:sz w:val="24"/>
          <w:szCs w:val="24"/>
          <w:lang w:val="en-US"/>
        </w:rPr>
        <w:t>,1 </w:t>
      </w:r>
      <w:r w:rsidRPr="006C13DF">
        <w:rPr>
          <w:rFonts w:ascii="Times New Roman" w:hAnsi="Times New Roman" w:cs="Times New Roman"/>
          <w:sz w:val="24"/>
          <w:szCs w:val="24"/>
        </w:rPr>
        <w:t>хил. лв., като от тях 69 766  хил. лв. са заплатени за лицата над 65-годишна възраст. Водещи са заболяванията на централната нервна система, периферната нервна система, детска церебрална</w:t>
      </w:r>
      <w:r w:rsidR="00C374DB" w:rsidRPr="006C13DF">
        <w:rPr>
          <w:rFonts w:ascii="Times New Roman" w:hAnsi="Times New Roman" w:cs="Times New Roman"/>
          <w:sz w:val="24"/>
          <w:szCs w:val="24"/>
        </w:rPr>
        <w:t xml:space="preserve"> парализа и болестите на опорно-</w:t>
      </w:r>
      <w:r w:rsidRPr="006C13DF">
        <w:rPr>
          <w:rFonts w:ascii="Times New Roman" w:hAnsi="Times New Roman" w:cs="Times New Roman"/>
          <w:sz w:val="24"/>
          <w:szCs w:val="24"/>
        </w:rPr>
        <w:t xml:space="preserve">двигателния апарат, включени в КП. </w:t>
      </w:r>
    </w:p>
    <w:p w14:paraId="076C0950" w14:textId="77777777" w:rsidR="00C374DB" w:rsidRPr="006C13DF" w:rsidRDefault="00C374DB" w:rsidP="009E7955">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Заплатените суми през 2024 г. по клинични пътеки, свързани с физикална и рехабилитационна медицина, са както следва:</w:t>
      </w:r>
    </w:p>
    <w:p w14:paraId="56ADED85" w14:textId="77777777" w:rsidR="009E7955" w:rsidRPr="006C13DF" w:rsidRDefault="00C374DB"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263.1 „Физикална терапия и рехабилитация при болест</w:t>
      </w:r>
      <w:r w:rsidRPr="006C13DF">
        <w:rPr>
          <w:rFonts w:ascii="Times New Roman" w:hAnsi="Times New Roman" w:cs="Times New Roman"/>
          <w:sz w:val="24"/>
          <w:szCs w:val="24"/>
        </w:rPr>
        <w:t>и на периферна нервна система“ –</w:t>
      </w:r>
      <w:r w:rsidR="009E7955" w:rsidRPr="006C13DF">
        <w:rPr>
          <w:rFonts w:ascii="Times New Roman" w:hAnsi="Times New Roman" w:cs="Times New Roman"/>
          <w:sz w:val="24"/>
          <w:szCs w:val="24"/>
        </w:rPr>
        <w:t xml:space="preserve"> 29 160,9</w:t>
      </w:r>
      <w:r w:rsidRPr="006C13DF">
        <w:rPr>
          <w:rFonts w:ascii="Times New Roman" w:hAnsi="Times New Roman" w:cs="Times New Roman"/>
          <w:sz w:val="24"/>
          <w:szCs w:val="24"/>
        </w:rPr>
        <w:t xml:space="preserve"> хил. лв., като от тях 16 464 </w:t>
      </w:r>
      <w:r w:rsidR="009E7955" w:rsidRPr="006C13DF">
        <w:rPr>
          <w:rFonts w:ascii="Times New Roman" w:hAnsi="Times New Roman" w:cs="Times New Roman"/>
          <w:sz w:val="24"/>
          <w:szCs w:val="24"/>
        </w:rPr>
        <w:t>хил. лв. са заплатени з</w:t>
      </w:r>
      <w:r w:rsidRPr="006C13DF">
        <w:rPr>
          <w:rFonts w:ascii="Times New Roman" w:hAnsi="Times New Roman" w:cs="Times New Roman"/>
          <w:sz w:val="24"/>
          <w:szCs w:val="24"/>
        </w:rPr>
        <w:t>а лицата над 65-годишна възраст</w:t>
      </w:r>
      <w:r w:rsidR="009E7955" w:rsidRPr="006C13DF">
        <w:rPr>
          <w:rFonts w:ascii="Times New Roman" w:hAnsi="Times New Roman" w:cs="Times New Roman"/>
          <w:sz w:val="24"/>
          <w:szCs w:val="24"/>
        </w:rPr>
        <w:t xml:space="preserve">; </w:t>
      </w:r>
    </w:p>
    <w:p w14:paraId="697DEEA4" w14:textId="77777777" w:rsidR="009E7955" w:rsidRPr="006C13DF" w:rsidRDefault="00C374DB"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265.1 „Физикална терапия и рехабилитация при болести на опорно-двигателен апарат“ – 72 755,</w:t>
      </w:r>
      <w:r w:rsidRPr="006C13DF">
        <w:rPr>
          <w:rFonts w:ascii="Times New Roman" w:hAnsi="Times New Roman" w:cs="Times New Roman"/>
          <w:sz w:val="24"/>
          <w:szCs w:val="24"/>
        </w:rPr>
        <w:t xml:space="preserve">9 хил. лв., като от тях 41 061 </w:t>
      </w:r>
      <w:r w:rsidR="009E7955" w:rsidRPr="006C13DF">
        <w:rPr>
          <w:rFonts w:ascii="Times New Roman" w:hAnsi="Times New Roman" w:cs="Times New Roman"/>
          <w:sz w:val="24"/>
          <w:szCs w:val="24"/>
        </w:rPr>
        <w:t>хил. лв. са заплатени з</w:t>
      </w:r>
      <w:r w:rsidRPr="006C13DF">
        <w:rPr>
          <w:rFonts w:ascii="Times New Roman" w:hAnsi="Times New Roman" w:cs="Times New Roman"/>
          <w:sz w:val="24"/>
          <w:szCs w:val="24"/>
        </w:rPr>
        <w:t>а лицата над 65-годишна възраст</w:t>
      </w:r>
      <w:r w:rsidR="009E7955" w:rsidRPr="006C13DF">
        <w:rPr>
          <w:rFonts w:ascii="Times New Roman" w:hAnsi="Times New Roman" w:cs="Times New Roman"/>
          <w:sz w:val="24"/>
          <w:szCs w:val="24"/>
        </w:rPr>
        <w:t xml:space="preserve">;  </w:t>
      </w:r>
    </w:p>
    <w:p w14:paraId="1F38F5ED" w14:textId="77777777" w:rsidR="009E7955" w:rsidRPr="006C13DF" w:rsidRDefault="00C374DB"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262.1 „Физикална терапия и рехабилитация на болест</w:t>
      </w:r>
      <w:r w:rsidRPr="006C13DF">
        <w:rPr>
          <w:rFonts w:ascii="Times New Roman" w:hAnsi="Times New Roman" w:cs="Times New Roman"/>
          <w:sz w:val="24"/>
          <w:szCs w:val="24"/>
        </w:rPr>
        <w:t>и на централна нервна система“ –</w:t>
      </w:r>
      <w:r w:rsidR="009E7955" w:rsidRPr="006C13DF">
        <w:rPr>
          <w:rFonts w:ascii="Times New Roman" w:hAnsi="Times New Roman" w:cs="Times New Roman"/>
          <w:sz w:val="24"/>
          <w:szCs w:val="24"/>
        </w:rPr>
        <w:t xml:space="preserve"> 4 50</w:t>
      </w:r>
      <w:r w:rsidRPr="006C13DF">
        <w:rPr>
          <w:rFonts w:ascii="Times New Roman" w:hAnsi="Times New Roman" w:cs="Times New Roman"/>
          <w:sz w:val="24"/>
          <w:szCs w:val="24"/>
        </w:rPr>
        <w:t>1,2 хил. лв., като от тях 2 939</w:t>
      </w:r>
      <w:r w:rsidR="009E7955" w:rsidRPr="006C13DF">
        <w:rPr>
          <w:rFonts w:ascii="Times New Roman" w:hAnsi="Times New Roman" w:cs="Times New Roman"/>
          <w:sz w:val="24"/>
          <w:szCs w:val="24"/>
        </w:rPr>
        <w:t> хил. лв. са заплатени з</w:t>
      </w:r>
      <w:r w:rsidRPr="006C13DF">
        <w:rPr>
          <w:rFonts w:ascii="Times New Roman" w:hAnsi="Times New Roman" w:cs="Times New Roman"/>
          <w:sz w:val="24"/>
          <w:szCs w:val="24"/>
        </w:rPr>
        <w:t>а лицата над 65-годишна възраст;</w:t>
      </w:r>
    </w:p>
    <w:p w14:paraId="673F5199" w14:textId="77777777" w:rsidR="009E7955" w:rsidRPr="006C13DF" w:rsidRDefault="00C374DB"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 xml:space="preserve">261 „Физикална терапия и рехабилитация при първични мускулни увреждания и </w:t>
      </w:r>
      <w:proofErr w:type="spellStart"/>
      <w:r w:rsidR="009E7955" w:rsidRPr="006C13DF">
        <w:rPr>
          <w:rFonts w:ascii="Times New Roman" w:hAnsi="Times New Roman" w:cs="Times New Roman"/>
          <w:sz w:val="24"/>
          <w:szCs w:val="24"/>
        </w:rPr>
        <w:t>спинална</w:t>
      </w:r>
      <w:proofErr w:type="spellEnd"/>
      <w:r w:rsidR="009E7955" w:rsidRPr="006C13DF">
        <w:rPr>
          <w:rFonts w:ascii="Times New Roman" w:hAnsi="Times New Roman" w:cs="Times New Roman"/>
          <w:sz w:val="24"/>
          <w:szCs w:val="24"/>
        </w:rPr>
        <w:t xml:space="preserve"> мускулна атрофия“ – </w:t>
      </w:r>
      <w:r w:rsidRPr="006C13DF">
        <w:rPr>
          <w:rFonts w:ascii="Times New Roman" w:hAnsi="Times New Roman" w:cs="Times New Roman"/>
          <w:sz w:val="24"/>
          <w:szCs w:val="24"/>
        </w:rPr>
        <w:t xml:space="preserve">39,2 хил. лв., като от тях 5,6 </w:t>
      </w:r>
      <w:r w:rsidR="009E7955" w:rsidRPr="006C13DF">
        <w:rPr>
          <w:rFonts w:ascii="Times New Roman" w:hAnsi="Times New Roman" w:cs="Times New Roman"/>
          <w:sz w:val="24"/>
          <w:szCs w:val="24"/>
        </w:rPr>
        <w:t>хил. лв. са заплатени з</w:t>
      </w:r>
      <w:r w:rsidRPr="006C13DF">
        <w:rPr>
          <w:rFonts w:ascii="Times New Roman" w:hAnsi="Times New Roman" w:cs="Times New Roman"/>
          <w:sz w:val="24"/>
          <w:szCs w:val="24"/>
        </w:rPr>
        <w:t>а лицата над 65-годишна възраст</w:t>
      </w:r>
      <w:r w:rsidR="009E7955" w:rsidRPr="006C13DF">
        <w:rPr>
          <w:rFonts w:ascii="Times New Roman" w:hAnsi="Times New Roman" w:cs="Times New Roman"/>
          <w:sz w:val="24"/>
          <w:szCs w:val="24"/>
        </w:rPr>
        <w:t xml:space="preserve">; </w:t>
      </w:r>
    </w:p>
    <w:p w14:paraId="032A45E2" w14:textId="77777777" w:rsidR="009E7955" w:rsidRPr="006C13DF" w:rsidRDefault="00C374DB"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260.1 „Физикална терапия и рехабилитация п</w:t>
      </w:r>
      <w:r w:rsidRPr="006C13DF">
        <w:rPr>
          <w:rFonts w:ascii="Times New Roman" w:hAnsi="Times New Roman" w:cs="Times New Roman"/>
          <w:sz w:val="24"/>
          <w:szCs w:val="24"/>
        </w:rPr>
        <w:t>ри детска церебрална парализа“ –</w:t>
      </w:r>
      <w:r w:rsidR="009E7955" w:rsidRPr="006C13DF">
        <w:rPr>
          <w:rFonts w:ascii="Times New Roman" w:hAnsi="Times New Roman" w:cs="Times New Roman"/>
          <w:sz w:val="24"/>
          <w:szCs w:val="24"/>
        </w:rPr>
        <w:t xml:space="preserve"> 3 355,4 хил. </w:t>
      </w:r>
      <w:r w:rsidRPr="006C13DF">
        <w:rPr>
          <w:rFonts w:ascii="Times New Roman" w:hAnsi="Times New Roman" w:cs="Times New Roman"/>
          <w:sz w:val="24"/>
          <w:szCs w:val="24"/>
        </w:rPr>
        <w:t>лв., като от тях 31,2 хил. лв.</w:t>
      </w:r>
      <w:r w:rsidR="009E7955" w:rsidRPr="006C13DF">
        <w:rPr>
          <w:rFonts w:ascii="Times New Roman" w:hAnsi="Times New Roman" w:cs="Times New Roman"/>
          <w:sz w:val="24"/>
          <w:szCs w:val="24"/>
        </w:rPr>
        <w:t xml:space="preserve"> са заплатени за лицата над 65-го</w:t>
      </w:r>
      <w:r w:rsidRPr="006C13DF">
        <w:rPr>
          <w:rFonts w:ascii="Times New Roman" w:hAnsi="Times New Roman" w:cs="Times New Roman"/>
          <w:sz w:val="24"/>
          <w:szCs w:val="24"/>
        </w:rPr>
        <w:t>дишна възраст</w:t>
      </w:r>
      <w:r w:rsidR="009E7955" w:rsidRPr="006C13DF">
        <w:rPr>
          <w:rFonts w:ascii="Times New Roman" w:hAnsi="Times New Roman" w:cs="Times New Roman"/>
          <w:sz w:val="24"/>
          <w:szCs w:val="24"/>
        </w:rPr>
        <w:t xml:space="preserve">; </w:t>
      </w:r>
    </w:p>
    <w:p w14:paraId="07C7A6C7" w14:textId="77777777" w:rsidR="009E7955" w:rsidRPr="006C13DF" w:rsidRDefault="00C374DB"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254 „Продължително лечение и ранна рехабилитация след острия стадий на исхемичен и хеморагичен мозъчен инсулт с о</w:t>
      </w:r>
      <w:r w:rsidRPr="006C13DF">
        <w:rPr>
          <w:rFonts w:ascii="Times New Roman" w:hAnsi="Times New Roman" w:cs="Times New Roman"/>
          <w:sz w:val="24"/>
          <w:szCs w:val="24"/>
        </w:rPr>
        <w:t>статъчни проблеми за здравето“ –</w:t>
      </w:r>
      <w:r w:rsidR="009E7955" w:rsidRPr="006C13DF">
        <w:rPr>
          <w:rFonts w:ascii="Times New Roman" w:hAnsi="Times New Roman" w:cs="Times New Roman"/>
          <w:sz w:val="24"/>
          <w:szCs w:val="24"/>
        </w:rPr>
        <w:t xml:space="preserve"> 1 498,7</w:t>
      </w:r>
      <w:r w:rsidRPr="006C13DF">
        <w:rPr>
          <w:rFonts w:ascii="Times New Roman" w:hAnsi="Times New Roman" w:cs="Times New Roman"/>
          <w:sz w:val="24"/>
          <w:szCs w:val="24"/>
        </w:rPr>
        <w:t xml:space="preserve"> хил. лв., като от тях 1 205,5 </w:t>
      </w:r>
      <w:r w:rsidR="009E7955" w:rsidRPr="006C13DF">
        <w:rPr>
          <w:rFonts w:ascii="Times New Roman" w:hAnsi="Times New Roman" w:cs="Times New Roman"/>
          <w:sz w:val="24"/>
          <w:szCs w:val="24"/>
        </w:rPr>
        <w:t>хил. лв. са заплатени за лицата над 65-годишна въз</w:t>
      </w:r>
      <w:r w:rsidRPr="006C13DF">
        <w:rPr>
          <w:rFonts w:ascii="Times New Roman" w:hAnsi="Times New Roman" w:cs="Times New Roman"/>
          <w:sz w:val="24"/>
          <w:szCs w:val="24"/>
        </w:rPr>
        <w:t>раст;</w:t>
      </w:r>
    </w:p>
    <w:p w14:paraId="1155D233" w14:textId="77777777" w:rsidR="009E7955" w:rsidRPr="006C13DF" w:rsidRDefault="00C374DB"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264 „Физикална терапия и рехабилитация след преживян/стар инфаркт на миокарда и след оперативни интервенции“ – 314 хил. лв., като от тях 230 хил. лв. са заплатени з</w:t>
      </w:r>
      <w:r w:rsidR="00996E68" w:rsidRPr="006C13DF">
        <w:rPr>
          <w:rFonts w:ascii="Times New Roman" w:hAnsi="Times New Roman" w:cs="Times New Roman"/>
          <w:sz w:val="24"/>
          <w:szCs w:val="24"/>
        </w:rPr>
        <w:t>а лицата над 65-годишна възраст</w:t>
      </w:r>
      <w:r w:rsidR="009E7955" w:rsidRPr="006C13DF">
        <w:rPr>
          <w:rFonts w:ascii="Times New Roman" w:hAnsi="Times New Roman" w:cs="Times New Roman"/>
          <w:sz w:val="24"/>
          <w:szCs w:val="24"/>
        </w:rPr>
        <w:t xml:space="preserve">; </w:t>
      </w:r>
    </w:p>
    <w:p w14:paraId="246DB7F3"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 xml:space="preserve">267 </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Физикална терапия, рехабилитация и специализирани грижи след лечение от COVID-19</w:t>
      </w:r>
      <w:r w:rsidRPr="006C13DF">
        <w:rPr>
          <w:rFonts w:ascii="Times New Roman" w:hAnsi="Times New Roman" w:cs="Times New Roman"/>
          <w:sz w:val="24"/>
          <w:szCs w:val="24"/>
        </w:rPr>
        <w:t>“</w:t>
      </w:r>
      <w:r w:rsidR="009E7955" w:rsidRPr="006C13DF">
        <w:rPr>
          <w:rFonts w:ascii="Times New Roman" w:hAnsi="Times New Roman" w:cs="Times New Roman"/>
          <w:sz w:val="24"/>
          <w:szCs w:val="24"/>
        </w:rPr>
        <w:t xml:space="preserve"> –</w:t>
      </w:r>
      <w:r w:rsidRPr="006C13DF">
        <w:rPr>
          <w:rFonts w:ascii="Times New Roman" w:hAnsi="Times New Roman" w:cs="Times New Roman"/>
          <w:sz w:val="24"/>
          <w:szCs w:val="24"/>
        </w:rPr>
        <w:t xml:space="preserve"> 0,5 хил. лв., като от тях 0,5 </w:t>
      </w:r>
      <w:r w:rsidR="009E7955" w:rsidRPr="006C13DF">
        <w:rPr>
          <w:rFonts w:ascii="Times New Roman" w:hAnsi="Times New Roman" w:cs="Times New Roman"/>
          <w:sz w:val="24"/>
          <w:szCs w:val="24"/>
        </w:rPr>
        <w:t>хил. лв. са заплатени з</w:t>
      </w:r>
      <w:r w:rsidRPr="006C13DF">
        <w:rPr>
          <w:rFonts w:ascii="Times New Roman" w:hAnsi="Times New Roman" w:cs="Times New Roman"/>
          <w:sz w:val="24"/>
          <w:szCs w:val="24"/>
        </w:rPr>
        <w:t>а лицата над 65-годишна възраст</w:t>
      </w:r>
      <w:r w:rsidR="009E7955" w:rsidRPr="006C13DF">
        <w:rPr>
          <w:rFonts w:ascii="Times New Roman" w:hAnsi="Times New Roman" w:cs="Times New Roman"/>
          <w:sz w:val="24"/>
          <w:szCs w:val="24"/>
        </w:rPr>
        <w:t xml:space="preserve">; </w:t>
      </w:r>
    </w:p>
    <w:p w14:paraId="2036B02C"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256 „Продължително лечение и ранна рехабилитация след оперативни интервенции с голям и много голям обем и сложност с о</w:t>
      </w:r>
      <w:r w:rsidRPr="006C13DF">
        <w:rPr>
          <w:rFonts w:ascii="Times New Roman" w:hAnsi="Times New Roman" w:cs="Times New Roman"/>
          <w:sz w:val="24"/>
          <w:szCs w:val="24"/>
        </w:rPr>
        <w:t>статъчни проблеми за здравето“ –</w:t>
      </w:r>
      <w:r w:rsidR="009E7955" w:rsidRPr="006C13DF">
        <w:rPr>
          <w:rFonts w:ascii="Times New Roman" w:hAnsi="Times New Roman" w:cs="Times New Roman"/>
          <w:sz w:val="24"/>
          <w:szCs w:val="24"/>
        </w:rPr>
        <w:t xml:space="preserve"> 5 655,</w:t>
      </w:r>
      <w:r w:rsidRPr="006C13DF">
        <w:rPr>
          <w:rFonts w:ascii="Times New Roman" w:hAnsi="Times New Roman" w:cs="Times New Roman"/>
          <w:sz w:val="24"/>
          <w:szCs w:val="24"/>
        </w:rPr>
        <w:t xml:space="preserve">1 хил. лв., като от тях 4 066,2 хил. лв. </w:t>
      </w:r>
      <w:r w:rsidR="009E7955" w:rsidRPr="006C13DF">
        <w:rPr>
          <w:rFonts w:ascii="Times New Roman" w:hAnsi="Times New Roman" w:cs="Times New Roman"/>
          <w:sz w:val="24"/>
          <w:szCs w:val="24"/>
        </w:rPr>
        <w:t>са заплатени з</w:t>
      </w:r>
      <w:r w:rsidRPr="006C13DF">
        <w:rPr>
          <w:rFonts w:ascii="Times New Roman" w:hAnsi="Times New Roman" w:cs="Times New Roman"/>
          <w:sz w:val="24"/>
          <w:szCs w:val="24"/>
        </w:rPr>
        <w:t>а лицата над 65-годишна възраст;</w:t>
      </w:r>
    </w:p>
    <w:p w14:paraId="6D113D5E"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lastRenderedPageBreak/>
        <w:t xml:space="preserve">КП №257 </w:t>
      </w:r>
      <w:r w:rsidR="009E7955" w:rsidRPr="006C13DF">
        <w:rPr>
          <w:rFonts w:ascii="Times New Roman" w:hAnsi="Times New Roman" w:cs="Times New Roman"/>
          <w:sz w:val="24"/>
          <w:szCs w:val="24"/>
        </w:rPr>
        <w:t>„Физикална терапия, рехабилитация и специализирани грижи при персистиращо/хронично/вегетативно състояние“ – 34,3</w:t>
      </w:r>
      <w:r w:rsidRPr="006C13DF">
        <w:rPr>
          <w:rFonts w:ascii="Times New Roman" w:hAnsi="Times New Roman" w:cs="Times New Roman"/>
          <w:sz w:val="24"/>
          <w:szCs w:val="24"/>
        </w:rPr>
        <w:t xml:space="preserve"> хил. лв., като от тях 28,5 </w:t>
      </w:r>
      <w:r w:rsidR="009E7955" w:rsidRPr="006C13DF">
        <w:rPr>
          <w:rFonts w:ascii="Times New Roman" w:hAnsi="Times New Roman" w:cs="Times New Roman"/>
          <w:sz w:val="24"/>
          <w:szCs w:val="24"/>
        </w:rPr>
        <w:t>хил. лв. са заплатени з</w:t>
      </w:r>
      <w:r w:rsidRPr="006C13DF">
        <w:rPr>
          <w:rFonts w:ascii="Times New Roman" w:hAnsi="Times New Roman" w:cs="Times New Roman"/>
          <w:sz w:val="24"/>
          <w:szCs w:val="24"/>
        </w:rPr>
        <w:t>а лицата над 65-годишна възраст</w:t>
      </w:r>
      <w:r w:rsidR="009E7955" w:rsidRPr="006C13DF">
        <w:rPr>
          <w:rFonts w:ascii="Times New Roman" w:hAnsi="Times New Roman" w:cs="Times New Roman"/>
          <w:sz w:val="24"/>
          <w:szCs w:val="24"/>
        </w:rPr>
        <w:t xml:space="preserve">; </w:t>
      </w:r>
    </w:p>
    <w:p w14:paraId="496C3C3E"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 xml:space="preserve">КП №255 </w:t>
      </w:r>
      <w:r w:rsidR="009E7955" w:rsidRPr="006C13DF">
        <w:rPr>
          <w:rFonts w:ascii="Times New Roman" w:hAnsi="Times New Roman" w:cs="Times New Roman"/>
          <w:sz w:val="24"/>
          <w:szCs w:val="24"/>
        </w:rPr>
        <w:t>„Продължително лечение и ранна рехабилитация след инфаркт на миокарда и след сърдечни интервенции“ – 7</w:t>
      </w:r>
      <w:r w:rsidRPr="006C13DF">
        <w:rPr>
          <w:rFonts w:ascii="Times New Roman" w:hAnsi="Times New Roman" w:cs="Times New Roman"/>
          <w:sz w:val="24"/>
          <w:szCs w:val="24"/>
        </w:rPr>
        <w:t xml:space="preserve">5,8 хил. лв., като от тях 56,4 </w:t>
      </w:r>
      <w:r w:rsidR="009E7955" w:rsidRPr="006C13DF">
        <w:rPr>
          <w:rFonts w:ascii="Times New Roman" w:hAnsi="Times New Roman" w:cs="Times New Roman"/>
          <w:sz w:val="24"/>
          <w:szCs w:val="24"/>
        </w:rPr>
        <w:t>хил. лв. са заплатени за л</w:t>
      </w:r>
      <w:r w:rsidRPr="006C13DF">
        <w:rPr>
          <w:rFonts w:ascii="Times New Roman" w:hAnsi="Times New Roman" w:cs="Times New Roman"/>
          <w:sz w:val="24"/>
          <w:szCs w:val="24"/>
        </w:rPr>
        <w:t>ицата над 65-годишна възраст;</w:t>
      </w:r>
    </w:p>
    <w:p w14:paraId="584FE6C5"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 xml:space="preserve">262.2 „Физикална терапия и рехабилитация на болести на централна нервна система като последици от мозъчно-съдова болест, след непосредствена </w:t>
      </w:r>
      <w:proofErr w:type="spellStart"/>
      <w:r w:rsidR="009E7955" w:rsidRPr="006C13DF">
        <w:rPr>
          <w:rFonts w:ascii="Times New Roman" w:hAnsi="Times New Roman" w:cs="Times New Roman"/>
          <w:sz w:val="24"/>
          <w:szCs w:val="24"/>
        </w:rPr>
        <w:t>дехоспитализация</w:t>
      </w:r>
      <w:proofErr w:type="spellEnd"/>
      <w:r w:rsidR="009E7955" w:rsidRPr="006C13DF">
        <w:rPr>
          <w:rFonts w:ascii="Times New Roman" w:hAnsi="Times New Roman" w:cs="Times New Roman"/>
          <w:sz w:val="24"/>
          <w:szCs w:val="24"/>
        </w:rPr>
        <w:t xml:space="preserve"> от профилирана клиника/отделение за активно лечение на основното заболяване“ – 15</w:t>
      </w:r>
      <w:r w:rsidRPr="006C13DF">
        <w:rPr>
          <w:rFonts w:ascii="Times New Roman" w:hAnsi="Times New Roman" w:cs="Times New Roman"/>
          <w:sz w:val="24"/>
          <w:szCs w:val="24"/>
        </w:rPr>
        <w:t>1,7 хил. лв., като от тях 103,1</w:t>
      </w:r>
      <w:r w:rsidR="009E7955" w:rsidRPr="006C13DF">
        <w:rPr>
          <w:rFonts w:ascii="Times New Roman" w:hAnsi="Times New Roman" w:cs="Times New Roman"/>
          <w:sz w:val="24"/>
          <w:szCs w:val="24"/>
        </w:rPr>
        <w:t> хил. лв. са заплатени з</w:t>
      </w:r>
      <w:r w:rsidRPr="006C13DF">
        <w:rPr>
          <w:rFonts w:ascii="Times New Roman" w:hAnsi="Times New Roman" w:cs="Times New Roman"/>
          <w:sz w:val="24"/>
          <w:szCs w:val="24"/>
        </w:rPr>
        <w:t>а лицата над 65-годишна възраст;</w:t>
      </w:r>
    </w:p>
    <w:p w14:paraId="0C550204"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265.3</w:t>
      </w:r>
      <w:r w:rsidR="009E7955" w:rsidRPr="006C13DF">
        <w:rPr>
          <w:rFonts w:ascii="Times New Roman" w:hAnsi="Times New Roman" w:cs="Times New Roman"/>
          <w:sz w:val="24"/>
          <w:szCs w:val="24"/>
        </w:rPr>
        <w:tab/>
        <w:t xml:space="preserve">„Физикална терапия и рехабилитация при болести на опорно-двигателен апарат след непосредствена </w:t>
      </w:r>
      <w:proofErr w:type="spellStart"/>
      <w:r w:rsidR="009E7955" w:rsidRPr="006C13DF">
        <w:rPr>
          <w:rFonts w:ascii="Times New Roman" w:hAnsi="Times New Roman" w:cs="Times New Roman"/>
          <w:sz w:val="24"/>
          <w:szCs w:val="24"/>
        </w:rPr>
        <w:t>дехоспитализация</w:t>
      </w:r>
      <w:proofErr w:type="spellEnd"/>
      <w:r w:rsidR="009E7955" w:rsidRPr="006C13DF">
        <w:rPr>
          <w:rFonts w:ascii="Times New Roman" w:hAnsi="Times New Roman" w:cs="Times New Roman"/>
          <w:sz w:val="24"/>
          <w:szCs w:val="24"/>
        </w:rPr>
        <w:t xml:space="preserve"> от профилирана клиника/отделение за активно лечение на основното заболяване“ – 249,4</w:t>
      </w:r>
      <w:r w:rsidRPr="006C13DF">
        <w:rPr>
          <w:rFonts w:ascii="Times New Roman" w:hAnsi="Times New Roman" w:cs="Times New Roman"/>
          <w:sz w:val="24"/>
          <w:szCs w:val="24"/>
        </w:rPr>
        <w:t xml:space="preserve"> хил. лв., като от тях 161 865 хил. лв.</w:t>
      </w:r>
      <w:r w:rsidR="009E7955" w:rsidRPr="006C13DF">
        <w:rPr>
          <w:rFonts w:ascii="Times New Roman" w:hAnsi="Times New Roman" w:cs="Times New Roman"/>
          <w:sz w:val="24"/>
          <w:szCs w:val="24"/>
        </w:rPr>
        <w:t xml:space="preserve"> са заплатени з</w:t>
      </w:r>
      <w:r w:rsidRPr="006C13DF">
        <w:rPr>
          <w:rFonts w:ascii="Times New Roman" w:hAnsi="Times New Roman" w:cs="Times New Roman"/>
          <w:sz w:val="24"/>
          <w:szCs w:val="24"/>
        </w:rPr>
        <w:t>а лицата над 65-годишна възраст;</w:t>
      </w:r>
    </w:p>
    <w:p w14:paraId="343AFCE4"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 xml:space="preserve">266 „Речева рехабилитация след </w:t>
      </w:r>
      <w:proofErr w:type="spellStart"/>
      <w:r w:rsidR="009E7955" w:rsidRPr="006C13DF">
        <w:rPr>
          <w:rFonts w:ascii="Times New Roman" w:hAnsi="Times New Roman" w:cs="Times New Roman"/>
          <w:sz w:val="24"/>
          <w:szCs w:val="24"/>
        </w:rPr>
        <w:t>ларингектомия</w:t>
      </w:r>
      <w:proofErr w:type="spellEnd"/>
      <w:r w:rsidR="009E7955" w:rsidRPr="006C13DF">
        <w:rPr>
          <w:rFonts w:ascii="Times New Roman" w:hAnsi="Times New Roman" w:cs="Times New Roman"/>
          <w:sz w:val="24"/>
          <w:szCs w:val="24"/>
        </w:rPr>
        <w:t xml:space="preserve">“ – </w:t>
      </w:r>
      <w:r w:rsidRPr="006C13DF">
        <w:rPr>
          <w:rFonts w:ascii="Times New Roman" w:hAnsi="Times New Roman" w:cs="Times New Roman"/>
          <w:sz w:val="24"/>
          <w:szCs w:val="24"/>
        </w:rPr>
        <w:t xml:space="preserve">36,6 хил. лв., като от тях 1,2 </w:t>
      </w:r>
      <w:r w:rsidR="009E7955" w:rsidRPr="006C13DF">
        <w:rPr>
          <w:rFonts w:ascii="Times New Roman" w:hAnsi="Times New Roman" w:cs="Times New Roman"/>
          <w:sz w:val="24"/>
          <w:szCs w:val="24"/>
        </w:rPr>
        <w:t>хил. лв. са заплатени з</w:t>
      </w:r>
      <w:r w:rsidRPr="006C13DF">
        <w:rPr>
          <w:rFonts w:ascii="Times New Roman" w:hAnsi="Times New Roman" w:cs="Times New Roman"/>
          <w:sz w:val="24"/>
          <w:szCs w:val="24"/>
        </w:rPr>
        <w:t>а лицата над 65-годишна възраст</w:t>
      </w:r>
      <w:r w:rsidR="009E7955" w:rsidRPr="006C13DF">
        <w:rPr>
          <w:rFonts w:ascii="Times New Roman" w:hAnsi="Times New Roman" w:cs="Times New Roman"/>
          <w:sz w:val="24"/>
          <w:szCs w:val="24"/>
        </w:rPr>
        <w:t xml:space="preserve">; </w:t>
      </w:r>
    </w:p>
    <w:p w14:paraId="56047B76"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265.2 „Физикална терапия и рехабилитация с комплексна подводно-</w:t>
      </w:r>
      <w:proofErr w:type="spellStart"/>
      <w:r w:rsidR="009E7955" w:rsidRPr="006C13DF">
        <w:rPr>
          <w:rFonts w:ascii="Times New Roman" w:hAnsi="Times New Roman" w:cs="Times New Roman"/>
          <w:sz w:val="24"/>
          <w:szCs w:val="24"/>
        </w:rPr>
        <w:t>екстензионна</w:t>
      </w:r>
      <w:proofErr w:type="spellEnd"/>
      <w:r w:rsidR="009E7955" w:rsidRPr="006C13DF">
        <w:rPr>
          <w:rFonts w:ascii="Times New Roman" w:hAnsi="Times New Roman" w:cs="Times New Roman"/>
          <w:sz w:val="24"/>
          <w:szCs w:val="24"/>
        </w:rPr>
        <w:t xml:space="preserve"> терапия при болести на гръбначния стълб“ – 400,9 хил. лв., като от тях 1</w:t>
      </w:r>
      <w:r w:rsidR="009E7955" w:rsidRPr="006C13DF">
        <w:rPr>
          <w:rFonts w:ascii="Times New Roman" w:hAnsi="Times New Roman" w:cs="Times New Roman"/>
          <w:sz w:val="24"/>
          <w:szCs w:val="24"/>
          <w:lang w:val="en-US"/>
        </w:rPr>
        <w:t>1</w:t>
      </w:r>
      <w:r w:rsidRPr="006C13DF">
        <w:rPr>
          <w:rFonts w:ascii="Times New Roman" w:hAnsi="Times New Roman" w:cs="Times New Roman"/>
          <w:sz w:val="24"/>
          <w:szCs w:val="24"/>
        </w:rPr>
        <w:t xml:space="preserve">4,7 </w:t>
      </w:r>
      <w:r w:rsidR="009E7955" w:rsidRPr="006C13DF">
        <w:rPr>
          <w:rFonts w:ascii="Times New Roman" w:hAnsi="Times New Roman" w:cs="Times New Roman"/>
          <w:sz w:val="24"/>
          <w:szCs w:val="24"/>
        </w:rPr>
        <w:t>хил. лв. са заплатени з</w:t>
      </w:r>
      <w:r w:rsidRPr="006C13DF">
        <w:rPr>
          <w:rFonts w:ascii="Times New Roman" w:hAnsi="Times New Roman" w:cs="Times New Roman"/>
          <w:sz w:val="24"/>
          <w:szCs w:val="24"/>
        </w:rPr>
        <w:t>а лицата над 65-годишна възраст;</w:t>
      </w:r>
    </w:p>
    <w:p w14:paraId="05014665" w14:textId="77777777" w:rsidR="009E7955" w:rsidRPr="006C13DF" w:rsidRDefault="00996E68" w:rsidP="00554703">
      <w:pPr>
        <w:pStyle w:val="ListParagraph"/>
        <w:numPr>
          <w:ilvl w:val="0"/>
          <w:numId w:val="12"/>
        </w:numPr>
        <w:spacing w:after="0" w:line="240" w:lineRule="auto"/>
        <w:ind w:left="0" w:firstLine="360"/>
        <w:jc w:val="both"/>
        <w:rPr>
          <w:rFonts w:ascii="Times New Roman" w:hAnsi="Times New Roman" w:cs="Times New Roman"/>
          <w:sz w:val="24"/>
          <w:szCs w:val="24"/>
        </w:rPr>
      </w:pPr>
      <w:r w:rsidRPr="006C13DF">
        <w:rPr>
          <w:rFonts w:ascii="Times New Roman" w:hAnsi="Times New Roman" w:cs="Times New Roman"/>
          <w:sz w:val="24"/>
          <w:szCs w:val="24"/>
        </w:rPr>
        <w:t>КП №</w:t>
      </w:r>
      <w:r w:rsidR="009E7955" w:rsidRPr="006C13DF">
        <w:rPr>
          <w:rFonts w:ascii="Times New Roman" w:hAnsi="Times New Roman" w:cs="Times New Roman"/>
          <w:sz w:val="24"/>
          <w:szCs w:val="24"/>
        </w:rPr>
        <w:t>263.2 „Физикална терапия и рехабилитация с комплексна подводно-</w:t>
      </w:r>
      <w:proofErr w:type="spellStart"/>
      <w:r w:rsidR="009E7955" w:rsidRPr="006C13DF">
        <w:rPr>
          <w:rFonts w:ascii="Times New Roman" w:hAnsi="Times New Roman" w:cs="Times New Roman"/>
          <w:sz w:val="24"/>
          <w:szCs w:val="24"/>
        </w:rPr>
        <w:t>екстензионна</w:t>
      </w:r>
      <w:proofErr w:type="spellEnd"/>
      <w:r w:rsidR="009E7955" w:rsidRPr="006C13DF">
        <w:rPr>
          <w:rFonts w:ascii="Times New Roman" w:hAnsi="Times New Roman" w:cs="Times New Roman"/>
          <w:sz w:val="24"/>
          <w:szCs w:val="24"/>
        </w:rPr>
        <w:t xml:space="preserve"> терапия при болести на периферна нервна система с у</w:t>
      </w:r>
      <w:r w:rsidRPr="006C13DF">
        <w:rPr>
          <w:rFonts w:ascii="Times New Roman" w:hAnsi="Times New Roman" w:cs="Times New Roman"/>
          <w:sz w:val="24"/>
          <w:szCs w:val="24"/>
        </w:rPr>
        <w:t>вреждания на гръбначния стълб“ –</w:t>
      </w:r>
      <w:r w:rsidR="009E7955" w:rsidRPr="006C13DF">
        <w:rPr>
          <w:rFonts w:ascii="Times New Roman" w:hAnsi="Times New Roman" w:cs="Times New Roman"/>
          <w:sz w:val="24"/>
          <w:szCs w:val="24"/>
        </w:rPr>
        <w:t xml:space="preserve"> 164,7 хил. лв., като от тях 49,5</w:t>
      </w:r>
      <w:r w:rsidRPr="006C13DF">
        <w:rPr>
          <w:rFonts w:ascii="Times New Roman" w:hAnsi="Times New Roman" w:cs="Times New Roman"/>
          <w:sz w:val="24"/>
          <w:szCs w:val="24"/>
        </w:rPr>
        <w:t xml:space="preserve"> </w:t>
      </w:r>
      <w:r w:rsidR="009E7955" w:rsidRPr="006C13DF">
        <w:rPr>
          <w:rFonts w:ascii="Times New Roman" w:hAnsi="Times New Roman" w:cs="Times New Roman"/>
          <w:sz w:val="24"/>
          <w:szCs w:val="24"/>
        </w:rPr>
        <w:t xml:space="preserve">хил. лв. са заплатени за лицата над 65-годишна възраст. </w:t>
      </w:r>
    </w:p>
    <w:p w14:paraId="1CF65315" w14:textId="77777777" w:rsidR="008B5C48" w:rsidRPr="006C13DF" w:rsidRDefault="008B5C48" w:rsidP="008B5C48">
      <w:pPr>
        <w:spacing w:after="0" w:line="240" w:lineRule="auto"/>
        <w:jc w:val="both"/>
        <w:rPr>
          <w:rFonts w:ascii="Times New Roman" w:eastAsia="Times New Roman" w:hAnsi="Times New Roman" w:cs="Times New Roman"/>
          <w:b/>
          <w:sz w:val="24"/>
          <w:szCs w:val="24"/>
          <w:lang w:eastAsia="bg-BG"/>
        </w:rPr>
      </w:pPr>
    </w:p>
    <w:p w14:paraId="30DDFD8F" w14:textId="77777777" w:rsidR="00996E68" w:rsidRPr="006C13DF" w:rsidRDefault="00996E68" w:rsidP="00996E68">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НАЦИОНАЛНА ЗДРАВНООСИГУРИТЕЛНА КАСА</w:t>
      </w:r>
    </w:p>
    <w:p w14:paraId="4F5521E0" w14:textId="77777777" w:rsidR="009E7955" w:rsidRPr="006C13DF" w:rsidRDefault="009E7955" w:rsidP="008B5C48">
      <w:pPr>
        <w:spacing w:after="0" w:line="240" w:lineRule="auto"/>
        <w:jc w:val="both"/>
        <w:rPr>
          <w:rFonts w:ascii="Times New Roman" w:eastAsia="Times New Roman" w:hAnsi="Times New Roman" w:cs="Times New Roman"/>
          <w:b/>
          <w:sz w:val="24"/>
          <w:szCs w:val="24"/>
          <w:lang w:eastAsia="bg-BG"/>
        </w:rPr>
      </w:pPr>
    </w:p>
    <w:p w14:paraId="100180CB" w14:textId="77777777" w:rsidR="008B5C48" w:rsidRPr="006C13DF" w:rsidRDefault="008B5C48" w:rsidP="008B5C48">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3.5.6. НЗОК заплаща дейности за палиативни грижи за болни с онкологични заболявания</w:t>
      </w:r>
    </w:p>
    <w:p w14:paraId="24B6AD3C" w14:textId="77777777" w:rsidR="00996E68" w:rsidRPr="006C13DF" w:rsidRDefault="00996E68" w:rsidP="00996E6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Методологично е разработена мярка с компенсиращ характер в смисъла на палиативните грижи в онкологията чрез указанията на диагностично-лечебния алгоритъм на КП №253 „Палиативни грижи за болни с онкологични заболявания“. </w:t>
      </w:r>
      <w:r w:rsidRPr="006C13DF">
        <w:rPr>
          <w:rFonts w:ascii="Times New Roman" w:eastAsia="Times New Roman" w:hAnsi="Times New Roman" w:cs="Times New Roman"/>
          <w:sz w:val="24"/>
          <w:szCs w:val="24"/>
          <w:lang w:eastAsia="bg-BG"/>
        </w:rPr>
        <w:tab/>
        <w:t>Комплексното лечение по тази клинична пътека включва интегрирана грижа, поради което се осигурява по договор с хоспис.</w:t>
      </w:r>
    </w:p>
    <w:p w14:paraId="0F20A733" w14:textId="77777777" w:rsidR="00996E68" w:rsidRPr="006C13DF" w:rsidRDefault="00996E68" w:rsidP="00996E6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През 2023 г. НЗОК е заплатила 17,9 хил. бр. случаи по КП №253 „Палиативни грижи за болни с онкологични заболявания“ за 2 894,1 хил. лв., като от тях за ЗОЛ над 65-годишна възраст са 11,8 хил. случая за 1 926,2 хил. лв.</w:t>
      </w:r>
    </w:p>
    <w:p w14:paraId="72BAFF2E" w14:textId="77777777" w:rsidR="00996E68" w:rsidRPr="006C13DF" w:rsidRDefault="00996E68" w:rsidP="008B5C4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През 2024 г. НЗОК е заплатила 19,1 хил. бр. случаи по КП №253 „Палиативни грижи за болни с онкологични заболявания“ за 3 796,7 хил.</w:t>
      </w:r>
      <w:r w:rsidR="00DB2AE5" w:rsidRPr="006C13DF">
        <w:rPr>
          <w:rFonts w:ascii="Times New Roman" w:eastAsia="Times New Roman" w:hAnsi="Times New Roman" w:cs="Times New Roman"/>
          <w:sz w:val="24"/>
          <w:szCs w:val="24"/>
          <w:lang w:eastAsia="bg-BG"/>
        </w:rPr>
        <w:t xml:space="preserve"> </w:t>
      </w:r>
      <w:r w:rsidRPr="006C13DF">
        <w:rPr>
          <w:rFonts w:ascii="Times New Roman" w:eastAsia="Times New Roman" w:hAnsi="Times New Roman" w:cs="Times New Roman"/>
          <w:sz w:val="24"/>
          <w:szCs w:val="24"/>
          <w:lang w:eastAsia="bg-BG"/>
        </w:rPr>
        <w:t>лв., като от тях за ЗОЛ над 65-годишна възраст са заплатени 12 хил. бр. случая за 2 373 хил. лв</w:t>
      </w:r>
      <w:r w:rsidR="000F58ED" w:rsidRPr="006C13DF">
        <w:rPr>
          <w:rFonts w:ascii="Times New Roman" w:eastAsia="Times New Roman" w:hAnsi="Times New Roman" w:cs="Times New Roman"/>
          <w:sz w:val="24"/>
          <w:szCs w:val="24"/>
          <w:lang w:eastAsia="bg-BG"/>
        </w:rPr>
        <w:t>.</w:t>
      </w:r>
    </w:p>
    <w:p w14:paraId="0ADC75A2" w14:textId="77777777" w:rsidR="000F58ED" w:rsidRDefault="000F58ED" w:rsidP="008B5C48">
      <w:pPr>
        <w:spacing w:after="0" w:line="240" w:lineRule="auto"/>
        <w:jc w:val="both"/>
        <w:rPr>
          <w:rFonts w:ascii="Times New Roman" w:eastAsia="Times New Roman" w:hAnsi="Times New Roman" w:cs="Times New Roman"/>
          <w:sz w:val="24"/>
          <w:szCs w:val="24"/>
          <w:lang w:eastAsia="bg-BG"/>
        </w:rPr>
      </w:pPr>
    </w:p>
    <w:p w14:paraId="46998D4F" w14:textId="77777777" w:rsidR="00F04776" w:rsidRPr="006C13DF" w:rsidRDefault="00F04776" w:rsidP="00F04776">
      <w:pPr>
        <w:spacing w:after="0" w:line="240" w:lineRule="auto"/>
        <w:jc w:val="center"/>
        <w:rPr>
          <w:rFonts w:ascii="Times New Roman" w:eastAsia="Calibri" w:hAnsi="Times New Roman" w:cs="Times New Roman"/>
          <w:b/>
          <w:color w:val="C0504D"/>
          <w:sz w:val="24"/>
          <w:szCs w:val="24"/>
        </w:rPr>
      </w:pPr>
      <w:r>
        <w:rPr>
          <w:rFonts w:ascii="Times New Roman" w:eastAsia="Calibri" w:hAnsi="Times New Roman" w:cs="Times New Roman"/>
          <w:b/>
          <w:color w:val="C0504D"/>
          <w:sz w:val="24"/>
          <w:szCs w:val="24"/>
        </w:rPr>
        <w:t xml:space="preserve">ИНСТИТУТ ЗА ИЗСЛЕДВАНЕ НА НАСЕЛЕНИЕТО И ЧОВЕКА – БАН </w:t>
      </w:r>
    </w:p>
    <w:p w14:paraId="0BCEF827" w14:textId="77777777" w:rsidR="00F04776" w:rsidRPr="006C13DF" w:rsidRDefault="00F04776" w:rsidP="008B5C48">
      <w:pPr>
        <w:spacing w:after="0" w:line="240" w:lineRule="auto"/>
        <w:jc w:val="both"/>
        <w:rPr>
          <w:rFonts w:ascii="Times New Roman" w:eastAsia="Times New Roman" w:hAnsi="Times New Roman" w:cs="Times New Roman"/>
          <w:sz w:val="24"/>
          <w:szCs w:val="24"/>
          <w:lang w:eastAsia="bg-BG"/>
        </w:rPr>
      </w:pPr>
    </w:p>
    <w:p w14:paraId="1E12AB97" w14:textId="77777777" w:rsidR="00D106F3" w:rsidRDefault="008B5C48" w:rsidP="00DB2AE5">
      <w:pPr>
        <w:spacing w:after="0" w:line="240" w:lineRule="auto"/>
        <w:jc w:val="both"/>
        <w:rPr>
          <w:rFonts w:ascii="Times New Roman" w:eastAsia="Times New Roman" w:hAnsi="Times New Roman" w:cs="Times New Roman"/>
          <w:b/>
          <w:sz w:val="24"/>
          <w:szCs w:val="24"/>
          <w:lang w:eastAsia="bg-BG"/>
        </w:rPr>
      </w:pPr>
      <w:r w:rsidRPr="00F04776">
        <w:rPr>
          <w:rFonts w:ascii="Times New Roman" w:eastAsia="Times New Roman" w:hAnsi="Times New Roman" w:cs="Times New Roman"/>
          <w:b/>
          <w:sz w:val="24"/>
          <w:szCs w:val="24"/>
          <w:lang w:eastAsia="bg-BG"/>
        </w:rPr>
        <w:t xml:space="preserve">3.5.7. Проект „Колко са социални социалните държави в старееща Европа? </w:t>
      </w:r>
      <w:proofErr w:type="spellStart"/>
      <w:r w:rsidRPr="00F04776">
        <w:rPr>
          <w:rFonts w:ascii="Times New Roman" w:eastAsia="Times New Roman" w:hAnsi="Times New Roman" w:cs="Times New Roman"/>
          <w:b/>
          <w:sz w:val="24"/>
          <w:szCs w:val="24"/>
          <w:lang w:eastAsia="bg-BG"/>
        </w:rPr>
        <w:t>Типологизация</w:t>
      </w:r>
      <w:proofErr w:type="spellEnd"/>
      <w:r w:rsidRPr="00F04776">
        <w:rPr>
          <w:rFonts w:ascii="Times New Roman" w:eastAsia="Times New Roman" w:hAnsi="Times New Roman" w:cs="Times New Roman"/>
          <w:b/>
          <w:sz w:val="24"/>
          <w:szCs w:val="24"/>
          <w:lang w:eastAsia="bg-BG"/>
        </w:rPr>
        <w:t xml:space="preserve"> и развитие според дългосрочната грижа“ (2020–2023) – ръководител доц. д-р Стоянка Черкезова</w:t>
      </w:r>
    </w:p>
    <w:p w14:paraId="4D4D74E7" w14:textId="77777777" w:rsidR="00F04776" w:rsidRDefault="00F04776" w:rsidP="00DB2AE5">
      <w:pPr>
        <w:spacing w:after="0" w:line="240" w:lineRule="auto"/>
        <w:jc w:val="both"/>
        <w:rPr>
          <w:rFonts w:ascii="Times New Roman" w:eastAsia="Times New Roman" w:hAnsi="Times New Roman" w:cs="Times New Roman"/>
          <w:b/>
          <w:sz w:val="24"/>
          <w:szCs w:val="24"/>
          <w:lang w:eastAsia="bg-BG"/>
        </w:rPr>
      </w:pPr>
    </w:p>
    <w:p w14:paraId="2F8AB2D6" w14:textId="77777777" w:rsidR="00F04776" w:rsidRPr="00F04776" w:rsidRDefault="00F04776" w:rsidP="00F04776">
      <w:pPr>
        <w:spacing w:after="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ab/>
      </w:r>
      <w:r w:rsidRPr="00F04776">
        <w:rPr>
          <w:rFonts w:ascii="Times New Roman" w:eastAsia="Times New Roman" w:hAnsi="Times New Roman" w:cs="Times New Roman"/>
          <w:sz w:val="24"/>
          <w:szCs w:val="24"/>
          <w:lang w:eastAsia="bg-BG"/>
        </w:rPr>
        <w:t>П</w:t>
      </w:r>
      <w:r>
        <w:rPr>
          <w:rFonts w:ascii="Times New Roman" w:eastAsia="Times New Roman" w:hAnsi="Times New Roman" w:cs="Times New Roman"/>
          <w:sz w:val="24"/>
          <w:szCs w:val="24"/>
          <w:lang w:eastAsia="bg-BG"/>
        </w:rPr>
        <w:t>рез 2024 г. п</w:t>
      </w:r>
      <w:r w:rsidRPr="00F04776">
        <w:rPr>
          <w:rFonts w:ascii="Times New Roman" w:eastAsia="Times New Roman" w:hAnsi="Times New Roman" w:cs="Times New Roman"/>
          <w:sz w:val="24"/>
          <w:szCs w:val="24"/>
          <w:lang w:eastAsia="bg-BG"/>
        </w:rPr>
        <w:t xml:space="preserve">о проекта са разработени някои обосновани предложения за политиките за дългосрочна грижа в България, свързани с увеличаване на покритието на дългосрочните грижи, създаване на основа за постоянно финансиране подобно на практиките в някои други страни, както и формулиране на политиките въз основа на </w:t>
      </w:r>
      <w:r w:rsidRPr="00F04776">
        <w:rPr>
          <w:rFonts w:ascii="Times New Roman" w:eastAsia="Times New Roman" w:hAnsi="Times New Roman" w:cs="Times New Roman"/>
          <w:sz w:val="24"/>
          <w:szCs w:val="24"/>
          <w:lang w:eastAsia="bg-BG"/>
        </w:rPr>
        <w:lastRenderedPageBreak/>
        <w:t xml:space="preserve">потребностите на нуждаещите се от различни видове подкрепа, а не единствено въз основа на неспособността за водене на самостоятелен живот. Проектът е замразен през 2024 г. поради високата натовареност на ръководителя. </w:t>
      </w:r>
      <w:r>
        <w:rPr>
          <w:rFonts w:ascii="Times New Roman" w:eastAsia="Times New Roman" w:hAnsi="Times New Roman" w:cs="Times New Roman"/>
          <w:sz w:val="24"/>
          <w:szCs w:val="24"/>
          <w:lang w:eastAsia="bg-BG"/>
        </w:rPr>
        <w:t xml:space="preserve">По тази причина </w:t>
      </w:r>
      <w:r w:rsidRPr="00F04776">
        <w:rPr>
          <w:rFonts w:ascii="Times New Roman" w:eastAsia="Times New Roman" w:hAnsi="Times New Roman" w:cs="Times New Roman"/>
          <w:sz w:val="24"/>
          <w:szCs w:val="24"/>
          <w:lang w:eastAsia="bg-BG"/>
        </w:rPr>
        <w:t>предложенията все още не са публикувани.</w:t>
      </w:r>
    </w:p>
    <w:p w14:paraId="76FB8B50" w14:textId="77777777" w:rsidR="008B5C48" w:rsidRPr="006C13DF" w:rsidRDefault="008B5C48" w:rsidP="000F58ED">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C668"/>
        <w:tblLook w:val="04A0" w:firstRow="1" w:lastRow="0" w:firstColumn="1" w:lastColumn="0" w:noHBand="0" w:noVBand="1"/>
      </w:tblPr>
      <w:tblGrid>
        <w:gridCol w:w="9060"/>
      </w:tblGrid>
      <w:tr w:rsidR="00EB2DEE" w:rsidRPr="006C13DF" w14:paraId="543B88AE" w14:textId="77777777" w:rsidTr="00E655FD">
        <w:tc>
          <w:tcPr>
            <w:tcW w:w="9060" w:type="dxa"/>
            <w:shd w:val="clear" w:color="auto" w:fill="D6C668"/>
          </w:tcPr>
          <w:p w14:paraId="2B1C7885" w14:textId="77777777" w:rsidR="00EB2DEE" w:rsidRPr="006C13DF" w:rsidRDefault="00EB2DEE" w:rsidP="00EB2DEE">
            <w:pPr>
              <w:jc w:val="center"/>
              <w:rPr>
                <w:rFonts w:ascii="Times New Roman" w:hAnsi="Times New Roman" w:cs="Times New Roman"/>
                <w:b/>
                <w:sz w:val="28"/>
                <w:szCs w:val="28"/>
                <w:lang w:val="en-US"/>
              </w:rPr>
            </w:pPr>
            <w:r w:rsidRPr="006C13DF">
              <w:rPr>
                <w:rFonts w:ascii="Times New Roman" w:hAnsi="Times New Roman" w:cs="Times New Roman"/>
                <w:b/>
                <w:sz w:val="28"/>
                <w:szCs w:val="28"/>
              </w:rPr>
              <w:t xml:space="preserve">Приоритет </w:t>
            </w:r>
            <w:r w:rsidRPr="006C13DF">
              <w:rPr>
                <w:rFonts w:ascii="Times New Roman" w:hAnsi="Times New Roman" w:cs="Times New Roman"/>
                <w:b/>
                <w:sz w:val="28"/>
                <w:szCs w:val="28"/>
                <w:lang w:val="en-US"/>
              </w:rPr>
              <w:t>IV</w:t>
            </w:r>
          </w:p>
          <w:p w14:paraId="7E4854EA" w14:textId="77777777" w:rsidR="00EB2DEE" w:rsidRPr="006C13DF" w:rsidRDefault="00EB2DEE" w:rsidP="00EB2DEE">
            <w:pPr>
              <w:jc w:val="center"/>
              <w:rPr>
                <w:rFonts w:ascii="Times New Roman" w:hAnsi="Times New Roman" w:cs="Times New Roman"/>
                <w:b/>
                <w:sz w:val="28"/>
                <w:szCs w:val="28"/>
              </w:rPr>
            </w:pPr>
            <w:r w:rsidRPr="006C13DF">
              <w:rPr>
                <w:rFonts w:ascii="Times New Roman" w:hAnsi="Times New Roman" w:cs="Times New Roman"/>
                <w:b/>
                <w:sz w:val="28"/>
                <w:szCs w:val="28"/>
              </w:rPr>
              <w:t>Създаване на капацитет и благоприятна среда за активен живот на възрастните хора на национално и на регионално ниво</w:t>
            </w:r>
          </w:p>
          <w:p w14:paraId="37EE839A" w14:textId="77777777" w:rsidR="00EB2DEE" w:rsidRPr="006C13DF" w:rsidRDefault="00EB2DEE" w:rsidP="00EB2DEE">
            <w:pPr>
              <w:jc w:val="center"/>
              <w:rPr>
                <w:rFonts w:ascii="Times New Roman" w:hAnsi="Times New Roman" w:cs="Times New Roman"/>
                <w:b/>
                <w:sz w:val="28"/>
                <w:szCs w:val="28"/>
              </w:rPr>
            </w:pPr>
          </w:p>
        </w:tc>
      </w:tr>
    </w:tbl>
    <w:p w14:paraId="0AF75DF8" w14:textId="77777777" w:rsidR="00EB2DEE" w:rsidRPr="006C13DF" w:rsidRDefault="00EB2DEE" w:rsidP="00E91E47">
      <w:pPr>
        <w:spacing w:after="0" w:line="240" w:lineRule="auto"/>
        <w:ind w:firstLine="708"/>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043F2613" w14:textId="77777777" w:rsidTr="00E655FD">
        <w:tc>
          <w:tcPr>
            <w:tcW w:w="9060" w:type="dxa"/>
            <w:shd w:val="clear" w:color="auto" w:fill="EBE453"/>
          </w:tcPr>
          <w:p w14:paraId="4EDCB601"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4.1. Укрепване на капацитета на институциите, изпълняващи политики за възрастните хора</w:t>
            </w:r>
          </w:p>
        </w:tc>
      </w:tr>
    </w:tbl>
    <w:p w14:paraId="05A454FD" w14:textId="77777777" w:rsidR="00102806" w:rsidRPr="006C13DF" w:rsidRDefault="00102806" w:rsidP="00E91E47">
      <w:pPr>
        <w:spacing w:after="0" w:line="240" w:lineRule="auto"/>
        <w:ind w:firstLine="708"/>
        <w:jc w:val="both"/>
        <w:rPr>
          <w:rFonts w:ascii="Times New Roman" w:hAnsi="Times New Roman" w:cs="Times New Roman"/>
          <w:sz w:val="24"/>
          <w:szCs w:val="24"/>
        </w:rPr>
      </w:pPr>
    </w:p>
    <w:p w14:paraId="0C5D163A" w14:textId="77777777" w:rsidR="00102806" w:rsidRPr="006C13DF" w:rsidRDefault="00102806" w:rsidP="00102806">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ИНСТИТУТ ПО ФИЛОСОФИЯ И СОЦИОЛОГИЯ – БАН</w:t>
      </w:r>
    </w:p>
    <w:p w14:paraId="6A2A57E7" w14:textId="77777777" w:rsidR="008B5C48" w:rsidRPr="00432FAD" w:rsidRDefault="008B5C48" w:rsidP="00E91E47">
      <w:pPr>
        <w:pStyle w:val="ListParagraph"/>
        <w:spacing w:after="0" w:line="240" w:lineRule="auto"/>
        <w:ind w:left="0"/>
        <w:jc w:val="both"/>
        <w:rPr>
          <w:rFonts w:ascii="Times New Roman" w:hAnsi="Times New Roman" w:cs="Times New Roman"/>
          <w:b/>
        </w:rPr>
      </w:pPr>
    </w:p>
    <w:p w14:paraId="757B38E4" w14:textId="77777777" w:rsidR="006E5C93" w:rsidRPr="006C13DF" w:rsidRDefault="008B5C48" w:rsidP="008B5C48">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 xml:space="preserve">4.1.1. 1) Международен изследователски проект „Изследване на здравето, стареенето и пенсионирането в Европа” (SHARE) и 2) Национален проект „SHARE ERIC България”, инфраструктурен обект на НПКНИ </w:t>
      </w:r>
    </w:p>
    <w:p w14:paraId="13428C53" w14:textId="77777777" w:rsidR="006E5C93" w:rsidRPr="006C13DF" w:rsidRDefault="006E5C93" w:rsidP="00102806">
      <w:pPr>
        <w:spacing w:after="0" w:line="240" w:lineRule="auto"/>
        <w:jc w:val="both"/>
        <w:rPr>
          <w:rFonts w:ascii="Times New Roman" w:hAnsi="Times New Roman" w:cs="Times New Roman"/>
          <w:color w:val="002060"/>
          <w:sz w:val="24"/>
          <w:szCs w:val="24"/>
        </w:rPr>
      </w:pPr>
      <w:r w:rsidRPr="006C13DF">
        <w:rPr>
          <w:rFonts w:ascii="Times New Roman" w:hAnsi="Times New Roman" w:cs="Times New Roman"/>
          <w:color w:val="002060"/>
          <w:sz w:val="24"/>
          <w:szCs w:val="24"/>
        </w:rPr>
        <w:tab/>
      </w:r>
    </w:p>
    <w:p w14:paraId="7B0E0B9D" w14:textId="77777777" w:rsidR="00102806" w:rsidRPr="006C13DF" w:rsidRDefault="007F4B7D" w:rsidP="00102806">
      <w:pPr>
        <w:spacing w:after="0" w:line="240" w:lineRule="auto"/>
        <w:jc w:val="both"/>
        <w:rPr>
          <w:rFonts w:ascii="Times New Roman" w:hAnsi="Times New Roman" w:cs="Times New Roman"/>
          <w:sz w:val="24"/>
          <w:szCs w:val="24"/>
        </w:rPr>
      </w:pPr>
      <w:r w:rsidRPr="006C13DF">
        <w:rPr>
          <w:rFonts w:ascii="Times New Roman" w:hAnsi="Times New Roman" w:cs="Times New Roman"/>
          <w:sz w:val="24"/>
          <w:szCs w:val="24"/>
        </w:rPr>
        <w:tab/>
      </w:r>
      <w:r w:rsidR="00102806" w:rsidRPr="006C13DF">
        <w:rPr>
          <w:rFonts w:ascii="Times New Roman" w:hAnsi="Times New Roman" w:cs="Times New Roman"/>
          <w:sz w:val="24"/>
          <w:szCs w:val="24"/>
        </w:rPr>
        <w:t xml:space="preserve">Екип от ИФС – БАН е работил по: </w:t>
      </w:r>
    </w:p>
    <w:p w14:paraId="64E08077" w14:textId="77777777" w:rsidR="00102806" w:rsidRPr="006C13DF" w:rsidRDefault="00102806" w:rsidP="00554703">
      <w:pPr>
        <w:pStyle w:val="ListParagraph"/>
        <w:numPr>
          <w:ilvl w:val="0"/>
          <w:numId w:val="6"/>
        </w:numPr>
        <w:spacing w:after="0" w:line="240" w:lineRule="auto"/>
        <w:jc w:val="both"/>
        <w:rPr>
          <w:rFonts w:ascii="Times New Roman" w:hAnsi="Times New Roman" w:cs="Times New Roman"/>
          <w:sz w:val="24"/>
          <w:szCs w:val="24"/>
        </w:rPr>
      </w:pPr>
      <w:r w:rsidRPr="006C13DF">
        <w:rPr>
          <w:rFonts w:ascii="Times New Roman" w:hAnsi="Times New Roman" w:cs="Times New Roman"/>
          <w:bCs/>
          <w:sz w:val="24"/>
          <w:szCs w:val="24"/>
        </w:rPr>
        <w:t xml:space="preserve">международен изследователски проект </w:t>
      </w:r>
      <w:r w:rsidRPr="006C13DF">
        <w:rPr>
          <w:rFonts w:ascii="Times New Roman" w:hAnsi="Times New Roman" w:cs="Times New Roman"/>
          <w:b/>
          <w:bCs/>
          <w:sz w:val="24"/>
          <w:szCs w:val="24"/>
        </w:rPr>
        <w:t>„Изследване на здравето, стареенето и</w:t>
      </w:r>
      <w:r w:rsidRPr="006C13DF">
        <w:rPr>
          <w:rFonts w:ascii="Times New Roman" w:hAnsi="Times New Roman" w:cs="Times New Roman"/>
          <w:b/>
          <w:sz w:val="24"/>
          <w:szCs w:val="24"/>
        </w:rPr>
        <w:t xml:space="preserve"> </w:t>
      </w:r>
      <w:r w:rsidRPr="006C13DF">
        <w:rPr>
          <w:rFonts w:ascii="Times New Roman" w:hAnsi="Times New Roman" w:cs="Times New Roman"/>
          <w:b/>
          <w:bCs/>
          <w:sz w:val="24"/>
          <w:szCs w:val="24"/>
        </w:rPr>
        <w:t>пенсионирането в Европа” (SHARE)</w:t>
      </w:r>
      <w:r w:rsidRPr="006C13DF">
        <w:rPr>
          <w:rFonts w:ascii="Times New Roman" w:hAnsi="Times New Roman" w:cs="Times New Roman"/>
          <w:bCs/>
          <w:sz w:val="24"/>
          <w:szCs w:val="24"/>
        </w:rPr>
        <w:t xml:space="preserve"> и </w:t>
      </w:r>
    </w:p>
    <w:p w14:paraId="13AD4DF1" w14:textId="77777777" w:rsidR="00102806" w:rsidRPr="006C13DF" w:rsidRDefault="00102806" w:rsidP="00554703">
      <w:pPr>
        <w:pStyle w:val="ListParagraph"/>
        <w:numPr>
          <w:ilvl w:val="0"/>
          <w:numId w:val="6"/>
        </w:numPr>
        <w:spacing w:after="0" w:line="240" w:lineRule="auto"/>
        <w:jc w:val="both"/>
        <w:rPr>
          <w:rFonts w:ascii="Times New Roman" w:hAnsi="Times New Roman" w:cs="Times New Roman"/>
          <w:sz w:val="24"/>
          <w:szCs w:val="24"/>
        </w:rPr>
      </w:pPr>
      <w:r w:rsidRPr="006C13DF">
        <w:rPr>
          <w:rFonts w:ascii="Times New Roman" w:hAnsi="Times New Roman" w:cs="Times New Roman"/>
          <w:bCs/>
          <w:sz w:val="24"/>
          <w:szCs w:val="24"/>
        </w:rPr>
        <w:t xml:space="preserve">национален проект </w:t>
      </w:r>
      <w:r w:rsidRPr="006C13DF">
        <w:rPr>
          <w:rFonts w:ascii="Times New Roman" w:hAnsi="Times New Roman" w:cs="Times New Roman"/>
          <w:b/>
          <w:bCs/>
          <w:sz w:val="24"/>
          <w:szCs w:val="24"/>
        </w:rPr>
        <w:t>„SHARE ERIC България“</w:t>
      </w:r>
      <w:r w:rsidRPr="006C13DF">
        <w:rPr>
          <w:rFonts w:ascii="Times New Roman" w:hAnsi="Times New Roman" w:cs="Times New Roman"/>
          <w:bCs/>
          <w:sz w:val="24"/>
          <w:szCs w:val="24"/>
        </w:rPr>
        <w:t>.</w:t>
      </w:r>
      <w:r w:rsidRPr="006C13DF">
        <w:rPr>
          <w:rFonts w:ascii="Times New Roman" w:hAnsi="Times New Roman" w:cs="Times New Roman"/>
          <w:b/>
          <w:bCs/>
          <w:sz w:val="24"/>
          <w:szCs w:val="24"/>
        </w:rPr>
        <w:t xml:space="preserve"> </w:t>
      </w:r>
    </w:p>
    <w:p w14:paraId="7A93E1ED" w14:textId="77777777" w:rsidR="00102806" w:rsidRPr="006C13DF" w:rsidRDefault="007F4B7D" w:rsidP="00102806">
      <w:pPr>
        <w:spacing w:after="0" w:line="240" w:lineRule="auto"/>
        <w:jc w:val="both"/>
        <w:rPr>
          <w:rFonts w:ascii="Times New Roman" w:hAnsi="Times New Roman" w:cs="Times New Roman"/>
          <w:sz w:val="24"/>
          <w:szCs w:val="24"/>
        </w:rPr>
      </w:pPr>
      <w:r w:rsidRPr="006C13DF">
        <w:rPr>
          <w:rFonts w:ascii="Times New Roman" w:hAnsi="Times New Roman" w:cs="Times New Roman"/>
          <w:bCs/>
          <w:sz w:val="24"/>
          <w:szCs w:val="24"/>
        </w:rPr>
        <w:tab/>
      </w:r>
      <w:r w:rsidR="00102806" w:rsidRPr="006C13DF">
        <w:rPr>
          <w:rFonts w:ascii="Times New Roman" w:hAnsi="Times New Roman" w:cs="Times New Roman"/>
          <w:bCs/>
          <w:sz w:val="24"/>
          <w:szCs w:val="24"/>
        </w:rPr>
        <w:t>Финансирането по линия на НПКНИ за периода 2023 – 2024 г. е на стойност 285 180 лв.</w:t>
      </w:r>
      <w:r w:rsidR="00102806" w:rsidRPr="006C13DF">
        <w:rPr>
          <w:rFonts w:ascii="Times New Roman" w:hAnsi="Times New Roman" w:cs="Times New Roman"/>
          <w:sz w:val="24"/>
          <w:szCs w:val="24"/>
        </w:rPr>
        <w:t xml:space="preserve"> По двата проекта са подготвени поредица от научни анализи и доклади. Публикувани са научни статии в научни списания и сборници. Организирани са информационни семинари сред публичната администрация. Изнесени са доклади на национални и международни конференции. </w:t>
      </w:r>
    </w:p>
    <w:p w14:paraId="164F36F6" w14:textId="77777777" w:rsidR="00102806" w:rsidRPr="006C13DF" w:rsidRDefault="00102806" w:rsidP="00102806">
      <w:pPr>
        <w:spacing w:after="0" w:line="240" w:lineRule="auto"/>
        <w:jc w:val="both"/>
        <w:rPr>
          <w:rFonts w:ascii="Times New Roman" w:hAnsi="Times New Roman" w:cs="Times New Roman"/>
          <w:b/>
          <w:sz w:val="24"/>
          <w:szCs w:val="24"/>
        </w:rPr>
      </w:pPr>
      <w:r w:rsidRPr="006C13DF">
        <w:rPr>
          <w:rFonts w:ascii="Times New Roman" w:hAnsi="Times New Roman" w:cs="Times New Roman"/>
          <w:b/>
          <w:sz w:val="24"/>
          <w:szCs w:val="24"/>
        </w:rPr>
        <w:t>Основни резултати:</w:t>
      </w:r>
    </w:p>
    <w:p w14:paraId="77FC4A90" w14:textId="77777777" w:rsidR="00102806" w:rsidRPr="006C13DF" w:rsidRDefault="00102806" w:rsidP="00554703">
      <w:pPr>
        <w:pStyle w:val="ListParagraph"/>
        <w:numPr>
          <w:ilvl w:val="0"/>
          <w:numId w:val="5"/>
        </w:numPr>
        <w:spacing w:after="0" w:line="240" w:lineRule="auto"/>
        <w:jc w:val="both"/>
        <w:rPr>
          <w:rFonts w:ascii="Times New Roman" w:hAnsi="Times New Roman" w:cs="Times New Roman"/>
          <w:b/>
          <w:sz w:val="24"/>
          <w:szCs w:val="24"/>
        </w:rPr>
      </w:pPr>
      <w:r w:rsidRPr="006C13DF">
        <w:rPr>
          <w:rFonts w:ascii="Times New Roman" w:hAnsi="Times New Roman" w:cs="Times New Roman"/>
          <w:sz w:val="24"/>
          <w:szCs w:val="24"/>
        </w:rPr>
        <w:t>Реализирано е повишаване на институционалния капацитет относно работа с данни от SHARE за политики, основани на знанието.</w:t>
      </w:r>
    </w:p>
    <w:p w14:paraId="24C5764B" w14:textId="77777777" w:rsidR="00102806" w:rsidRPr="006C13DF" w:rsidRDefault="00102806" w:rsidP="00554703">
      <w:pPr>
        <w:pStyle w:val="ListParagraph"/>
        <w:numPr>
          <w:ilvl w:val="0"/>
          <w:numId w:val="5"/>
        </w:numPr>
        <w:spacing w:after="0" w:line="240" w:lineRule="auto"/>
        <w:jc w:val="both"/>
        <w:rPr>
          <w:rFonts w:ascii="Times New Roman" w:hAnsi="Times New Roman" w:cs="Times New Roman"/>
          <w:b/>
          <w:sz w:val="24"/>
          <w:szCs w:val="24"/>
        </w:rPr>
      </w:pPr>
      <w:r w:rsidRPr="006C13DF">
        <w:rPr>
          <w:rFonts w:ascii="Times New Roman" w:hAnsi="Times New Roman" w:cs="Times New Roman"/>
          <w:sz w:val="24"/>
          <w:szCs w:val="24"/>
        </w:rPr>
        <w:t>Извършени са анализи на процесите на стареене, качеството на живот, здравето, трудовия живот и пенсионирането.</w:t>
      </w:r>
    </w:p>
    <w:p w14:paraId="4657D803" w14:textId="77777777" w:rsidR="00102806" w:rsidRPr="006C13DF" w:rsidRDefault="00102806" w:rsidP="00554703">
      <w:pPr>
        <w:pStyle w:val="ListParagraph"/>
        <w:numPr>
          <w:ilvl w:val="0"/>
          <w:numId w:val="5"/>
        </w:numPr>
        <w:spacing w:after="0" w:line="240" w:lineRule="auto"/>
        <w:jc w:val="both"/>
        <w:rPr>
          <w:rFonts w:ascii="Times New Roman" w:hAnsi="Times New Roman" w:cs="Times New Roman"/>
          <w:b/>
          <w:sz w:val="24"/>
          <w:szCs w:val="24"/>
        </w:rPr>
      </w:pPr>
      <w:r w:rsidRPr="006C13DF">
        <w:rPr>
          <w:rFonts w:ascii="Times New Roman" w:hAnsi="Times New Roman" w:cs="Times New Roman"/>
          <w:sz w:val="24"/>
          <w:szCs w:val="24"/>
        </w:rPr>
        <w:t xml:space="preserve">Осъществен е анализ на нагласи за справяне с пандемията при хората на 50 и повече години в рамките на </w:t>
      </w:r>
      <w:r w:rsidRPr="006C13DF">
        <w:rPr>
          <w:rFonts w:ascii="Times New Roman" w:hAnsi="Times New Roman" w:cs="Times New Roman"/>
          <w:sz w:val="24"/>
          <w:szCs w:val="24"/>
          <w:lang w:val="en-GB"/>
        </w:rPr>
        <w:t xml:space="preserve">SHARE COVID CATI 1 </w:t>
      </w:r>
      <w:r w:rsidRPr="006C13DF">
        <w:rPr>
          <w:rFonts w:ascii="Times New Roman" w:hAnsi="Times New Roman" w:cs="Times New Roman"/>
          <w:sz w:val="24"/>
          <w:szCs w:val="24"/>
        </w:rPr>
        <w:t>и</w:t>
      </w:r>
      <w:r w:rsidRPr="006C13DF">
        <w:rPr>
          <w:rFonts w:ascii="Times New Roman" w:hAnsi="Times New Roman" w:cs="Times New Roman"/>
          <w:sz w:val="24"/>
          <w:szCs w:val="24"/>
          <w:lang w:val="en-GB"/>
        </w:rPr>
        <w:t xml:space="preserve"> 2</w:t>
      </w:r>
      <w:r w:rsidRPr="006C13DF">
        <w:rPr>
          <w:rFonts w:ascii="Times New Roman" w:hAnsi="Times New Roman" w:cs="Times New Roman"/>
          <w:sz w:val="24"/>
          <w:szCs w:val="24"/>
        </w:rPr>
        <w:t>.</w:t>
      </w:r>
    </w:p>
    <w:p w14:paraId="3306D0D8" w14:textId="77777777" w:rsidR="00102806" w:rsidRPr="006C13DF" w:rsidRDefault="00102806" w:rsidP="00102806">
      <w:pPr>
        <w:spacing w:after="0" w:line="240" w:lineRule="auto"/>
        <w:jc w:val="both"/>
        <w:rPr>
          <w:rFonts w:ascii="Times New Roman" w:hAnsi="Times New Roman" w:cs="Times New Roman"/>
          <w:sz w:val="24"/>
          <w:szCs w:val="24"/>
        </w:rPr>
      </w:pPr>
      <w:r w:rsidRPr="006C13DF">
        <w:rPr>
          <w:rFonts w:ascii="Times New Roman" w:hAnsi="Times New Roman" w:cs="Times New Roman"/>
          <w:b/>
          <w:sz w:val="24"/>
          <w:szCs w:val="24"/>
        </w:rPr>
        <w:t xml:space="preserve">Въздействие: </w:t>
      </w:r>
    </w:p>
    <w:p w14:paraId="2786BB92" w14:textId="77777777" w:rsidR="00102806" w:rsidRPr="006C13DF" w:rsidRDefault="00102806" w:rsidP="00554703">
      <w:pPr>
        <w:pStyle w:val="ListParagraph"/>
        <w:numPr>
          <w:ilvl w:val="0"/>
          <w:numId w:val="2"/>
        </w:numPr>
        <w:spacing w:after="0" w:line="240" w:lineRule="auto"/>
        <w:jc w:val="both"/>
        <w:rPr>
          <w:rFonts w:ascii="Times New Roman" w:hAnsi="Times New Roman" w:cs="Times New Roman"/>
          <w:bCs/>
          <w:sz w:val="24"/>
          <w:szCs w:val="24"/>
        </w:rPr>
      </w:pPr>
      <w:r w:rsidRPr="006C13DF">
        <w:rPr>
          <w:rFonts w:ascii="Times New Roman" w:hAnsi="Times New Roman" w:cs="Times New Roman"/>
          <w:b/>
          <w:sz w:val="24"/>
          <w:szCs w:val="24"/>
        </w:rPr>
        <w:t>На национално ниво</w:t>
      </w:r>
      <w:r w:rsidRPr="006C13DF">
        <w:rPr>
          <w:rFonts w:ascii="Times New Roman" w:hAnsi="Times New Roman" w:cs="Times New Roman"/>
          <w:bCs/>
          <w:sz w:val="24"/>
          <w:szCs w:val="24"/>
        </w:rPr>
        <w:t xml:space="preserve"> – осъществен е анализ на стареенето, трудовия живот и пенсионирането на хората на 50 и повече години в България. Допълнително е проведен анализ на влиянието на пандемията върху хората на 50 и повече години.</w:t>
      </w:r>
    </w:p>
    <w:p w14:paraId="76D6A65A" w14:textId="77777777" w:rsidR="00102806" w:rsidRPr="006C13DF" w:rsidRDefault="00102806" w:rsidP="00554703">
      <w:pPr>
        <w:pStyle w:val="ListParagraph"/>
        <w:numPr>
          <w:ilvl w:val="0"/>
          <w:numId w:val="2"/>
        </w:numPr>
        <w:spacing w:after="0" w:line="240" w:lineRule="auto"/>
        <w:jc w:val="both"/>
        <w:rPr>
          <w:rFonts w:ascii="Times New Roman" w:hAnsi="Times New Roman" w:cs="Times New Roman"/>
          <w:sz w:val="24"/>
          <w:szCs w:val="24"/>
        </w:rPr>
      </w:pPr>
      <w:r w:rsidRPr="006C13DF">
        <w:rPr>
          <w:rFonts w:ascii="Times New Roman" w:hAnsi="Times New Roman" w:cs="Times New Roman"/>
          <w:b/>
          <w:sz w:val="24"/>
          <w:szCs w:val="24"/>
        </w:rPr>
        <w:t>В международен сравнителен план</w:t>
      </w:r>
      <w:r w:rsidRPr="006C13DF">
        <w:rPr>
          <w:rFonts w:ascii="Times New Roman" w:hAnsi="Times New Roman" w:cs="Times New Roman"/>
          <w:bCs/>
          <w:sz w:val="24"/>
          <w:szCs w:val="24"/>
        </w:rPr>
        <w:t xml:space="preserve"> – направена е съпоставка на условията на живот, здравето, стареенето и пенсионирането в България и всички държави от ЕС. Допълнително е извършен сравнителен анализ на справянето с пандемията при хората на 50 и повече години.</w:t>
      </w:r>
    </w:p>
    <w:p w14:paraId="23B8D47E" w14:textId="77777777" w:rsidR="00A276A8" w:rsidRPr="006C13DF" w:rsidRDefault="00A276A8" w:rsidP="00A276A8">
      <w:pPr>
        <w:spacing w:after="0" w:line="240" w:lineRule="auto"/>
        <w:jc w:val="both"/>
        <w:rPr>
          <w:rFonts w:ascii="Times New Roman" w:hAnsi="Times New Roman" w:cs="Times New Roman"/>
          <w:sz w:val="24"/>
          <w:szCs w:val="24"/>
        </w:rPr>
      </w:pPr>
    </w:p>
    <w:p w14:paraId="04BC9AC0" w14:textId="77777777" w:rsidR="00A276A8" w:rsidRPr="006C13DF" w:rsidRDefault="00A276A8" w:rsidP="00A276A8">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МИНИСТЕРСТВО НА ВЪНШНИТЕ РАБОТИ</w:t>
      </w:r>
    </w:p>
    <w:p w14:paraId="52897B56" w14:textId="77777777" w:rsidR="00A276A8" w:rsidRPr="006C13DF" w:rsidRDefault="00A276A8" w:rsidP="00A276A8">
      <w:pPr>
        <w:spacing w:after="0" w:line="240" w:lineRule="auto"/>
        <w:jc w:val="both"/>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 </w:t>
      </w:r>
    </w:p>
    <w:p w14:paraId="7F4D65EF" w14:textId="77777777" w:rsidR="00A276A8" w:rsidRPr="006C13DF" w:rsidRDefault="00A276A8" w:rsidP="00A276A8">
      <w:pPr>
        <w:shd w:val="clear" w:color="auto" w:fill="FFFFFF"/>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sz w:val="24"/>
          <w:szCs w:val="24"/>
          <w:lang w:eastAsia="bg-BG"/>
        </w:rPr>
        <w:t> </w:t>
      </w:r>
      <w:r w:rsidRPr="006C13DF">
        <w:rPr>
          <w:rFonts w:ascii="Times New Roman" w:eastAsia="Times New Roman" w:hAnsi="Times New Roman" w:cs="Times New Roman"/>
          <w:b/>
          <w:bCs/>
          <w:sz w:val="24"/>
          <w:szCs w:val="24"/>
          <w:lang w:eastAsia="bg-BG"/>
        </w:rPr>
        <w:t>4.1.2.</w:t>
      </w:r>
      <w:r w:rsidRPr="006C13DF">
        <w:rPr>
          <w:rFonts w:ascii="Times New Roman" w:eastAsia="Times New Roman" w:hAnsi="Times New Roman" w:cs="Times New Roman"/>
          <w:b/>
          <w:sz w:val="24"/>
          <w:szCs w:val="24"/>
          <w:lang w:eastAsia="bg-BG"/>
        </w:rPr>
        <w:t> Обогатяване на международното сътрудничество за изпълнение на Дневния ред  на ООН 2030 и Целите за устойчиво развитие, в които демографските предизвикателства и преодоляване на неравенствата са важен аспект</w:t>
      </w:r>
    </w:p>
    <w:p w14:paraId="574C7DE8"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p>
    <w:p w14:paraId="2C86FF54"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lastRenderedPageBreak/>
        <w:tab/>
        <w:t>В рамките на своите компетенции Министерството на външните работи (МВнР) допринася за обогатяване на международното сътрудничество в областта на демографските въпроси, повишаване на видимостта на приноса на България в отговор на демографските предизвикателства, в т.ч. и относно политиките за активен живот на възрастните хора.</w:t>
      </w:r>
    </w:p>
    <w:p w14:paraId="51FE0F62"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МВнР дава принос по компетентност в сътрудничеството на заинтересованите страни за изпълнение на Дневния ред на ООН 2030 и Целите за устойчиво развитие (ЦУР) на глобално, регионално и национално ниво, в които демографските предизвикателства и преодоляване на неравенствата са важен аспект.</w:t>
      </w:r>
    </w:p>
    <w:p w14:paraId="1AA10296"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Демографията е хоризонтален въпрос, свързан с множество Цели на ООН за устойчиво развитие като равнопоставеност на половете, преодоляване на бедността, намаляване на неравенствата, качествено образование, добро здраве и други.</w:t>
      </w:r>
    </w:p>
    <w:p w14:paraId="2DED021F"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Основните международни акценти и инициативи през периода са свързани с</w:t>
      </w:r>
      <w:r w:rsidRPr="006C13DF">
        <w:rPr>
          <w:rFonts w:ascii="Times New Roman" w:eastAsia="Times New Roman" w:hAnsi="Times New Roman" w:cs="Times New Roman"/>
          <w:sz w:val="24"/>
          <w:szCs w:val="24"/>
          <w:lang w:val="en-US" w:eastAsia="bg-BG"/>
        </w:rPr>
        <w:t xml:space="preserve"> </w:t>
      </w:r>
      <w:r w:rsidRPr="006C13DF">
        <w:rPr>
          <w:rFonts w:ascii="Times New Roman" w:eastAsia="Times New Roman" w:hAnsi="Times New Roman" w:cs="Times New Roman"/>
          <w:sz w:val="24"/>
          <w:szCs w:val="24"/>
          <w:lang w:eastAsia="bg-BG"/>
        </w:rPr>
        <w:t xml:space="preserve">отбелязването на 30 години от Международната конференция по население и развитие Кайро 1994 г., </w:t>
      </w:r>
      <w:r w:rsidRPr="006C13DF">
        <w:rPr>
          <w:rFonts w:ascii="Times New Roman" w:eastAsia="Times New Roman" w:hAnsi="Times New Roman" w:cs="Times New Roman"/>
          <w:sz w:val="24"/>
          <w:szCs w:val="24"/>
          <w:lang w:val="en-US" w:eastAsia="bg-BG"/>
        </w:rPr>
        <w:t>(ICPD30)</w:t>
      </w:r>
      <w:r w:rsidRPr="006C13DF">
        <w:rPr>
          <w:rFonts w:ascii="Times New Roman" w:eastAsia="Times New Roman" w:hAnsi="Times New Roman" w:cs="Times New Roman"/>
          <w:sz w:val="24"/>
          <w:szCs w:val="24"/>
          <w:lang w:eastAsia="bg-BG"/>
        </w:rPr>
        <w:t xml:space="preserve">, както и 30 години от Четвъртата световна конференция на ООН за жените и приемането на Пекинската декларация и Платформа за действие 1995, </w:t>
      </w:r>
      <w:r w:rsidRPr="006C13DF">
        <w:rPr>
          <w:rFonts w:ascii="Times New Roman" w:eastAsia="Times New Roman" w:hAnsi="Times New Roman" w:cs="Times New Roman"/>
          <w:sz w:val="24"/>
          <w:szCs w:val="24"/>
          <w:lang w:val="en-US" w:eastAsia="bg-BG"/>
        </w:rPr>
        <w:t>(Beijing +30)</w:t>
      </w:r>
      <w:r w:rsidRPr="006C13DF">
        <w:rPr>
          <w:rFonts w:ascii="Times New Roman" w:eastAsia="Times New Roman" w:hAnsi="Times New Roman" w:cs="Times New Roman"/>
          <w:sz w:val="24"/>
          <w:szCs w:val="24"/>
          <w:lang w:eastAsia="bg-BG"/>
        </w:rPr>
        <w:t xml:space="preserve">. </w:t>
      </w:r>
    </w:p>
    <w:p w14:paraId="787719A1"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МВнР оказва съдействие по компетентност за участието ни в Регионалните и Глобални прегледи. Представен е Националният доклад</w:t>
      </w:r>
      <w:r w:rsidRPr="006C13DF">
        <w:rPr>
          <w:rFonts w:ascii="Times New Roman" w:eastAsia="Times New Roman" w:hAnsi="Times New Roman" w:cs="Times New Roman"/>
          <w:sz w:val="24"/>
          <w:szCs w:val="24"/>
          <w:lang w:val="en-US" w:eastAsia="bg-BG"/>
        </w:rPr>
        <w:t xml:space="preserve"> </w:t>
      </w:r>
      <w:r w:rsidRPr="006C13DF">
        <w:rPr>
          <w:rFonts w:ascii="Times New Roman" w:eastAsia="Times New Roman" w:hAnsi="Times New Roman" w:cs="Times New Roman"/>
          <w:sz w:val="24"/>
          <w:szCs w:val="24"/>
          <w:lang w:eastAsia="bg-BG"/>
        </w:rPr>
        <w:t>за напредък в 12-те критични области на Пекинската платформа за действие с акцент на Цел 5 за равнопоставеност на половете и овластяването на жените и момичетата.</w:t>
      </w:r>
    </w:p>
    <w:p w14:paraId="0C1F2270"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България</w:t>
      </w:r>
      <w:r w:rsidRPr="006C13DF">
        <w:rPr>
          <w:rFonts w:ascii="Times New Roman" w:eastAsia="Times New Roman" w:hAnsi="Times New Roman" w:cs="Times New Roman"/>
          <w:sz w:val="24"/>
          <w:szCs w:val="24"/>
          <w:lang w:val="en-US" w:eastAsia="bg-BG"/>
        </w:rPr>
        <w:t xml:space="preserve"> </w:t>
      </w:r>
      <w:r w:rsidRPr="006C13DF">
        <w:rPr>
          <w:rFonts w:ascii="Times New Roman" w:eastAsia="Times New Roman" w:hAnsi="Times New Roman" w:cs="Times New Roman"/>
          <w:sz w:val="24"/>
          <w:szCs w:val="24"/>
          <w:lang w:eastAsia="bg-BG"/>
        </w:rPr>
        <w:t>има значим принос и видимост в международното сътрудничество по демографски въпроси в сферата на приоритетите на страната и компетентност на Фонда на ООН за населението. МВнР допринася за развитие и обогатяване на сътрудничеството с Фонда на ООН за население по приоритетни за България и Фонда въпроси като демография, равни възможности, сексуално и репродуктивно здраве, подобряване на диалога и взаимодействието в национален, регионален и глобален план в контекста на  устойчивото развитие и посланията от Кайро</w:t>
      </w:r>
      <w:r w:rsidRPr="006C13DF">
        <w:rPr>
          <w:rFonts w:ascii="Times New Roman" w:eastAsia="Times New Roman" w:hAnsi="Times New Roman" w:cs="Times New Roman"/>
          <w:sz w:val="24"/>
          <w:szCs w:val="24"/>
          <w:lang w:val="en-US" w:eastAsia="bg-BG"/>
        </w:rPr>
        <w:t xml:space="preserve">, </w:t>
      </w:r>
      <w:r w:rsidRPr="006C13DF">
        <w:rPr>
          <w:rFonts w:ascii="Times New Roman" w:eastAsia="Times New Roman" w:hAnsi="Times New Roman" w:cs="Times New Roman"/>
          <w:sz w:val="24"/>
          <w:szCs w:val="24"/>
          <w:lang w:eastAsia="bg-BG"/>
        </w:rPr>
        <w:t>Найроби, София, Дака (ICPD).</w:t>
      </w:r>
    </w:p>
    <w:p w14:paraId="2178DA5D"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През 2023 г. България е съорганизатор на Сегмента на високо равнище</w:t>
      </w:r>
      <w:r w:rsidRPr="006C13DF">
        <w:rPr>
          <w:rFonts w:ascii="Times New Roman" w:eastAsia="Times New Roman" w:hAnsi="Times New Roman" w:cs="Times New Roman"/>
          <w:sz w:val="24"/>
          <w:szCs w:val="24"/>
          <w:lang w:val="en-US" w:eastAsia="bg-BG"/>
        </w:rPr>
        <w:t xml:space="preserve"> </w:t>
      </w:r>
      <w:r w:rsidRPr="006C13DF">
        <w:rPr>
          <w:rFonts w:ascii="Times New Roman" w:eastAsia="Times New Roman" w:hAnsi="Times New Roman" w:cs="Times New Roman"/>
          <w:sz w:val="24"/>
          <w:szCs w:val="24"/>
          <w:lang w:eastAsia="bg-BG"/>
        </w:rPr>
        <w:t xml:space="preserve">на 78 сесия на ОС на ООН относно отбелязването на 30-годишнината от Конференцията по населението и развитието и Програмата за действие от Кайро 1994 г., организирано от България и Фонда на ООН за населението на тема: “ICPD30: </w:t>
      </w:r>
      <w:r w:rsidRPr="006C13DF">
        <w:rPr>
          <w:rFonts w:ascii="Times New Roman" w:eastAsia="Times New Roman" w:hAnsi="Times New Roman" w:cs="Times New Roman"/>
          <w:sz w:val="24"/>
          <w:szCs w:val="24"/>
          <w:lang w:val="en-US" w:eastAsia="bg-BG"/>
        </w:rPr>
        <w:t>“</w:t>
      </w:r>
      <w:proofErr w:type="spellStart"/>
      <w:r w:rsidRPr="006C13DF">
        <w:rPr>
          <w:rFonts w:ascii="Times New Roman" w:eastAsia="Times New Roman" w:hAnsi="Times New Roman" w:cs="Times New Roman"/>
          <w:sz w:val="24"/>
          <w:szCs w:val="24"/>
          <w:lang w:eastAsia="bg-BG"/>
        </w:rPr>
        <w:t>Celebrating</w:t>
      </w:r>
      <w:proofErr w:type="spellEnd"/>
      <w:r w:rsidRPr="006C13DF">
        <w:rPr>
          <w:rFonts w:ascii="Times New Roman" w:eastAsia="Times New Roman" w:hAnsi="Times New Roman" w:cs="Times New Roman"/>
          <w:sz w:val="24"/>
          <w:szCs w:val="24"/>
          <w:lang w:eastAsia="bg-BG"/>
        </w:rPr>
        <w:t xml:space="preserve"> </w:t>
      </w:r>
      <w:proofErr w:type="spellStart"/>
      <w:r w:rsidRPr="006C13DF">
        <w:rPr>
          <w:rFonts w:ascii="Times New Roman" w:eastAsia="Times New Roman" w:hAnsi="Times New Roman" w:cs="Times New Roman"/>
          <w:sz w:val="24"/>
          <w:szCs w:val="24"/>
          <w:lang w:eastAsia="bg-BG"/>
        </w:rPr>
        <w:t>milestones</w:t>
      </w:r>
      <w:proofErr w:type="spellEnd"/>
      <w:r w:rsidRPr="006C13DF">
        <w:rPr>
          <w:rFonts w:ascii="Times New Roman" w:eastAsia="Times New Roman" w:hAnsi="Times New Roman" w:cs="Times New Roman"/>
          <w:sz w:val="24"/>
          <w:szCs w:val="24"/>
          <w:lang w:eastAsia="bg-BG"/>
        </w:rPr>
        <w:t xml:space="preserve">, </w:t>
      </w:r>
      <w:proofErr w:type="spellStart"/>
      <w:r w:rsidRPr="006C13DF">
        <w:rPr>
          <w:rFonts w:ascii="Times New Roman" w:eastAsia="Times New Roman" w:hAnsi="Times New Roman" w:cs="Times New Roman"/>
          <w:sz w:val="24"/>
          <w:szCs w:val="24"/>
          <w:lang w:eastAsia="bg-BG"/>
        </w:rPr>
        <w:t>inspiring</w:t>
      </w:r>
      <w:proofErr w:type="spellEnd"/>
      <w:r w:rsidRPr="006C13DF">
        <w:rPr>
          <w:rFonts w:ascii="Times New Roman" w:eastAsia="Times New Roman" w:hAnsi="Times New Roman" w:cs="Times New Roman"/>
          <w:sz w:val="24"/>
          <w:szCs w:val="24"/>
          <w:lang w:eastAsia="bg-BG"/>
        </w:rPr>
        <w:t xml:space="preserve"> </w:t>
      </w:r>
      <w:proofErr w:type="spellStart"/>
      <w:r w:rsidRPr="006C13DF">
        <w:rPr>
          <w:rFonts w:ascii="Times New Roman" w:eastAsia="Times New Roman" w:hAnsi="Times New Roman" w:cs="Times New Roman"/>
          <w:sz w:val="24"/>
          <w:szCs w:val="24"/>
          <w:lang w:eastAsia="bg-BG"/>
        </w:rPr>
        <w:t>action</w:t>
      </w:r>
      <w:proofErr w:type="spellEnd"/>
      <w:r w:rsidRPr="006C13DF">
        <w:rPr>
          <w:rFonts w:ascii="Times New Roman" w:eastAsia="Times New Roman" w:hAnsi="Times New Roman" w:cs="Times New Roman"/>
          <w:sz w:val="24"/>
          <w:szCs w:val="24"/>
          <w:lang w:eastAsia="bg-BG"/>
        </w:rPr>
        <w:t>“.</w:t>
      </w:r>
    </w:p>
    <w:p w14:paraId="345DD3B0" w14:textId="77777777" w:rsidR="00A276A8" w:rsidRPr="006C13DF" w:rsidRDefault="00A276A8"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По покана на Фонда</w:t>
      </w:r>
      <w:r w:rsidRPr="006C13DF">
        <w:rPr>
          <w:rFonts w:ascii="Times New Roman" w:eastAsia="Times New Roman" w:hAnsi="Times New Roman" w:cs="Times New Roman"/>
          <w:sz w:val="24"/>
          <w:szCs w:val="24"/>
          <w:lang w:val="en-US" w:eastAsia="bg-BG"/>
        </w:rPr>
        <w:t xml:space="preserve"> </w:t>
      </w:r>
      <w:r w:rsidR="001D2C9E" w:rsidRPr="006C13DF">
        <w:rPr>
          <w:rFonts w:ascii="Times New Roman" w:eastAsia="Times New Roman" w:hAnsi="Times New Roman" w:cs="Times New Roman"/>
          <w:sz w:val="24"/>
          <w:szCs w:val="24"/>
          <w:lang w:eastAsia="bg-BG"/>
        </w:rPr>
        <w:t xml:space="preserve">България </w:t>
      </w:r>
      <w:r w:rsidRPr="006C13DF">
        <w:rPr>
          <w:rFonts w:ascii="Times New Roman" w:eastAsia="Times New Roman" w:hAnsi="Times New Roman" w:cs="Times New Roman"/>
          <w:sz w:val="24"/>
          <w:szCs w:val="24"/>
          <w:lang w:eastAsia="bg-BG"/>
        </w:rPr>
        <w:t xml:space="preserve">е </w:t>
      </w:r>
      <w:proofErr w:type="spellStart"/>
      <w:r w:rsidRPr="006C13DF">
        <w:rPr>
          <w:rFonts w:ascii="Times New Roman" w:eastAsia="Times New Roman" w:hAnsi="Times New Roman" w:cs="Times New Roman"/>
          <w:sz w:val="24"/>
          <w:szCs w:val="24"/>
          <w:lang w:eastAsia="bg-BG"/>
        </w:rPr>
        <w:t>съ</w:t>
      </w:r>
      <w:proofErr w:type="spellEnd"/>
      <w:r w:rsidRPr="006C13DF">
        <w:rPr>
          <w:rFonts w:ascii="Times New Roman" w:eastAsia="Times New Roman" w:hAnsi="Times New Roman" w:cs="Times New Roman"/>
          <w:sz w:val="24"/>
          <w:szCs w:val="24"/>
          <w:lang w:eastAsia="bg-BG"/>
        </w:rPr>
        <w:t>-до</w:t>
      </w:r>
      <w:r w:rsidR="001D2C9E" w:rsidRPr="006C13DF">
        <w:rPr>
          <w:rFonts w:ascii="Times New Roman" w:eastAsia="Times New Roman" w:hAnsi="Times New Roman" w:cs="Times New Roman"/>
          <w:sz w:val="24"/>
          <w:szCs w:val="24"/>
          <w:lang w:eastAsia="bg-BG"/>
        </w:rPr>
        <w:t>макин и на Глобалния диалог по д</w:t>
      </w:r>
      <w:r w:rsidRPr="006C13DF">
        <w:rPr>
          <w:rFonts w:ascii="Times New Roman" w:eastAsia="Times New Roman" w:hAnsi="Times New Roman" w:cs="Times New Roman"/>
          <w:sz w:val="24"/>
          <w:szCs w:val="24"/>
          <w:lang w:eastAsia="bg-BG"/>
        </w:rPr>
        <w:t>емогр</w:t>
      </w:r>
      <w:r w:rsidR="001D2C9E" w:rsidRPr="006C13DF">
        <w:rPr>
          <w:rFonts w:ascii="Times New Roman" w:eastAsia="Times New Roman" w:hAnsi="Times New Roman" w:cs="Times New Roman"/>
          <w:sz w:val="24"/>
          <w:szCs w:val="24"/>
          <w:lang w:eastAsia="bg-BG"/>
        </w:rPr>
        <w:t>афското разнообразие, посветен на 30 години</w:t>
      </w:r>
      <w:r w:rsidRPr="006C13DF">
        <w:rPr>
          <w:rFonts w:ascii="Times New Roman" w:eastAsia="Times New Roman" w:hAnsi="Times New Roman" w:cs="Times New Roman"/>
          <w:sz w:val="24"/>
          <w:szCs w:val="24"/>
          <w:lang w:eastAsia="bg-BG"/>
        </w:rPr>
        <w:t xml:space="preserve"> от Международната конференция по нас</w:t>
      </w:r>
      <w:r w:rsidR="001D2C9E" w:rsidRPr="006C13DF">
        <w:rPr>
          <w:rFonts w:ascii="Times New Roman" w:eastAsia="Times New Roman" w:hAnsi="Times New Roman" w:cs="Times New Roman"/>
          <w:sz w:val="24"/>
          <w:szCs w:val="24"/>
          <w:lang w:eastAsia="bg-BG"/>
        </w:rPr>
        <w:t>еление и развитие Кайро 1994 г. Събитието е проведено</w:t>
      </w:r>
      <w:r w:rsidRPr="006C13DF">
        <w:rPr>
          <w:rFonts w:ascii="Times New Roman" w:eastAsia="Times New Roman" w:hAnsi="Times New Roman" w:cs="Times New Roman"/>
          <w:sz w:val="24"/>
          <w:szCs w:val="24"/>
          <w:lang w:eastAsia="bg-BG"/>
        </w:rPr>
        <w:t xml:space="preserve"> през май 2024 г. в Дака, Бангладеш. </w:t>
      </w:r>
    </w:p>
    <w:p w14:paraId="0E8EDFBB" w14:textId="77777777" w:rsidR="00A276A8" w:rsidRPr="006C13DF" w:rsidRDefault="001D2C9E"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r>
      <w:r w:rsidR="00A276A8" w:rsidRPr="006C13DF">
        <w:rPr>
          <w:rFonts w:ascii="Times New Roman" w:eastAsia="Times New Roman" w:hAnsi="Times New Roman" w:cs="Times New Roman"/>
          <w:sz w:val="24"/>
          <w:szCs w:val="24"/>
          <w:lang w:eastAsia="bg-BG"/>
        </w:rPr>
        <w:t>През отч</w:t>
      </w:r>
      <w:r w:rsidRPr="006C13DF">
        <w:rPr>
          <w:rFonts w:ascii="Times New Roman" w:eastAsia="Times New Roman" w:hAnsi="Times New Roman" w:cs="Times New Roman"/>
          <w:sz w:val="24"/>
          <w:szCs w:val="24"/>
          <w:lang w:eastAsia="bg-BG"/>
        </w:rPr>
        <w:t xml:space="preserve">етния период, МВнР даде принос </w:t>
      </w:r>
      <w:r w:rsidR="00A276A8" w:rsidRPr="006C13DF">
        <w:rPr>
          <w:rFonts w:ascii="Times New Roman" w:eastAsia="Times New Roman" w:hAnsi="Times New Roman" w:cs="Times New Roman"/>
          <w:sz w:val="24"/>
          <w:szCs w:val="24"/>
          <w:lang w:eastAsia="bg-BG"/>
        </w:rPr>
        <w:t xml:space="preserve">за участието на </w:t>
      </w:r>
      <w:r w:rsidRPr="006C13DF">
        <w:rPr>
          <w:rFonts w:ascii="Times New Roman" w:eastAsia="Times New Roman" w:hAnsi="Times New Roman" w:cs="Times New Roman"/>
          <w:sz w:val="24"/>
          <w:szCs w:val="24"/>
          <w:lang w:eastAsia="bg-BG"/>
        </w:rPr>
        <w:t>България</w:t>
      </w:r>
      <w:r w:rsidR="00A276A8" w:rsidRPr="006C13DF">
        <w:rPr>
          <w:rFonts w:ascii="Times New Roman" w:eastAsia="Times New Roman" w:hAnsi="Times New Roman" w:cs="Times New Roman"/>
          <w:sz w:val="24"/>
          <w:szCs w:val="24"/>
          <w:lang w:eastAsia="bg-BG"/>
        </w:rPr>
        <w:t xml:space="preserve"> в 5</w:t>
      </w:r>
      <w:r w:rsidR="00A276A8" w:rsidRPr="006C13DF">
        <w:rPr>
          <w:rFonts w:ascii="Times New Roman" w:eastAsia="Times New Roman" w:hAnsi="Times New Roman" w:cs="Times New Roman"/>
          <w:sz w:val="24"/>
          <w:szCs w:val="24"/>
          <w:lang w:val="en-US" w:eastAsia="bg-BG"/>
        </w:rPr>
        <w:t>6</w:t>
      </w:r>
      <w:r w:rsidRPr="006C13DF">
        <w:rPr>
          <w:rFonts w:ascii="Times New Roman" w:eastAsia="Times New Roman" w:hAnsi="Times New Roman" w:cs="Times New Roman"/>
          <w:sz w:val="24"/>
          <w:szCs w:val="24"/>
          <w:lang w:eastAsia="bg-BG"/>
        </w:rPr>
        <w:t xml:space="preserve">-та </w:t>
      </w:r>
      <w:r w:rsidR="00A276A8" w:rsidRPr="006C13DF">
        <w:rPr>
          <w:rFonts w:ascii="Times New Roman" w:eastAsia="Times New Roman" w:hAnsi="Times New Roman" w:cs="Times New Roman"/>
          <w:sz w:val="24"/>
          <w:szCs w:val="24"/>
          <w:lang w:eastAsia="bg-BG"/>
        </w:rPr>
        <w:t>и 5</w:t>
      </w:r>
      <w:r w:rsidR="00A276A8" w:rsidRPr="006C13DF">
        <w:rPr>
          <w:rFonts w:ascii="Times New Roman" w:eastAsia="Times New Roman" w:hAnsi="Times New Roman" w:cs="Times New Roman"/>
          <w:sz w:val="24"/>
          <w:szCs w:val="24"/>
          <w:lang w:val="en-US" w:eastAsia="bg-BG"/>
        </w:rPr>
        <w:t>7</w:t>
      </w:r>
      <w:r w:rsidRPr="006C13DF">
        <w:rPr>
          <w:rFonts w:ascii="Times New Roman" w:eastAsia="Times New Roman" w:hAnsi="Times New Roman" w:cs="Times New Roman"/>
          <w:sz w:val="24"/>
          <w:szCs w:val="24"/>
          <w:lang w:eastAsia="bg-BG"/>
        </w:rPr>
        <w:t xml:space="preserve">-та сесия на Комисията на ООН </w:t>
      </w:r>
      <w:r w:rsidR="00A276A8" w:rsidRPr="006C13DF">
        <w:rPr>
          <w:rFonts w:ascii="Times New Roman" w:eastAsia="Times New Roman" w:hAnsi="Times New Roman" w:cs="Times New Roman"/>
          <w:sz w:val="24"/>
          <w:szCs w:val="24"/>
          <w:lang w:eastAsia="bg-BG"/>
        </w:rPr>
        <w:t>по население и развитие в Ню Йорк</w:t>
      </w:r>
      <w:r w:rsidR="00A276A8" w:rsidRPr="006C13DF">
        <w:rPr>
          <w:rFonts w:ascii="Times New Roman" w:eastAsia="Times New Roman" w:hAnsi="Times New Roman" w:cs="Times New Roman"/>
          <w:sz w:val="24"/>
          <w:szCs w:val="24"/>
          <w:lang w:val="en-US" w:eastAsia="bg-BG"/>
        </w:rPr>
        <w:t xml:space="preserve">, </w:t>
      </w:r>
      <w:r w:rsidRPr="006C13DF">
        <w:rPr>
          <w:rFonts w:ascii="Times New Roman" w:eastAsia="Times New Roman" w:hAnsi="Times New Roman" w:cs="Times New Roman"/>
          <w:sz w:val="24"/>
          <w:szCs w:val="24"/>
          <w:lang w:eastAsia="bg-BG"/>
        </w:rPr>
        <w:t xml:space="preserve">в работата на Втори комитет на ООН, както и в </w:t>
      </w:r>
      <w:r w:rsidR="00A276A8" w:rsidRPr="006C13DF">
        <w:rPr>
          <w:rFonts w:ascii="Times New Roman" w:eastAsia="Times New Roman" w:hAnsi="Times New Roman" w:cs="Times New Roman"/>
          <w:sz w:val="24"/>
          <w:szCs w:val="24"/>
          <w:lang w:eastAsia="bg-BG"/>
        </w:rPr>
        <w:t>заседан</w:t>
      </w:r>
      <w:r w:rsidRPr="006C13DF">
        <w:rPr>
          <w:rFonts w:ascii="Times New Roman" w:eastAsia="Times New Roman" w:hAnsi="Times New Roman" w:cs="Times New Roman"/>
          <w:sz w:val="24"/>
          <w:szCs w:val="24"/>
          <w:lang w:eastAsia="bg-BG"/>
        </w:rPr>
        <w:t xml:space="preserve">ията на Съвместния изпълнителен съвет </w:t>
      </w:r>
      <w:r w:rsidR="00A276A8" w:rsidRPr="006C13DF">
        <w:rPr>
          <w:rFonts w:ascii="Times New Roman" w:eastAsia="Times New Roman" w:hAnsi="Times New Roman" w:cs="Times New Roman"/>
          <w:sz w:val="24"/>
          <w:szCs w:val="24"/>
          <w:lang w:eastAsia="bg-BG"/>
        </w:rPr>
        <w:t>на Програмата на ООН за развитие, Фонда на ООН по населението и Офиса на ООН за проекти (ПРООН/ФООНН/УНОПС), на които се разглеждат Стратегиче</w:t>
      </w:r>
      <w:r w:rsidRPr="006C13DF">
        <w:rPr>
          <w:rFonts w:ascii="Times New Roman" w:eastAsia="Times New Roman" w:hAnsi="Times New Roman" w:cs="Times New Roman"/>
          <w:sz w:val="24"/>
          <w:szCs w:val="24"/>
          <w:lang w:eastAsia="bg-BG"/>
        </w:rPr>
        <w:t xml:space="preserve">ските планове  за периода 2022 – </w:t>
      </w:r>
      <w:r w:rsidR="00A276A8" w:rsidRPr="006C13DF">
        <w:rPr>
          <w:rFonts w:ascii="Times New Roman" w:eastAsia="Times New Roman" w:hAnsi="Times New Roman" w:cs="Times New Roman"/>
          <w:sz w:val="24"/>
          <w:szCs w:val="24"/>
          <w:lang w:eastAsia="bg-BG"/>
        </w:rPr>
        <w:t xml:space="preserve">2025 г. </w:t>
      </w:r>
      <w:r w:rsidRPr="006C13DF">
        <w:rPr>
          <w:rFonts w:ascii="Times New Roman" w:eastAsia="Times New Roman" w:hAnsi="Times New Roman" w:cs="Times New Roman"/>
          <w:sz w:val="24"/>
          <w:szCs w:val="24"/>
          <w:lang w:eastAsia="bg-BG"/>
        </w:rPr>
        <w:t xml:space="preserve">и актуални въпроси, свързани с </w:t>
      </w:r>
      <w:r w:rsidR="00A276A8" w:rsidRPr="006C13DF">
        <w:rPr>
          <w:rFonts w:ascii="Times New Roman" w:eastAsia="Times New Roman" w:hAnsi="Times New Roman" w:cs="Times New Roman"/>
          <w:sz w:val="24"/>
          <w:szCs w:val="24"/>
          <w:lang w:eastAsia="bg-BG"/>
        </w:rPr>
        <w:t>населението и разви</w:t>
      </w:r>
      <w:r w:rsidRPr="006C13DF">
        <w:rPr>
          <w:rFonts w:ascii="Times New Roman" w:eastAsia="Times New Roman" w:hAnsi="Times New Roman" w:cs="Times New Roman"/>
          <w:sz w:val="24"/>
          <w:szCs w:val="24"/>
          <w:lang w:eastAsia="bg-BG"/>
        </w:rPr>
        <w:t xml:space="preserve">тието в изпълнение на ДРР2030. </w:t>
      </w:r>
    </w:p>
    <w:p w14:paraId="1A29C5C7" w14:textId="77777777" w:rsidR="00EB2DEE" w:rsidRPr="006C13DF" w:rsidRDefault="001D2C9E" w:rsidP="00A276A8">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r>
      <w:r w:rsidR="00A276A8" w:rsidRPr="006C13DF">
        <w:rPr>
          <w:rFonts w:ascii="Times New Roman" w:eastAsia="Times New Roman" w:hAnsi="Times New Roman" w:cs="Times New Roman"/>
          <w:sz w:val="24"/>
          <w:szCs w:val="24"/>
          <w:lang w:eastAsia="bg-BG"/>
        </w:rPr>
        <w:t>МВнР реализира участието на национална делегация за Политическия форум на високо равнище по устойчиво развитие, HLPF2024, Ню Йорк, с участието на делегати от ПП-Ню Йорк и от столицата, в контекста на подготовката за представянето на Втория Доброволен Национален преглед на Р</w:t>
      </w:r>
      <w:r w:rsidRPr="006C13DF">
        <w:rPr>
          <w:rFonts w:ascii="Times New Roman" w:eastAsia="Times New Roman" w:hAnsi="Times New Roman" w:cs="Times New Roman"/>
          <w:sz w:val="24"/>
          <w:szCs w:val="24"/>
          <w:lang w:eastAsia="bg-BG"/>
        </w:rPr>
        <w:t>епублика</w:t>
      </w:r>
      <w:r w:rsidR="00A276A8" w:rsidRPr="006C13DF">
        <w:rPr>
          <w:rFonts w:ascii="Times New Roman" w:eastAsia="Times New Roman" w:hAnsi="Times New Roman" w:cs="Times New Roman"/>
          <w:sz w:val="24"/>
          <w:szCs w:val="24"/>
          <w:lang w:eastAsia="bg-BG"/>
        </w:rPr>
        <w:t xml:space="preserve"> България за изпълнението на ЦУР.</w:t>
      </w:r>
    </w:p>
    <w:p w14:paraId="4F9529A6" w14:textId="77777777" w:rsidR="001D2C9E" w:rsidRPr="006C13DF" w:rsidRDefault="001D2C9E" w:rsidP="00A276A8">
      <w:pPr>
        <w:spacing w:after="0" w:line="240" w:lineRule="auto"/>
        <w:jc w:val="both"/>
        <w:rPr>
          <w:rFonts w:ascii="Times New Roman" w:eastAsia="Times New Roman" w:hAnsi="Times New Roman" w:cs="Times New Roman"/>
          <w:sz w:val="24"/>
          <w:szCs w:val="24"/>
          <w:lang w:eastAsia="bg-BG"/>
        </w:rPr>
      </w:pPr>
    </w:p>
    <w:p w14:paraId="286BB4A6" w14:textId="77777777" w:rsidR="001D2C9E" w:rsidRPr="006C13DF" w:rsidRDefault="001D2C9E" w:rsidP="001D2C9E">
      <w:pPr>
        <w:spacing w:after="0" w:line="240" w:lineRule="auto"/>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МИНИСТЕРСТВО НА ВЪНШНИТЕ РАБОТИ</w:t>
      </w:r>
    </w:p>
    <w:p w14:paraId="46FE1AFF" w14:textId="77777777" w:rsidR="001D2C9E" w:rsidRPr="006C13DF" w:rsidRDefault="001D2C9E" w:rsidP="00A276A8">
      <w:pPr>
        <w:spacing w:after="0" w:line="240" w:lineRule="auto"/>
        <w:jc w:val="both"/>
        <w:rPr>
          <w:rFonts w:ascii="Times New Roman" w:eastAsia="Times New Roman" w:hAnsi="Times New Roman" w:cs="Times New Roman"/>
          <w:sz w:val="24"/>
          <w:szCs w:val="24"/>
          <w:lang w:eastAsia="bg-BG"/>
        </w:rPr>
      </w:pPr>
    </w:p>
    <w:p w14:paraId="1D5E888C" w14:textId="77777777" w:rsidR="001D2C9E" w:rsidRPr="006C13DF" w:rsidRDefault="001D2C9E" w:rsidP="001D2C9E">
      <w:pPr>
        <w:spacing w:after="0" w:line="240" w:lineRule="auto"/>
        <w:jc w:val="both"/>
        <w:rPr>
          <w:rFonts w:ascii="Times New Roman" w:eastAsia="Times New Roman" w:hAnsi="Times New Roman" w:cs="Times New Roman"/>
          <w:b/>
          <w:sz w:val="24"/>
          <w:szCs w:val="24"/>
          <w:lang w:eastAsia="bg-BG"/>
        </w:rPr>
      </w:pPr>
      <w:r w:rsidRPr="006C13DF">
        <w:rPr>
          <w:rFonts w:ascii="Times New Roman" w:eastAsia="Times New Roman" w:hAnsi="Times New Roman" w:cs="Times New Roman"/>
          <w:b/>
          <w:bCs/>
          <w:sz w:val="24"/>
          <w:szCs w:val="24"/>
          <w:lang w:eastAsia="bg-BG"/>
        </w:rPr>
        <w:lastRenderedPageBreak/>
        <w:t>4.1.3.</w:t>
      </w:r>
      <w:r w:rsidRPr="006C13DF">
        <w:rPr>
          <w:rFonts w:ascii="Times New Roman" w:eastAsia="Times New Roman" w:hAnsi="Times New Roman" w:cs="Times New Roman"/>
          <w:b/>
          <w:sz w:val="24"/>
          <w:szCs w:val="24"/>
          <w:lang w:eastAsia="bg-BG"/>
        </w:rPr>
        <w:t> Оказване на съдействие по компетентност на МВнР за национално участие в събития и инициативи на ООН и предоставяне на актуална информация относно Целите на ООН за устойчиво развитие и Дневен ред 2030 по въпроси, свързани с изпълнението  на Националната стратегия за активен живот на възрастните хора в България (2019-2030 г.)</w:t>
      </w:r>
    </w:p>
    <w:p w14:paraId="4EA92984" w14:textId="77777777" w:rsidR="001D2C9E" w:rsidRPr="006C13DF" w:rsidRDefault="001D2C9E" w:rsidP="001D2C9E">
      <w:pPr>
        <w:spacing w:after="0" w:line="240" w:lineRule="auto"/>
        <w:jc w:val="both"/>
        <w:rPr>
          <w:rFonts w:ascii="Times New Roman" w:eastAsia="Times New Roman" w:hAnsi="Times New Roman" w:cs="Times New Roman"/>
          <w:sz w:val="24"/>
          <w:szCs w:val="24"/>
          <w:lang w:eastAsia="bg-BG"/>
        </w:rPr>
      </w:pPr>
    </w:p>
    <w:p w14:paraId="4AAA91CE" w14:textId="77777777" w:rsidR="001D2C9E" w:rsidRPr="006C13DF" w:rsidRDefault="001D2C9E" w:rsidP="001D2C9E">
      <w:pPr>
        <w:spacing w:after="0" w:line="240" w:lineRule="auto"/>
        <w:jc w:val="both"/>
        <w:rPr>
          <w:rFonts w:ascii="Times New Roman" w:eastAsia="Times New Roman" w:hAnsi="Times New Roman" w:cs="Times New Roman"/>
          <w:sz w:val="24"/>
          <w:szCs w:val="24"/>
          <w:lang w:eastAsia="bg-BG"/>
        </w:rPr>
      </w:pPr>
      <w:r w:rsidRPr="006C13DF">
        <w:rPr>
          <w:rFonts w:ascii="Times New Roman" w:eastAsia="Times New Roman" w:hAnsi="Times New Roman" w:cs="Times New Roman"/>
          <w:sz w:val="24"/>
          <w:szCs w:val="24"/>
          <w:lang w:eastAsia="bg-BG"/>
        </w:rPr>
        <w:tab/>
        <w:t xml:space="preserve">През периода 2023 – 2024 г. МВнР оказва текущо съдействие по компетентност за осъществяване на българско участие в събития и инициативи на ООН и предоставяне на актуална информация на заинтересованите страни относно Целите на ООН за устойчиво развитие и Дневен ред 2030 по </w:t>
      </w:r>
      <w:r w:rsidR="00541737" w:rsidRPr="006C13DF">
        <w:rPr>
          <w:rFonts w:ascii="Times New Roman" w:eastAsia="Times New Roman" w:hAnsi="Times New Roman" w:cs="Times New Roman"/>
          <w:sz w:val="24"/>
          <w:szCs w:val="24"/>
          <w:lang w:eastAsia="bg-BG"/>
        </w:rPr>
        <w:t>теми</w:t>
      </w:r>
      <w:r w:rsidRPr="006C13DF">
        <w:rPr>
          <w:rFonts w:ascii="Times New Roman" w:eastAsia="Times New Roman" w:hAnsi="Times New Roman" w:cs="Times New Roman"/>
          <w:sz w:val="24"/>
          <w:szCs w:val="24"/>
          <w:lang w:eastAsia="bg-BG"/>
        </w:rPr>
        <w:t xml:space="preserve">, свързани с демографията като хоризонтален въпрос, в контекста на устойчивото развитие. </w:t>
      </w:r>
    </w:p>
    <w:p w14:paraId="0CA87869" w14:textId="77777777" w:rsidR="001D2C9E" w:rsidRPr="006C13DF" w:rsidRDefault="001D2C9E" w:rsidP="008B5C48">
      <w:pPr>
        <w:spacing w:after="0" w:line="240" w:lineRule="auto"/>
        <w:jc w:val="both"/>
        <w:rPr>
          <w:rFonts w:ascii="Times New Roman" w:hAnsi="Times New Roman" w:cs="Times New Roman"/>
          <w:sz w:val="24"/>
          <w:szCs w:val="24"/>
        </w:rPr>
      </w:pPr>
    </w:p>
    <w:p w14:paraId="36200F30" w14:textId="77777777" w:rsidR="008B5C48" w:rsidRPr="006C13DF" w:rsidRDefault="008B5C48" w:rsidP="008B5C48">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BE453"/>
        <w:tblLook w:val="04A0" w:firstRow="1" w:lastRow="0" w:firstColumn="1" w:lastColumn="0" w:noHBand="0" w:noVBand="1"/>
      </w:tblPr>
      <w:tblGrid>
        <w:gridCol w:w="9060"/>
      </w:tblGrid>
      <w:tr w:rsidR="00EB2DEE" w:rsidRPr="006C13DF" w14:paraId="4703B2AC" w14:textId="77777777" w:rsidTr="00E655FD">
        <w:tc>
          <w:tcPr>
            <w:tcW w:w="9060" w:type="dxa"/>
            <w:shd w:val="clear" w:color="auto" w:fill="EBE453"/>
          </w:tcPr>
          <w:p w14:paraId="06F38360" w14:textId="77777777" w:rsidR="00EB2DEE" w:rsidRPr="006C13DF" w:rsidRDefault="00EB2DEE" w:rsidP="00E655FD">
            <w:pPr>
              <w:jc w:val="both"/>
              <w:rPr>
                <w:rFonts w:ascii="Times New Roman" w:hAnsi="Times New Roman" w:cs="Times New Roman"/>
                <w:b/>
                <w:sz w:val="28"/>
                <w:szCs w:val="28"/>
              </w:rPr>
            </w:pPr>
            <w:r w:rsidRPr="006C13DF">
              <w:rPr>
                <w:rFonts w:ascii="Times New Roman" w:hAnsi="Times New Roman" w:cs="Times New Roman"/>
                <w:b/>
                <w:sz w:val="28"/>
                <w:szCs w:val="28"/>
              </w:rPr>
              <w:t>4.3. Непрекъснато актуализиране на политиките за възрастните хора на местно, областно и национално ниво</w:t>
            </w:r>
          </w:p>
        </w:tc>
      </w:tr>
    </w:tbl>
    <w:p w14:paraId="73EA3E2F" w14:textId="77777777" w:rsidR="000F58ED" w:rsidRPr="006C13DF" w:rsidRDefault="000F58ED" w:rsidP="00E91E47">
      <w:pPr>
        <w:pStyle w:val="ListParagraph"/>
        <w:spacing w:after="0" w:line="240" w:lineRule="auto"/>
        <w:ind w:left="0"/>
        <w:rPr>
          <w:rFonts w:ascii="Times New Roman" w:eastAsia="Calibri" w:hAnsi="Times New Roman" w:cs="Times New Roman"/>
          <w:b/>
          <w:color w:val="C0504D"/>
          <w:sz w:val="24"/>
          <w:szCs w:val="24"/>
        </w:rPr>
      </w:pPr>
    </w:p>
    <w:p w14:paraId="7C6078C6" w14:textId="77777777" w:rsidR="000F58ED" w:rsidRPr="006C13DF" w:rsidRDefault="000F58ED" w:rsidP="000F58ED">
      <w:pPr>
        <w:pStyle w:val="ListParagraph"/>
        <w:spacing w:after="0" w:line="240" w:lineRule="auto"/>
        <w:ind w:left="0"/>
        <w:jc w:val="center"/>
        <w:rPr>
          <w:rFonts w:ascii="Times New Roman" w:eastAsia="Calibri" w:hAnsi="Times New Roman" w:cs="Times New Roman"/>
          <w:b/>
          <w:color w:val="C0504D"/>
          <w:sz w:val="24"/>
          <w:szCs w:val="24"/>
        </w:rPr>
      </w:pPr>
      <w:r w:rsidRPr="006C13DF">
        <w:rPr>
          <w:rFonts w:ascii="Times New Roman" w:eastAsia="Calibri" w:hAnsi="Times New Roman" w:cs="Times New Roman"/>
          <w:b/>
          <w:color w:val="C0504D"/>
          <w:sz w:val="24"/>
          <w:szCs w:val="24"/>
        </w:rPr>
        <w:t xml:space="preserve">МИНИСТЕРСТВО НА МЛАДЕЖТА И СПОРТА </w:t>
      </w:r>
    </w:p>
    <w:p w14:paraId="1C062CC2" w14:textId="77777777" w:rsidR="000F58ED" w:rsidRPr="006C13DF" w:rsidRDefault="000F58ED" w:rsidP="000F58ED">
      <w:pPr>
        <w:pStyle w:val="ListParagraph"/>
        <w:spacing w:after="0" w:line="240" w:lineRule="auto"/>
        <w:ind w:left="0"/>
        <w:rPr>
          <w:rFonts w:ascii="Times New Roman" w:hAnsi="Times New Roman" w:cs="Times New Roman"/>
          <w:b/>
        </w:rPr>
      </w:pPr>
    </w:p>
    <w:p w14:paraId="33EFC673" w14:textId="77777777" w:rsidR="000F58ED" w:rsidRPr="006C13DF" w:rsidRDefault="008B5C48" w:rsidP="000F58ED">
      <w:pPr>
        <w:pStyle w:val="ListParagraph"/>
        <w:spacing w:after="0" w:line="240" w:lineRule="auto"/>
        <w:ind w:left="0"/>
        <w:jc w:val="both"/>
        <w:rPr>
          <w:rFonts w:ascii="Times New Roman" w:hAnsi="Times New Roman" w:cs="Times New Roman"/>
          <w:b/>
          <w:sz w:val="24"/>
          <w:szCs w:val="24"/>
        </w:rPr>
      </w:pPr>
      <w:r w:rsidRPr="006C13DF">
        <w:rPr>
          <w:rFonts w:ascii="Times New Roman" w:hAnsi="Times New Roman" w:cs="Times New Roman"/>
          <w:b/>
          <w:sz w:val="24"/>
          <w:szCs w:val="24"/>
        </w:rPr>
        <w:t>4.3.1. Осигуряване на условия и възможности за хора от различни групи на населението да бъдат физически активни и да практикуват физически упражнения, спорт и спортно-туристическа дейност, както и за изява, развитие и реализиране на лични спортни резултати, чрез участие в тренировъчна и състезателна дейност:</w:t>
      </w:r>
      <w:r w:rsidR="000F58ED" w:rsidRPr="006C13DF">
        <w:rPr>
          <w:rFonts w:ascii="Times New Roman" w:hAnsi="Times New Roman" w:cs="Times New Roman"/>
          <w:b/>
          <w:sz w:val="24"/>
          <w:szCs w:val="24"/>
        </w:rPr>
        <w:t xml:space="preserve"> и</w:t>
      </w:r>
      <w:r w:rsidRPr="006C13DF">
        <w:rPr>
          <w:rFonts w:ascii="Times New Roman" w:hAnsi="Times New Roman" w:cs="Times New Roman"/>
          <w:b/>
          <w:sz w:val="24"/>
          <w:szCs w:val="24"/>
        </w:rPr>
        <w:t xml:space="preserve">зпълнение на проект от „Българска мастърс федерация“ </w:t>
      </w:r>
      <w:r w:rsidR="000F58ED" w:rsidRPr="006C13DF">
        <w:rPr>
          <w:rFonts w:ascii="Times New Roman" w:hAnsi="Times New Roman" w:cs="Times New Roman"/>
          <w:b/>
          <w:sz w:val="24"/>
          <w:szCs w:val="24"/>
        </w:rPr>
        <w:t>и и</w:t>
      </w:r>
      <w:r w:rsidRPr="006C13DF">
        <w:rPr>
          <w:rFonts w:ascii="Times New Roman" w:hAnsi="Times New Roman" w:cs="Times New Roman"/>
          <w:b/>
          <w:sz w:val="24"/>
          <w:szCs w:val="24"/>
        </w:rPr>
        <w:t>зпълнение на проект от „Бълга</w:t>
      </w:r>
      <w:r w:rsidR="000F58ED" w:rsidRPr="006C13DF">
        <w:rPr>
          <w:rFonts w:ascii="Times New Roman" w:hAnsi="Times New Roman" w:cs="Times New Roman"/>
          <w:b/>
          <w:sz w:val="24"/>
          <w:szCs w:val="24"/>
        </w:rPr>
        <w:t>рска федерация спорт за всички“</w:t>
      </w:r>
    </w:p>
    <w:p w14:paraId="109CF78E" w14:textId="77777777" w:rsidR="000F58ED" w:rsidRPr="006C13DF" w:rsidRDefault="000F58ED" w:rsidP="000F58ED">
      <w:pPr>
        <w:pStyle w:val="ListParagraph"/>
        <w:spacing w:after="0" w:line="240" w:lineRule="auto"/>
        <w:ind w:left="0"/>
        <w:jc w:val="both"/>
        <w:rPr>
          <w:rFonts w:ascii="Times New Roman" w:hAnsi="Times New Roman" w:cs="Times New Roman"/>
          <w:b/>
          <w:sz w:val="24"/>
          <w:szCs w:val="24"/>
        </w:rPr>
      </w:pPr>
    </w:p>
    <w:p w14:paraId="70D1CAE4" w14:textId="77777777" w:rsidR="000F58ED" w:rsidRPr="006C13DF" w:rsidRDefault="000F58ED" w:rsidP="000F58ED">
      <w:pPr>
        <w:spacing w:after="0" w:line="240" w:lineRule="auto"/>
        <w:jc w:val="both"/>
        <w:rPr>
          <w:rFonts w:ascii="Times New Roman" w:hAnsi="Times New Roman" w:cs="Times New Roman"/>
          <w:sz w:val="24"/>
          <w:szCs w:val="24"/>
        </w:rPr>
      </w:pPr>
      <w:r w:rsidRPr="006C13DF">
        <w:rPr>
          <w:rFonts w:ascii="Times New Roman" w:eastAsiaTheme="minorEastAsia" w:hAnsi="Times New Roman" w:cs="Times New Roman"/>
          <w:b/>
          <w:sz w:val="24"/>
          <w:szCs w:val="24"/>
        </w:rPr>
        <w:tab/>
      </w:r>
      <w:r w:rsidRPr="006C13DF">
        <w:rPr>
          <w:rFonts w:ascii="Times New Roman" w:hAnsi="Times New Roman" w:cs="Times New Roman"/>
          <w:sz w:val="24"/>
          <w:szCs w:val="24"/>
        </w:rPr>
        <w:t>Един от приоритетите на Министерството на младежта и спорта (ММС) е насочен към развитие и насърчаване на физическата активност и практикуването на спорт от различни групи на населението, в съответствие с целите и мерките, предвидени в Приоритет 12 „Здраве и спорт“ от Национална програма за развитие – България 2030</w:t>
      </w:r>
      <w:r w:rsidRPr="006C13DF">
        <w:rPr>
          <w:rFonts w:ascii="Times New Roman" w:hAnsi="Times New Roman" w:cs="Times New Roman"/>
          <w:sz w:val="24"/>
          <w:szCs w:val="24"/>
          <w:lang w:val="en-US"/>
        </w:rPr>
        <w:t xml:space="preserve"> </w:t>
      </w:r>
      <w:r w:rsidRPr="006C13DF">
        <w:rPr>
          <w:rFonts w:ascii="Times New Roman" w:hAnsi="Times New Roman" w:cs="Times New Roman"/>
          <w:sz w:val="24"/>
          <w:szCs w:val="24"/>
        </w:rPr>
        <w:t>и Плана за действие за изпълнението на Националната програма за развитие България  2030 през периода 2022 – 2024 г.</w:t>
      </w:r>
    </w:p>
    <w:p w14:paraId="3B617188" w14:textId="77777777" w:rsidR="000F58ED" w:rsidRPr="006C13DF" w:rsidRDefault="000F58ED" w:rsidP="000F58ED">
      <w:pPr>
        <w:spacing w:after="0"/>
        <w:jc w:val="both"/>
        <w:rPr>
          <w:rFonts w:ascii="Times New Roman" w:hAnsi="Times New Roman" w:cs="Times New Roman"/>
          <w:sz w:val="24"/>
          <w:szCs w:val="24"/>
        </w:rPr>
      </w:pPr>
      <w:r w:rsidRPr="006C13DF">
        <w:rPr>
          <w:rFonts w:ascii="Times New Roman" w:hAnsi="Times New Roman" w:cs="Times New Roman"/>
          <w:sz w:val="24"/>
          <w:szCs w:val="24"/>
        </w:rPr>
        <w:tab/>
        <w:t xml:space="preserve">Програмата е съобразена и с действащата нормативна уредба в областта на спорта, с националните традиции и със съществуващите социално-икономически условия с цел  създаване на предпоставки и условия за положителна промяна на съществуващата ниска и недостатъчна физическа активност на населението и нездравословния начин на живот чрез практикуването на физически упражнения и спорт, приобщаване към здравословна физическа активност на представители на различните социални групи от населението, независимо дали целта е укрепване на здравето, активния отдих в свободното време или подобряване на личните постижения в областта на спорта.                                                                                               </w:t>
      </w:r>
    </w:p>
    <w:p w14:paraId="244D4D0B" w14:textId="77777777" w:rsidR="000F58ED" w:rsidRPr="006C13DF" w:rsidRDefault="000F58ED" w:rsidP="000F58ED">
      <w:pPr>
        <w:spacing w:after="0"/>
        <w:jc w:val="both"/>
        <w:rPr>
          <w:rFonts w:ascii="Times New Roman" w:hAnsi="Times New Roman" w:cs="Times New Roman"/>
          <w:sz w:val="24"/>
          <w:szCs w:val="24"/>
        </w:rPr>
      </w:pPr>
      <w:r w:rsidRPr="006C13DF">
        <w:rPr>
          <w:rFonts w:ascii="Times New Roman" w:hAnsi="Times New Roman" w:cs="Times New Roman"/>
          <w:sz w:val="24"/>
          <w:szCs w:val="24"/>
        </w:rPr>
        <w:tab/>
        <w:t>През 2023 г. и 2024 г. ММС успешно реализира „Програма за развитие на спорта за всички“. Програмата предоставя възможности на спортни федерации, развиващи спорта за всички да получават финансово подпомагане за съответната година за изпълнение на дейности, свързани с осигуряване на възможности на граждани от различни групи от населението, независимо от тяхната възраст, пол, социално положение, в т.ч. възрастни хора и ветерани спортисти или любители на спорта, за участие в спортни прояви от държавен (ДСК) и международен спортен календар (МСК) като спортни състезания, прегледи, масови спортни прояви и други спортни дейности по различни видове спорт, организирани и провеждани от спортните федерации.</w:t>
      </w:r>
    </w:p>
    <w:p w14:paraId="44916248" w14:textId="77777777" w:rsidR="000F58ED" w:rsidRPr="006C13DF" w:rsidRDefault="000F58ED" w:rsidP="000F58ED">
      <w:pPr>
        <w:spacing w:after="0" w:line="240" w:lineRule="auto"/>
        <w:ind w:firstLine="708"/>
        <w:jc w:val="both"/>
        <w:rPr>
          <w:rFonts w:ascii="Times New Roman" w:hAnsi="Times New Roman" w:cs="Times New Roman"/>
          <w:sz w:val="24"/>
          <w:szCs w:val="24"/>
        </w:rPr>
      </w:pPr>
      <w:r w:rsidRPr="006C13DF">
        <w:rPr>
          <w:rFonts w:ascii="Times New Roman" w:hAnsi="Times New Roman" w:cs="Times New Roman"/>
          <w:sz w:val="24"/>
          <w:szCs w:val="24"/>
        </w:rPr>
        <w:lastRenderedPageBreak/>
        <w:t>Спортните федерации, които организират спортни дейности за повишаване на физическата активност и практикуване на различни спортове от целевата група над трудоспособна възраст и чрез които ММС подпомага такива дейности са Българска мастърс федерация (БМФ) и Българска федерация „Спорт за всички“ (БФСВ).</w:t>
      </w:r>
    </w:p>
    <w:p w14:paraId="18744258" w14:textId="77777777" w:rsidR="000F58ED" w:rsidRPr="006C13DF" w:rsidRDefault="000F58ED" w:rsidP="000F58ED">
      <w:pPr>
        <w:spacing w:after="0" w:line="240" w:lineRule="auto"/>
        <w:ind w:firstLine="708"/>
        <w:jc w:val="both"/>
        <w:rPr>
          <w:rFonts w:ascii="Times New Roman" w:hAnsi="Times New Roman" w:cs="Times New Roman"/>
          <w:sz w:val="24"/>
          <w:szCs w:val="24"/>
        </w:rPr>
      </w:pPr>
      <w:r w:rsidRPr="006C13DF">
        <w:rPr>
          <w:rFonts w:ascii="Times New Roman" w:hAnsi="Times New Roman" w:cs="Times New Roman"/>
          <w:sz w:val="24"/>
          <w:szCs w:val="24"/>
        </w:rPr>
        <w:t xml:space="preserve">През 2023 г. с финансовата подкрепа на ММС в размер на 110 000 лева от </w:t>
      </w:r>
      <w:r w:rsidRPr="006C13DF">
        <w:rPr>
          <w:rFonts w:ascii="Times New Roman" w:hAnsi="Times New Roman" w:cs="Times New Roman"/>
          <w:b/>
          <w:sz w:val="24"/>
          <w:szCs w:val="24"/>
        </w:rPr>
        <w:t>Българска мастърс федерация</w:t>
      </w:r>
      <w:r w:rsidRPr="006C13DF">
        <w:rPr>
          <w:rFonts w:ascii="Times New Roman" w:hAnsi="Times New Roman" w:cs="Times New Roman"/>
          <w:sz w:val="24"/>
          <w:szCs w:val="24"/>
        </w:rPr>
        <w:t xml:space="preserve"> (БМФ) са реализирани 18 спортни прояви от ДСК по следните видове спорт/спортни дисциплини: ски алпийски дисциплини, ски бягане, плуване, планинско бягане, тенис на маса, лека атлетика, бадминтон, бридж, волейбол, лека атлетика (хвърляния), водна топка, мини футбол, кану каяк, вдигане на тежести, с </w:t>
      </w:r>
      <w:r w:rsidRPr="006C13DF">
        <w:rPr>
          <w:rFonts w:ascii="Times New Roman" w:hAnsi="Times New Roman" w:cs="Times New Roman"/>
          <w:sz w:val="24"/>
          <w:szCs w:val="24"/>
        </w:rPr>
        <w:br/>
        <w:t xml:space="preserve">1 886 участници от 29 </w:t>
      </w:r>
      <w:r w:rsidR="00705CA2" w:rsidRPr="006C13DF">
        <w:rPr>
          <w:rFonts w:ascii="Times New Roman" w:hAnsi="Times New Roman" w:cs="Times New Roman"/>
          <w:sz w:val="24"/>
          <w:szCs w:val="24"/>
        </w:rPr>
        <w:t xml:space="preserve">спортни клуба – </w:t>
      </w:r>
      <w:r w:rsidRPr="006C13DF">
        <w:rPr>
          <w:rFonts w:ascii="Times New Roman" w:hAnsi="Times New Roman" w:cs="Times New Roman"/>
          <w:sz w:val="24"/>
          <w:szCs w:val="24"/>
        </w:rPr>
        <w:t xml:space="preserve">членове на БМФ. Взето е участие на ветерани спортисти в 7 спортни прояви от МСК по следните видове спорт/спортни дисциплини: тенис на маса, лека атлетика, бадминтон, гребане, стрелба с лък, със 163 участници от България. </w:t>
      </w:r>
    </w:p>
    <w:p w14:paraId="3F21E9CF" w14:textId="77777777" w:rsidR="000F58ED" w:rsidRPr="006C13DF" w:rsidRDefault="000F58ED" w:rsidP="000F58ED">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През 2024 г. с финансовата подкрепа на ММС в размер на 140 000 лева от Българска мастърс федерация (БМФ) са реализирани 18 спортни прояви от ДСК по следните видове спорт/спортни дисциплини: ски алпийски дисциплини, ски бягане, плуване, планинско бягане, лека атлетика - хвърляния, тенис на маса, мини футбол, лека атлетика, водна топка, бадминтон, кану-каяк, бридж, вдигане на тежести, с 2 543 участници от 29 спортни клуба </w:t>
      </w:r>
      <w:r w:rsidR="00705CA2" w:rsidRPr="006C13DF">
        <w:rPr>
          <w:rFonts w:ascii="Times New Roman" w:hAnsi="Times New Roman" w:cs="Times New Roman"/>
          <w:sz w:val="24"/>
          <w:szCs w:val="24"/>
        </w:rPr>
        <w:t xml:space="preserve">– </w:t>
      </w:r>
      <w:r w:rsidRPr="006C13DF">
        <w:rPr>
          <w:rFonts w:ascii="Times New Roman" w:hAnsi="Times New Roman" w:cs="Times New Roman"/>
          <w:sz w:val="24"/>
          <w:szCs w:val="24"/>
        </w:rPr>
        <w:t>членове на БМФ.  Ветерани спортисти са учас</w:t>
      </w:r>
      <w:r w:rsidR="00705CA2" w:rsidRPr="006C13DF">
        <w:rPr>
          <w:rFonts w:ascii="Times New Roman" w:hAnsi="Times New Roman" w:cs="Times New Roman"/>
          <w:sz w:val="24"/>
          <w:szCs w:val="24"/>
        </w:rPr>
        <w:t>твали в 7 спортни прояви от МСК</w:t>
      </w:r>
      <w:r w:rsidRPr="006C13DF">
        <w:rPr>
          <w:rFonts w:ascii="Times New Roman" w:hAnsi="Times New Roman" w:cs="Times New Roman"/>
          <w:sz w:val="24"/>
          <w:szCs w:val="24"/>
        </w:rPr>
        <w:t xml:space="preserve"> по следните видове спорт/спортни дисциплини: плуване, лека атлетика - на открито, в зала, индивидуален маратон, тенис на маса, световни мастърс игри, включващи в</w:t>
      </w:r>
      <w:r w:rsidR="00705CA2" w:rsidRPr="006C13DF">
        <w:rPr>
          <w:rFonts w:ascii="Times New Roman" w:hAnsi="Times New Roman" w:cs="Times New Roman"/>
          <w:sz w:val="24"/>
          <w:szCs w:val="24"/>
        </w:rPr>
        <w:t>сички видове спорт, с 200</w:t>
      </w:r>
      <w:r w:rsidRPr="006C13DF">
        <w:rPr>
          <w:rFonts w:ascii="Times New Roman" w:hAnsi="Times New Roman" w:cs="Times New Roman"/>
          <w:sz w:val="24"/>
          <w:szCs w:val="24"/>
        </w:rPr>
        <w:t xml:space="preserve"> български участници.</w:t>
      </w:r>
    </w:p>
    <w:p w14:paraId="13137AC0" w14:textId="77777777" w:rsidR="000F58ED" w:rsidRPr="006C13DF" w:rsidRDefault="000F58ED" w:rsidP="00705CA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 xml:space="preserve">През 2023 г. с финансовата подкрепа на ММС в размер на 120 000 лева от </w:t>
      </w:r>
      <w:r w:rsidRPr="006C13DF">
        <w:rPr>
          <w:rFonts w:ascii="Times New Roman" w:hAnsi="Times New Roman" w:cs="Times New Roman"/>
          <w:b/>
          <w:sz w:val="24"/>
          <w:szCs w:val="24"/>
        </w:rPr>
        <w:t>„Българска федерация спорт за всички“</w:t>
      </w:r>
      <w:r w:rsidRPr="006C13DF">
        <w:rPr>
          <w:rFonts w:ascii="Times New Roman" w:hAnsi="Times New Roman" w:cs="Times New Roman"/>
          <w:sz w:val="24"/>
          <w:szCs w:val="24"/>
        </w:rPr>
        <w:t xml:space="preserve"> са реализирани спортни прояви, турнири и масови спортни мероприятия с общо 28 564 участници, в т.ч. хора над 60-годишна възраст.</w:t>
      </w:r>
    </w:p>
    <w:p w14:paraId="6D58D557" w14:textId="77777777" w:rsidR="000F58ED" w:rsidRPr="006C13DF" w:rsidRDefault="000F58ED" w:rsidP="00705CA2">
      <w:pPr>
        <w:spacing w:after="0" w:line="240" w:lineRule="auto"/>
        <w:ind w:firstLine="709"/>
        <w:jc w:val="both"/>
        <w:rPr>
          <w:rFonts w:ascii="Times New Roman" w:hAnsi="Times New Roman" w:cs="Times New Roman"/>
          <w:sz w:val="24"/>
          <w:szCs w:val="24"/>
        </w:rPr>
      </w:pPr>
      <w:r w:rsidRPr="006C13DF">
        <w:rPr>
          <w:rFonts w:ascii="Times New Roman" w:hAnsi="Times New Roman" w:cs="Times New Roman"/>
          <w:sz w:val="24"/>
          <w:szCs w:val="24"/>
        </w:rPr>
        <w:t>През 2024 г. с финансовата подкрепа на ММС в размер на 130 000 лева от „Българска федерация спорт за всички“ са реализирали спортни прояви от ДСК, масови спортни мероприятия с общо 23 315 участници, в т.ч. хора над 60-годишна възраст.</w:t>
      </w:r>
    </w:p>
    <w:p w14:paraId="03FD504A" w14:textId="77777777" w:rsidR="00705CA2" w:rsidRPr="006C13DF" w:rsidRDefault="000F58ED" w:rsidP="00705CA2">
      <w:pPr>
        <w:spacing w:after="0" w:line="240" w:lineRule="auto"/>
        <w:ind w:firstLine="708"/>
        <w:jc w:val="both"/>
        <w:rPr>
          <w:rFonts w:ascii="Times New Roman" w:hAnsi="Times New Roman" w:cs="Times New Roman"/>
          <w:sz w:val="24"/>
          <w:szCs w:val="24"/>
        </w:rPr>
      </w:pPr>
      <w:r w:rsidRPr="006C13DF">
        <w:rPr>
          <w:rFonts w:ascii="Times New Roman" w:hAnsi="Times New Roman" w:cs="Times New Roman"/>
          <w:sz w:val="24"/>
          <w:szCs w:val="24"/>
        </w:rPr>
        <w:t>Всички прояви за 2023</w:t>
      </w:r>
      <w:r w:rsidR="00DC5A1C">
        <w:rPr>
          <w:rFonts w:ascii="Times New Roman" w:hAnsi="Times New Roman" w:cs="Times New Roman"/>
          <w:sz w:val="24"/>
          <w:szCs w:val="24"/>
          <w:lang w:val="en-US"/>
        </w:rPr>
        <w:t xml:space="preserve"> </w:t>
      </w:r>
      <w:r w:rsidR="00DC5A1C" w:rsidRPr="00DC5A1C">
        <w:rPr>
          <w:rFonts w:ascii="Times New Roman" w:hAnsi="Times New Roman" w:cs="Times New Roman"/>
          <w:sz w:val="24"/>
          <w:szCs w:val="24"/>
        </w:rPr>
        <w:t xml:space="preserve">– </w:t>
      </w:r>
      <w:r w:rsidRPr="006C13DF">
        <w:rPr>
          <w:rFonts w:ascii="Times New Roman" w:hAnsi="Times New Roman" w:cs="Times New Roman"/>
          <w:sz w:val="24"/>
          <w:szCs w:val="24"/>
        </w:rPr>
        <w:t>2024 година, включват различни целеви групи, в които няма ограничения по отношение на възрастта и пола, в които се включват голям брой хора над трудоспособна възраст.</w:t>
      </w:r>
    </w:p>
    <w:p w14:paraId="27FDC6BB" w14:textId="77777777" w:rsidR="00705CA2" w:rsidRPr="006C13DF" w:rsidRDefault="00705CA2" w:rsidP="00705CA2">
      <w:pPr>
        <w:spacing w:after="0" w:line="240" w:lineRule="auto"/>
        <w:ind w:firstLine="708"/>
        <w:jc w:val="both"/>
        <w:rPr>
          <w:rFonts w:ascii="Times New Roman" w:hAnsi="Times New Roman" w:cs="Times New Roman"/>
          <w:sz w:val="24"/>
          <w:szCs w:val="24"/>
        </w:rPr>
      </w:pPr>
    </w:p>
    <w:p w14:paraId="4DBDAEFA" w14:textId="77777777" w:rsidR="008B5C48" w:rsidRPr="006C13DF" w:rsidRDefault="008B5C48" w:rsidP="00E91E47">
      <w:pPr>
        <w:pStyle w:val="ListParagraph"/>
        <w:spacing w:after="0" w:line="240" w:lineRule="auto"/>
        <w:ind w:left="0"/>
        <w:rPr>
          <w:rFonts w:ascii="Times New Roman" w:hAnsi="Times New Roman" w:cs="Times New Roman"/>
          <w:b/>
        </w:rPr>
      </w:pPr>
    </w:p>
    <w:p w14:paraId="00EE8BC2" w14:textId="77777777" w:rsidR="006E5C93" w:rsidRPr="006C13DF" w:rsidRDefault="006E5C93" w:rsidP="00EB2DEE">
      <w:pPr>
        <w:spacing w:after="0" w:line="240" w:lineRule="auto"/>
        <w:ind w:firstLine="708"/>
        <w:jc w:val="both"/>
        <w:rPr>
          <w:rFonts w:ascii="Times New Roman" w:hAnsi="Times New Roman" w:cs="Times New Roman"/>
          <w:sz w:val="24"/>
          <w:szCs w:val="24"/>
        </w:rPr>
      </w:pPr>
    </w:p>
    <w:p w14:paraId="5A744A45" w14:textId="77777777" w:rsidR="00EB2DEE" w:rsidRPr="006C13DF" w:rsidRDefault="00EB2DEE" w:rsidP="00E91E47">
      <w:pPr>
        <w:pStyle w:val="ListParagraph"/>
        <w:spacing w:after="0" w:line="240" w:lineRule="auto"/>
        <w:ind w:left="0"/>
        <w:rPr>
          <w:rFonts w:ascii="Times New Roman" w:hAnsi="Times New Roman" w:cs="Times New Roman"/>
          <w:b/>
        </w:rPr>
      </w:pPr>
    </w:p>
    <w:p w14:paraId="3A522D22" w14:textId="77777777" w:rsidR="00535808" w:rsidRPr="006C13DF" w:rsidRDefault="00535808" w:rsidP="005671D6">
      <w:pPr>
        <w:spacing w:after="0" w:line="240" w:lineRule="auto"/>
        <w:ind w:firstLine="708"/>
        <w:jc w:val="both"/>
        <w:rPr>
          <w:rFonts w:ascii="Times New Roman" w:hAnsi="Times New Roman" w:cs="Times New Roman"/>
          <w:sz w:val="24"/>
          <w:szCs w:val="24"/>
        </w:rPr>
      </w:pPr>
    </w:p>
    <w:p w14:paraId="7D9A3E26" w14:textId="77777777" w:rsidR="003C14F5" w:rsidRPr="006C13DF" w:rsidRDefault="003C14F5" w:rsidP="00E91E47">
      <w:pPr>
        <w:pStyle w:val="ListParagraph"/>
        <w:spacing w:after="0" w:line="240" w:lineRule="auto"/>
        <w:ind w:left="0"/>
        <w:jc w:val="center"/>
        <w:rPr>
          <w:rFonts w:ascii="Times New Roman" w:hAnsi="Times New Roman" w:cs="Times New Roman"/>
          <w:b/>
          <w:caps/>
          <w:color w:val="ED7D31" w:themeColor="accent2"/>
        </w:rPr>
      </w:pPr>
    </w:p>
    <w:p w14:paraId="214F3EFA" w14:textId="77777777" w:rsidR="009809AE" w:rsidRPr="006C13DF" w:rsidRDefault="009809AE" w:rsidP="0079155B">
      <w:pPr>
        <w:spacing w:after="0" w:line="240" w:lineRule="auto"/>
        <w:jc w:val="both"/>
        <w:rPr>
          <w:rFonts w:ascii="Times New Roman" w:hAnsi="Times New Roman" w:cs="Times New Roman"/>
          <w:sz w:val="24"/>
          <w:szCs w:val="24"/>
        </w:rPr>
      </w:pPr>
    </w:p>
    <w:sectPr w:rsidR="009809AE" w:rsidRPr="006C13DF" w:rsidSect="00843615">
      <w:footerReference w:type="default" r:id="rId15"/>
      <w:pgSz w:w="11906" w:h="16838"/>
      <w:pgMar w:top="1417" w:right="1133"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06C86" w14:textId="77777777" w:rsidR="00976068" w:rsidRDefault="00976068" w:rsidP="00525C63">
      <w:pPr>
        <w:spacing w:after="0" w:line="240" w:lineRule="auto"/>
      </w:pPr>
      <w:r>
        <w:separator/>
      </w:r>
    </w:p>
  </w:endnote>
  <w:endnote w:type="continuationSeparator" w:id="0">
    <w:p w14:paraId="279FF593" w14:textId="77777777" w:rsidR="00976068" w:rsidRDefault="00976068" w:rsidP="00525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EC Square Sans Pro">
    <w:altName w:val="Arial"/>
    <w:panose1 w:val="00000000000000000000"/>
    <w:charset w:val="CC"/>
    <w:family w:val="swiss"/>
    <w:notTrueType/>
    <w:pitch w:val="default"/>
    <w:sig w:usb0="00000001" w:usb1="00000000" w:usb2="00000000" w:usb3="00000000" w:csb0="00000005" w:csb1="00000000"/>
  </w:font>
  <w:font w:name="IRUSGN+ECSquareSansCondPro-Bold">
    <w:altName w:val="IRUSGN+ECSquareSansCondPro-Bold"/>
    <w:panose1 w:val="00000000000000000000"/>
    <w:charset w:val="CC"/>
    <w:family w:val="swiss"/>
    <w:notTrueType/>
    <w:pitch w:val="default"/>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Μοντέρνα">
    <w:altName w:val="Courier New"/>
    <w:charset w:val="00"/>
    <w:family w:val="auto"/>
    <w:pitch w:val="variable"/>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145808"/>
      <w:docPartObj>
        <w:docPartGallery w:val="Page Numbers (Bottom of Page)"/>
        <w:docPartUnique/>
      </w:docPartObj>
    </w:sdtPr>
    <w:sdtEndPr>
      <w:rPr>
        <w:noProof/>
      </w:rPr>
    </w:sdtEndPr>
    <w:sdtContent>
      <w:p w14:paraId="21C30BAA" w14:textId="77777777" w:rsidR="00B302CF" w:rsidRDefault="00B302CF">
        <w:pPr>
          <w:pStyle w:val="Footer"/>
          <w:jc w:val="right"/>
        </w:pPr>
        <w:r>
          <w:fldChar w:fldCharType="begin"/>
        </w:r>
        <w:r>
          <w:instrText xml:space="preserve"> PAGE   \* MERGEFORMAT </w:instrText>
        </w:r>
        <w:r>
          <w:fldChar w:fldCharType="separate"/>
        </w:r>
        <w:r w:rsidR="00BB2658">
          <w:rPr>
            <w:noProof/>
          </w:rPr>
          <w:t>79</w:t>
        </w:r>
        <w:r>
          <w:rPr>
            <w:noProof/>
          </w:rPr>
          <w:fldChar w:fldCharType="end"/>
        </w:r>
      </w:p>
    </w:sdtContent>
  </w:sdt>
  <w:p w14:paraId="52A34BB4" w14:textId="77777777" w:rsidR="00B302CF" w:rsidRDefault="00B30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A27E7" w14:textId="77777777" w:rsidR="00976068" w:rsidRDefault="00976068" w:rsidP="00525C63">
      <w:pPr>
        <w:spacing w:after="0" w:line="240" w:lineRule="auto"/>
      </w:pPr>
      <w:r>
        <w:separator/>
      </w:r>
    </w:p>
  </w:footnote>
  <w:footnote w:type="continuationSeparator" w:id="0">
    <w:p w14:paraId="7BE3F1FD" w14:textId="77777777" w:rsidR="00976068" w:rsidRDefault="00976068" w:rsidP="00525C63">
      <w:pPr>
        <w:spacing w:after="0" w:line="240" w:lineRule="auto"/>
      </w:pPr>
      <w:r>
        <w:continuationSeparator/>
      </w:r>
    </w:p>
  </w:footnote>
  <w:footnote w:id="1">
    <w:p w14:paraId="0AEA5AFB" w14:textId="77777777" w:rsidR="00B302CF" w:rsidRPr="00B721B9" w:rsidRDefault="00B302CF" w:rsidP="00B721B9">
      <w:pPr>
        <w:spacing w:after="0" w:line="240" w:lineRule="auto"/>
        <w:jc w:val="both"/>
        <w:rPr>
          <w:rFonts w:ascii="Times New Roman" w:hAnsi="Times New Roman" w:cs="Times New Roman"/>
          <w:sz w:val="20"/>
          <w:szCs w:val="20"/>
        </w:rPr>
      </w:pPr>
      <w:r w:rsidRPr="00B721B9">
        <w:rPr>
          <w:rFonts w:ascii="Times New Roman" w:hAnsi="Times New Roman" w:cs="Times New Roman"/>
          <w:sz w:val="20"/>
          <w:szCs w:val="20"/>
        </w:rPr>
        <w:footnoteRef/>
      </w:r>
      <w:r w:rsidRPr="00B721B9">
        <w:rPr>
          <w:rFonts w:ascii="Times New Roman" w:hAnsi="Times New Roman" w:cs="Times New Roman"/>
          <w:sz w:val="20"/>
          <w:szCs w:val="20"/>
        </w:rPr>
        <w:t xml:space="preserve"> Коефициентът на възрастова зависимост показва броя на лицата от населението в „зависимите“ възрасти (населението под 15 и на 65 и повече навършени години) на 100 лица от населението в „независимите“ възрасти (от 15 до 64 години). Изчислява се в проценти. </w:t>
      </w:r>
    </w:p>
  </w:footnote>
  <w:footnote w:id="2">
    <w:p w14:paraId="5BB10608" w14:textId="77777777" w:rsidR="00B302CF" w:rsidRDefault="00B302CF" w:rsidP="00B721B9">
      <w:pPr>
        <w:spacing w:after="0" w:line="240" w:lineRule="auto"/>
        <w:jc w:val="both"/>
      </w:pPr>
      <w:r w:rsidRPr="00B721B9">
        <w:rPr>
          <w:rFonts w:ascii="Times New Roman" w:hAnsi="Times New Roman" w:cs="Times New Roman"/>
          <w:sz w:val="20"/>
          <w:szCs w:val="20"/>
        </w:rPr>
        <w:footnoteRef/>
      </w:r>
      <w:r w:rsidRPr="00B721B9">
        <w:rPr>
          <w:rFonts w:ascii="Times New Roman" w:hAnsi="Times New Roman" w:cs="Times New Roman"/>
          <w:sz w:val="20"/>
          <w:szCs w:val="20"/>
        </w:rPr>
        <w:t xml:space="preserve"> Възрастовите граници за разпределение на населението по категориите под, във и над трудоспособна възраст са определени съгласно Наредбата за пенсиите и осигурителния</w:t>
      </w:r>
      <w:r>
        <w:rPr>
          <w:rFonts w:ascii="Times New Roman" w:hAnsi="Times New Roman" w:cs="Times New Roman"/>
          <w:sz w:val="20"/>
          <w:szCs w:val="20"/>
        </w:rPr>
        <w:t xml:space="preserve"> стаж, приета с Постановление №30 на МС (ДВ, бр.</w:t>
      </w:r>
      <w:r w:rsidRPr="00B721B9">
        <w:rPr>
          <w:rFonts w:ascii="Times New Roman" w:hAnsi="Times New Roman" w:cs="Times New Roman"/>
          <w:sz w:val="20"/>
          <w:szCs w:val="20"/>
        </w:rPr>
        <w:t xml:space="preserve">21/17.03.2000 година).  </w:t>
      </w:r>
    </w:p>
  </w:footnote>
  <w:footnote w:id="3">
    <w:p w14:paraId="3141393F" w14:textId="77777777" w:rsidR="00B302CF" w:rsidRPr="00487C33" w:rsidRDefault="00B302CF" w:rsidP="00487C33">
      <w:pPr>
        <w:pStyle w:val="FootnoteText"/>
        <w:jc w:val="both"/>
        <w:rPr>
          <w:rFonts w:ascii="Times New Roman" w:hAnsi="Times New Roman" w:cs="Times New Roman"/>
          <w:lang w:val="ru-RU"/>
        </w:rPr>
      </w:pPr>
      <w:r w:rsidRPr="00487C33">
        <w:rPr>
          <w:rStyle w:val="FootnoteReference"/>
          <w:rFonts w:ascii="Times New Roman" w:hAnsi="Times New Roman" w:cs="Times New Roman"/>
        </w:rPr>
        <w:footnoteRef/>
      </w:r>
      <w:r w:rsidRPr="00487C33">
        <w:rPr>
          <w:rFonts w:ascii="Times New Roman" w:hAnsi="Times New Roman" w:cs="Times New Roman"/>
        </w:rPr>
        <w:t xml:space="preserve"> Относителен дял на умрелите лица под 65-годишна възраст от общия брой на умиранията.</w:t>
      </w:r>
    </w:p>
  </w:footnote>
  <w:footnote w:id="4">
    <w:p w14:paraId="2E3E05A6" w14:textId="77777777" w:rsidR="00B302CF" w:rsidRPr="004C3939" w:rsidRDefault="00B302CF" w:rsidP="004C3939">
      <w:pPr>
        <w:spacing w:after="0" w:line="240" w:lineRule="auto"/>
        <w:jc w:val="both"/>
        <w:rPr>
          <w:rFonts w:ascii="Times New Roman" w:hAnsi="Times New Roman" w:cs="Times New Roman"/>
          <w:sz w:val="20"/>
          <w:szCs w:val="20"/>
        </w:rPr>
      </w:pPr>
      <w:r w:rsidRPr="004C3939">
        <w:rPr>
          <w:rFonts w:ascii="Times New Roman" w:hAnsi="Times New Roman" w:cs="Times New Roman"/>
          <w:sz w:val="16"/>
          <w:szCs w:val="16"/>
        </w:rPr>
        <w:footnoteRef/>
      </w:r>
      <w:r w:rsidRPr="004C3939">
        <w:rPr>
          <w:rFonts w:ascii="Times New Roman" w:hAnsi="Times New Roman" w:cs="Times New Roman"/>
          <w:sz w:val="20"/>
          <w:szCs w:val="20"/>
        </w:rPr>
        <w:t xml:space="preserve"> Разлика между броя на живородените и броя на умрелите на 1 000 души от средногодишния брой на населението. </w:t>
      </w:r>
    </w:p>
  </w:footnote>
  <w:footnote w:id="5">
    <w:p w14:paraId="1C6B6A07" w14:textId="77777777" w:rsidR="00B302CF" w:rsidRPr="004C3939" w:rsidRDefault="00B302CF" w:rsidP="004C3939">
      <w:pPr>
        <w:pStyle w:val="FootnoteText"/>
        <w:jc w:val="both"/>
        <w:rPr>
          <w:rFonts w:ascii="Times New Roman" w:hAnsi="Times New Roman" w:cs="Times New Roman"/>
          <w:lang w:val="ru-RU"/>
        </w:rPr>
      </w:pPr>
      <w:r w:rsidRPr="004C3939">
        <w:rPr>
          <w:rStyle w:val="FootnoteReference"/>
          <w:rFonts w:ascii="Times New Roman" w:hAnsi="Times New Roman" w:cs="Times New Roman"/>
        </w:rPr>
        <w:footnoteRef/>
      </w:r>
      <w:r w:rsidRPr="004C3939">
        <w:rPr>
          <w:rFonts w:ascii="Times New Roman" w:hAnsi="Times New Roman" w:cs="Times New Roman"/>
          <w:lang w:val="ru-RU"/>
        </w:rPr>
        <w:t xml:space="preserve"> </w:t>
      </w:r>
      <w:r w:rsidRPr="004C3939">
        <w:rPr>
          <w:rFonts w:ascii="Times New Roman" w:hAnsi="Times New Roman" w:cs="Times New Roman"/>
        </w:rPr>
        <w:t>Отношение на нетната миграция към средногодишното население през годината (на 1 000 души).</w:t>
      </w:r>
    </w:p>
  </w:footnote>
  <w:footnote w:id="6">
    <w:p w14:paraId="5FCF5546" w14:textId="77777777" w:rsidR="00B302CF" w:rsidRPr="004C3939" w:rsidRDefault="00B302CF" w:rsidP="004C3939">
      <w:pPr>
        <w:pStyle w:val="FootnoteText"/>
        <w:jc w:val="both"/>
        <w:rPr>
          <w:rFonts w:ascii="Times New Roman" w:hAnsi="Times New Roman" w:cs="Times New Roman"/>
        </w:rPr>
      </w:pPr>
      <w:r w:rsidRPr="004C3939">
        <w:rPr>
          <w:rStyle w:val="FootnoteReference"/>
          <w:rFonts w:ascii="Times New Roman" w:hAnsi="Times New Roman" w:cs="Times New Roman"/>
        </w:rPr>
        <w:footnoteRef/>
      </w:r>
      <w:r w:rsidRPr="004C3939">
        <w:rPr>
          <w:rFonts w:ascii="Times New Roman" w:hAnsi="Times New Roman" w:cs="Times New Roman"/>
        </w:rPr>
        <w:t xml:space="preserve"> Показателят за очакваната продължителност на живота показва средната продължителност на предстоящия живот на новородените при хипотеза за неизменност в интензивността на наблюдаваната през дадена година повъзрастова смъртност.</w:t>
      </w:r>
    </w:p>
    <w:p w14:paraId="30074A41" w14:textId="77777777" w:rsidR="00B302CF" w:rsidRPr="00A40B6D" w:rsidRDefault="00B302CF" w:rsidP="004C3939">
      <w:pPr>
        <w:pStyle w:val="FootnoteText"/>
        <w:jc w:val="both"/>
        <w:rPr>
          <w:rFonts w:ascii="Times New Roman" w:hAnsi="Times New Roman"/>
        </w:rPr>
      </w:pPr>
    </w:p>
  </w:footnote>
  <w:footnote w:id="7">
    <w:p w14:paraId="22B861B4" w14:textId="77777777" w:rsidR="00B302CF" w:rsidRPr="00BF78E9" w:rsidRDefault="00B302CF" w:rsidP="00BF78E9">
      <w:pPr>
        <w:pStyle w:val="FootnoteText"/>
        <w:jc w:val="both"/>
        <w:rPr>
          <w:rFonts w:ascii="Times New Roman" w:hAnsi="Times New Roman" w:cs="Times New Roman"/>
        </w:rPr>
      </w:pPr>
      <w:r w:rsidRPr="00BF78E9">
        <w:rPr>
          <w:rStyle w:val="FootnoteReference"/>
          <w:rFonts w:ascii="Times New Roman" w:hAnsi="Times New Roman" w:cs="Times New Roman"/>
        </w:rPr>
        <w:footnoteRef/>
      </w:r>
      <w:r>
        <w:rPr>
          <w:rFonts w:ascii="Times New Roman" w:hAnsi="Times New Roman" w:cs="Times New Roman"/>
        </w:rPr>
        <w:t xml:space="preserve"> </w:t>
      </w:r>
      <w:r w:rsidRPr="00BF78E9">
        <w:rPr>
          <w:rFonts w:ascii="Times New Roman" w:hAnsi="Times New Roman" w:cs="Times New Roman"/>
        </w:rPr>
        <w:t xml:space="preserve">Дейностите по предоставяне на консултантски услуги на лица над 55 години са в рамките на общата консултантска дейност на НССЗ и за тяхното изпълнение не е предвиден отделен бюджет. Посоченият финансов ресурс за 2023 г. и 2024 г. е определен на база експертна оценка. </w:t>
      </w:r>
    </w:p>
  </w:footnote>
  <w:footnote w:id="8">
    <w:p w14:paraId="1688F1D0" w14:textId="77777777" w:rsidR="00B302CF" w:rsidRPr="00BF78E9" w:rsidRDefault="00B302CF" w:rsidP="00BF78E9">
      <w:pPr>
        <w:pStyle w:val="FootnoteText"/>
        <w:jc w:val="both"/>
        <w:rPr>
          <w:rFonts w:ascii="Times New Roman" w:hAnsi="Times New Roman" w:cs="Times New Roman"/>
        </w:rPr>
      </w:pPr>
      <w:r w:rsidRPr="00BF78E9">
        <w:rPr>
          <w:rStyle w:val="FootnoteReference"/>
          <w:rFonts w:ascii="Times New Roman" w:hAnsi="Times New Roman" w:cs="Times New Roman"/>
        </w:rPr>
        <w:footnoteRef/>
      </w:r>
      <w:r w:rsidRPr="00BF78E9">
        <w:rPr>
          <w:rFonts w:ascii="Times New Roman" w:hAnsi="Times New Roman" w:cs="Times New Roman"/>
        </w:rPr>
        <w:t xml:space="preserve"> До 2024 г. НССЗ не събира информация за възрастта на участващите в семинари лица. Посочените данни за периода 2023-2024 г. включват определен на база експертна оценка брой участници за 2023 г. и 2024 г. </w:t>
      </w:r>
    </w:p>
  </w:footnote>
  <w:footnote w:id="9">
    <w:p w14:paraId="1EB16D9D" w14:textId="77777777" w:rsidR="00B302CF" w:rsidRPr="00BF78E9" w:rsidRDefault="00B302CF" w:rsidP="00BF78E9">
      <w:pPr>
        <w:pStyle w:val="FootnoteText"/>
        <w:jc w:val="both"/>
        <w:rPr>
          <w:rFonts w:ascii="Times New Roman" w:hAnsi="Times New Roman" w:cs="Times New Roman"/>
        </w:rPr>
      </w:pPr>
      <w:r w:rsidRPr="00BF78E9">
        <w:rPr>
          <w:rStyle w:val="FootnoteReference"/>
          <w:rFonts w:ascii="Times New Roman" w:hAnsi="Times New Roman" w:cs="Times New Roman"/>
        </w:rPr>
        <w:footnoteRef/>
      </w:r>
      <w:r w:rsidRPr="00BF78E9">
        <w:rPr>
          <w:rFonts w:ascii="Times New Roman" w:hAnsi="Times New Roman" w:cs="Times New Roman"/>
        </w:rPr>
        <w:t xml:space="preserve"> Дейностите, свързани с повишаване на квалификацията и придобиване на професии на лица над 55 години, са в рамките на общата консултантска дейност на НССЗ и за тяхното изпълнение не е предвиден отделен бюджет. Посоченият финансов ресурс за 2023 г. и 2024 г. е определен на база експертна оценка. </w:t>
      </w:r>
    </w:p>
  </w:footnote>
  <w:footnote w:id="10">
    <w:p w14:paraId="17C6EA97" w14:textId="77777777" w:rsidR="00B302CF" w:rsidRPr="008E34F2" w:rsidRDefault="00B302CF" w:rsidP="008E34F2">
      <w:pPr>
        <w:pStyle w:val="FootnoteText"/>
        <w:jc w:val="both"/>
        <w:rPr>
          <w:rFonts w:ascii="Times New Roman" w:hAnsi="Times New Roman" w:cs="Times New Roman"/>
        </w:rPr>
      </w:pPr>
      <w:r w:rsidRPr="008E34F2">
        <w:rPr>
          <w:rStyle w:val="FootnoteReference"/>
          <w:rFonts w:ascii="Times New Roman" w:hAnsi="Times New Roman" w:cs="Times New Roman"/>
        </w:rPr>
        <w:footnoteRef/>
      </w:r>
      <w:r>
        <w:rPr>
          <w:rFonts w:ascii="Times New Roman" w:hAnsi="Times New Roman" w:cs="Times New Roman"/>
        </w:rPr>
        <w:t xml:space="preserve"> </w:t>
      </w:r>
      <w:r w:rsidRPr="008E34F2">
        <w:rPr>
          <w:rFonts w:ascii="Times New Roman" w:hAnsi="Times New Roman" w:cs="Times New Roman"/>
        </w:rPr>
        <w:t>НСИ, Средногодишни ХИП</w:t>
      </w:r>
      <w:r>
        <w:rPr>
          <w:rFonts w:ascii="Times New Roman" w:hAnsi="Times New Roman" w:cs="Times New Roman"/>
        </w:rPr>
        <w:t xml:space="preserve">Ц, предходните 12 месеца = 100, </w:t>
      </w:r>
      <w:r w:rsidRPr="008E34F2">
        <w:rPr>
          <w:rFonts w:ascii="Times New Roman" w:hAnsi="Times New Roman" w:cs="Times New Roman"/>
        </w:rPr>
        <w:t xml:space="preserve">достъпно на: </w:t>
      </w:r>
      <w:r w:rsidRPr="008E34F2">
        <w:rPr>
          <w:rFonts w:ascii="Times New Roman" w:hAnsi="Times New Roman" w:cs="Times New Roman"/>
          <w:color w:val="0462C1"/>
        </w:rPr>
        <w:t>http://www.nsi.bg/sites/default/files/files/data/timeseries/HICP_2.5.xls</w:t>
      </w:r>
      <w:r w:rsidRPr="008E34F2">
        <w:rPr>
          <w:rFonts w:ascii="Times New Roman" w:hAnsi="Times New Roman" w:cs="Times New Roman"/>
        </w:rPr>
        <w:t xml:space="preserve">  </w:t>
      </w:r>
    </w:p>
  </w:footnote>
  <w:footnote w:id="11">
    <w:p w14:paraId="4522726E" w14:textId="77777777" w:rsidR="00B302CF" w:rsidRPr="008E34F2" w:rsidRDefault="00B302CF" w:rsidP="008E34F2">
      <w:pPr>
        <w:pStyle w:val="FootnoteText"/>
        <w:jc w:val="both"/>
        <w:rPr>
          <w:rFonts w:ascii="Times New Roman" w:hAnsi="Times New Roman" w:cs="Times New Roman"/>
        </w:rPr>
      </w:pPr>
      <w:r w:rsidRPr="008E34F2">
        <w:rPr>
          <w:rStyle w:val="FootnoteReference"/>
          <w:rFonts w:ascii="Times New Roman" w:hAnsi="Times New Roman" w:cs="Times New Roman"/>
        </w:rPr>
        <w:footnoteRef/>
      </w:r>
      <w:r w:rsidRPr="008E34F2">
        <w:rPr>
          <w:rFonts w:ascii="Times New Roman" w:hAnsi="Times New Roman" w:cs="Times New Roman"/>
        </w:rPr>
        <w:t xml:space="preserve"> Съотношението на средната пенсия на пенсионер към средния осигурителен доход.  </w:t>
      </w:r>
    </w:p>
  </w:footnote>
  <w:footnote w:id="12">
    <w:p w14:paraId="558CBC0D" w14:textId="77777777" w:rsidR="00B302CF" w:rsidRDefault="00B302CF" w:rsidP="008E34F2">
      <w:pPr>
        <w:pStyle w:val="FootnoteText"/>
        <w:jc w:val="both"/>
      </w:pPr>
      <w:r w:rsidRPr="008E34F2">
        <w:rPr>
          <w:rStyle w:val="FootnoteReference"/>
          <w:rFonts w:ascii="Times New Roman" w:hAnsi="Times New Roman" w:cs="Times New Roman"/>
        </w:rPr>
        <w:footnoteRef/>
      </w:r>
      <w:r w:rsidRPr="008E34F2">
        <w:rPr>
          <w:rFonts w:ascii="Times New Roman" w:hAnsi="Times New Roman" w:cs="Times New Roman"/>
        </w:rPr>
        <w:t xml:space="preserve"> Съотношението на средномесечния размер на пенсията на пенсионер и средния нетен осигурителен доход (без задължителните удръжки върху заплатите.</w:t>
      </w:r>
      <w:r w:rsidRPr="008E34F2">
        <w:t xml:space="preserve">  </w:t>
      </w:r>
    </w:p>
  </w:footnote>
  <w:footnote w:id="13">
    <w:p w14:paraId="1317339D" w14:textId="77777777" w:rsidR="00B302CF" w:rsidRPr="00DD70B2" w:rsidRDefault="00B302CF" w:rsidP="00DD70B2">
      <w:pPr>
        <w:pStyle w:val="FootnoteText"/>
        <w:jc w:val="both"/>
        <w:rPr>
          <w:rFonts w:ascii="Times New Roman" w:hAnsi="Times New Roman" w:cs="Times New Roman"/>
        </w:rPr>
      </w:pPr>
      <w:r w:rsidRPr="00DD70B2">
        <w:rPr>
          <w:rStyle w:val="FootnoteReference"/>
          <w:rFonts w:ascii="Times New Roman" w:hAnsi="Times New Roman" w:cs="Times New Roman"/>
        </w:rPr>
        <w:footnoteRef/>
      </w:r>
      <w:r w:rsidRPr="00DD70B2">
        <w:rPr>
          <w:rFonts w:ascii="Times New Roman" w:hAnsi="Times New Roman" w:cs="Times New Roman"/>
        </w:rPr>
        <w:t xml:space="preserve"> НСИ, Средногодишни ХИПЦ, предходните 12 месеца = 100, достъпно на: </w:t>
      </w:r>
      <w:hyperlink r:id="rId1" w:history="1">
        <w:r w:rsidRPr="00FD6708">
          <w:rPr>
            <w:rStyle w:val="Hyperlink"/>
            <w:rFonts w:ascii="Times New Roman" w:hAnsi="Times New Roman" w:cs="Times New Roman"/>
          </w:rPr>
          <w:t>http://www.nsi.bg/sites/default/files/files/data/timeseries/HICP_2.5.xls</w:t>
        </w:r>
      </w:hyperlink>
      <w:r>
        <w:rPr>
          <w:rFonts w:ascii="Times New Roman" w:hAnsi="Times New Roman" w:cs="Times New Roman"/>
        </w:rPr>
        <w:t xml:space="preserve"> </w:t>
      </w:r>
      <w:r w:rsidRPr="00DD70B2">
        <w:rPr>
          <w:rFonts w:ascii="Times New Roman" w:hAnsi="Times New Roman" w:cs="Times New Roman"/>
        </w:rPr>
        <w:t xml:space="preserve">  </w:t>
      </w:r>
    </w:p>
  </w:footnote>
  <w:footnote w:id="14">
    <w:p w14:paraId="7C23CF4B" w14:textId="77777777" w:rsidR="00B302CF" w:rsidRPr="00DD70B2" w:rsidRDefault="00B302CF" w:rsidP="00DD70B2">
      <w:pPr>
        <w:pStyle w:val="FootnoteText"/>
        <w:jc w:val="both"/>
        <w:rPr>
          <w:rFonts w:ascii="Times New Roman" w:hAnsi="Times New Roman" w:cs="Times New Roman"/>
        </w:rPr>
      </w:pPr>
      <w:r w:rsidRPr="00DD70B2">
        <w:rPr>
          <w:rStyle w:val="FootnoteReference"/>
          <w:rFonts w:ascii="Times New Roman" w:hAnsi="Times New Roman" w:cs="Times New Roman"/>
        </w:rPr>
        <w:footnoteRef/>
      </w:r>
      <w:r w:rsidRPr="00DD70B2">
        <w:rPr>
          <w:rFonts w:ascii="Times New Roman" w:hAnsi="Times New Roman" w:cs="Times New Roman"/>
        </w:rPr>
        <w:t xml:space="preserve"> Съотношението на средната пенсия на пенсионер към средния осигурителен доход.  </w:t>
      </w:r>
    </w:p>
  </w:footnote>
  <w:footnote w:id="15">
    <w:p w14:paraId="04D47878" w14:textId="77777777" w:rsidR="00B302CF" w:rsidRDefault="00B302CF" w:rsidP="00DD70B2">
      <w:pPr>
        <w:pStyle w:val="FootnoteText"/>
        <w:jc w:val="both"/>
      </w:pPr>
      <w:r w:rsidRPr="00DD70B2">
        <w:rPr>
          <w:rStyle w:val="FootnoteReference"/>
          <w:rFonts w:ascii="Times New Roman" w:hAnsi="Times New Roman" w:cs="Times New Roman"/>
        </w:rPr>
        <w:footnoteRef/>
      </w:r>
      <w:r w:rsidRPr="00DD70B2">
        <w:rPr>
          <w:rFonts w:ascii="Times New Roman" w:hAnsi="Times New Roman" w:cs="Times New Roman"/>
        </w:rPr>
        <w:t xml:space="preserve"> Съотношението на средномесечния размер на пенсията на пенсионер и средния нетен осигурителен доход (без задължителните удръжки върху заплатите.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07A9A"/>
    <w:multiLevelType w:val="hybridMultilevel"/>
    <w:tmpl w:val="56A2D6B6"/>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73F2965"/>
    <w:multiLevelType w:val="hybridMultilevel"/>
    <w:tmpl w:val="A9A227FC"/>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 w15:restartNumberingAfterBreak="0">
    <w:nsid w:val="099A7E12"/>
    <w:multiLevelType w:val="hybridMultilevel"/>
    <w:tmpl w:val="74405418"/>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BB0008A"/>
    <w:multiLevelType w:val="hybridMultilevel"/>
    <w:tmpl w:val="DEB6675C"/>
    <w:lvl w:ilvl="0" w:tplc="06A07A80">
      <w:start w:val="1"/>
      <w:numFmt w:val="decimal"/>
      <w:lvlText w:val="%1."/>
      <w:lvlJc w:val="left"/>
      <w:pPr>
        <w:ind w:left="720"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DBA5AD0"/>
    <w:multiLevelType w:val="hybridMultilevel"/>
    <w:tmpl w:val="40149632"/>
    <w:lvl w:ilvl="0" w:tplc="F6C8E36C">
      <w:numFmt w:val="bullet"/>
      <w:lvlText w:val="-"/>
      <w:lvlJc w:val="left"/>
      <w:pPr>
        <w:ind w:left="784" w:hanging="360"/>
      </w:pPr>
      <w:rPr>
        <w:rFonts w:ascii="Times New Roman" w:eastAsiaTheme="minorHAnsi" w:hAnsi="Times New Roman" w:cs="Times New Roman" w:hint="default"/>
      </w:rPr>
    </w:lvl>
    <w:lvl w:ilvl="1" w:tplc="04020003" w:tentative="1">
      <w:start w:val="1"/>
      <w:numFmt w:val="bullet"/>
      <w:lvlText w:val="o"/>
      <w:lvlJc w:val="left"/>
      <w:pPr>
        <w:ind w:left="1504" w:hanging="360"/>
      </w:pPr>
      <w:rPr>
        <w:rFonts w:ascii="Courier New" w:hAnsi="Courier New" w:cs="Courier New" w:hint="default"/>
      </w:rPr>
    </w:lvl>
    <w:lvl w:ilvl="2" w:tplc="04020005" w:tentative="1">
      <w:start w:val="1"/>
      <w:numFmt w:val="bullet"/>
      <w:lvlText w:val=""/>
      <w:lvlJc w:val="left"/>
      <w:pPr>
        <w:ind w:left="2224" w:hanging="360"/>
      </w:pPr>
      <w:rPr>
        <w:rFonts w:ascii="Wingdings" w:hAnsi="Wingdings" w:hint="default"/>
      </w:rPr>
    </w:lvl>
    <w:lvl w:ilvl="3" w:tplc="04020001" w:tentative="1">
      <w:start w:val="1"/>
      <w:numFmt w:val="bullet"/>
      <w:lvlText w:val=""/>
      <w:lvlJc w:val="left"/>
      <w:pPr>
        <w:ind w:left="2944" w:hanging="360"/>
      </w:pPr>
      <w:rPr>
        <w:rFonts w:ascii="Symbol" w:hAnsi="Symbol" w:hint="default"/>
      </w:rPr>
    </w:lvl>
    <w:lvl w:ilvl="4" w:tplc="04020003" w:tentative="1">
      <w:start w:val="1"/>
      <w:numFmt w:val="bullet"/>
      <w:lvlText w:val="o"/>
      <w:lvlJc w:val="left"/>
      <w:pPr>
        <w:ind w:left="3664" w:hanging="360"/>
      </w:pPr>
      <w:rPr>
        <w:rFonts w:ascii="Courier New" w:hAnsi="Courier New" w:cs="Courier New" w:hint="default"/>
      </w:rPr>
    </w:lvl>
    <w:lvl w:ilvl="5" w:tplc="04020005" w:tentative="1">
      <w:start w:val="1"/>
      <w:numFmt w:val="bullet"/>
      <w:lvlText w:val=""/>
      <w:lvlJc w:val="left"/>
      <w:pPr>
        <w:ind w:left="4384" w:hanging="360"/>
      </w:pPr>
      <w:rPr>
        <w:rFonts w:ascii="Wingdings" w:hAnsi="Wingdings" w:hint="default"/>
      </w:rPr>
    </w:lvl>
    <w:lvl w:ilvl="6" w:tplc="04020001" w:tentative="1">
      <w:start w:val="1"/>
      <w:numFmt w:val="bullet"/>
      <w:lvlText w:val=""/>
      <w:lvlJc w:val="left"/>
      <w:pPr>
        <w:ind w:left="5104" w:hanging="360"/>
      </w:pPr>
      <w:rPr>
        <w:rFonts w:ascii="Symbol" w:hAnsi="Symbol" w:hint="default"/>
      </w:rPr>
    </w:lvl>
    <w:lvl w:ilvl="7" w:tplc="04020003" w:tentative="1">
      <w:start w:val="1"/>
      <w:numFmt w:val="bullet"/>
      <w:lvlText w:val="o"/>
      <w:lvlJc w:val="left"/>
      <w:pPr>
        <w:ind w:left="5824" w:hanging="360"/>
      </w:pPr>
      <w:rPr>
        <w:rFonts w:ascii="Courier New" w:hAnsi="Courier New" w:cs="Courier New" w:hint="default"/>
      </w:rPr>
    </w:lvl>
    <w:lvl w:ilvl="8" w:tplc="04020005" w:tentative="1">
      <w:start w:val="1"/>
      <w:numFmt w:val="bullet"/>
      <w:lvlText w:val=""/>
      <w:lvlJc w:val="left"/>
      <w:pPr>
        <w:ind w:left="6544" w:hanging="360"/>
      </w:pPr>
      <w:rPr>
        <w:rFonts w:ascii="Wingdings" w:hAnsi="Wingdings" w:hint="default"/>
      </w:rPr>
    </w:lvl>
  </w:abstractNum>
  <w:abstractNum w:abstractNumId="5" w15:restartNumberingAfterBreak="0">
    <w:nsid w:val="0E7A1026"/>
    <w:multiLevelType w:val="hybridMultilevel"/>
    <w:tmpl w:val="4F6C4F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25E6332"/>
    <w:multiLevelType w:val="hybridMultilevel"/>
    <w:tmpl w:val="78A6FDF8"/>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52145B8"/>
    <w:multiLevelType w:val="multilevel"/>
    <w:tmpl w:val="F126D76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891CBD"/>
    <w:multiLevelType w:val="hybridMultilevel"/>
    <w:tmpl w:val="69D8F356"/>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F9F5715"/>
    <w:multiLevelType w:val="hybridMultilevel"/>
    <w:tmpl w:val="D7F2184E"/>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241A3146"/>
    <w:multiLevelType w:val="hybridMultilevel"/>
    <w:tmpl w:val="DE8AD7A4"/>
    <w:lvl w:ilvl="0" w:tplc="87A07CF8">
      <w:numFmt w:val="bullet"/>
      <w:lvlText w:val="-"/>
      <w:lvlJc w:val="left"/>
      <w:pPr>
        <w:ind w:left="720" w:hanging="360"/>
      </w:pPr>
      <w:rPr>
        <w:rFonts w:ascii="Times New Roman" w:eastAsia="Times New Roman" w:hAnsi="Times New Roman" w:cs="Times New Roman" w:hint="default"/>
        <w:w w:val="99"/>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58B7961"/>
    <w:multiLevelType w:val="hybridMultilevel"/>
    <w:tmpl w:val="B63EE1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6CD3BF8"/>
    <w:multiLevelType w:val="hybridMultilevel"/>
    <w:tmpl w:val="981A8740"/>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940297C"/>
    <w:multiLevelType w:val="hybridMultilevel"/>
    <w:tmpl w:val="5AE0C6EC"/>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2AEE2A91"/>
    <w:multiLevelType w:val="hybridMultilevel"/>
    <w:tmpl w:val="843A0B08"/>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CD35D96"/>
    <w:multiLevelType w:val="hybridMultilevel"/>
    <w:tmpl w:val="10FCEB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FC026DF"/>
    <w:multiLevelType w:val="hybridMultilevel"/>
    <w:tmpl w:val="07F0EBA8"/>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0A15B36"/>
    <w:multiLevelType w:val="hybridMultilevel"/>
    <w:tmpl w:val="CD862EF6"/>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1930A40"/>
    <w:multiLevelType w:val="hybridMultilevel"/>
    <w:tmpl w:val="83A8555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28A0612"/>
    <w:multiLevelType w:val="hybridMultilevel"/>
    <w:tmpl w:val="97701D02"/>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364F3D1A"/>
    <w:multiLevelType w:val="hybridMultilevel"/>
    <w:tmpl w:val="BA3C07DA"/>
    <w:lvl w:ilvl="0" w:tplc="EC5E801A">
      <w:start w:val="1"/>
      <w:numFmt w:val="decimal"/>
      <w:lvlText w:val="%1."/>
      <w:lvlJc w:val="left"/>
      <w:pPr>
        <w:ind w:left="360" w:hanging="360"/>
      </w:pPr>
      <w:rPr>
        <w:rFonts w:hint="default"/>
        <w:b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1" w15:restartNumberingAfterBreak="0">
    <w:nsid w:val="36F80473"/>
    <w:multiLevelType w:val="hybridMultilevel"/>
    <w:tmpl w:val="9F82CEDC"/>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384C7E7B"/>
    <w:multiLevelType w:val="hybridMultilevel"/>
    <w:tmpl w:val="FCF61952"/>
    <w:lvl w:ilvl="0" w:tplc="87A07CF8">
      <w:numFmt w:val="bullet"/>
      <w:lvlText w:val="-"/>
      <w:lvlJc w:val="left"/>
      <w:pPr>
        <w:ind w:left="720" w:hanging="360"/>
      </w:pPr>
      <w:rPr>
        <w:rFonts w:ascii="Times New Roman" w:eastAsia="Times New Roman" w:hAnsi="Times New Roman" w:hint="default"/>
        <w:w w:val="99"/>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26A2E00"/>
    <w:multiLevelType w:val="hybridMultilevel"/>
    <w:tmpl w:val="F06287B6"/>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41649B8"/>
    <w:multiLevelType w:val="hybridMultilevel"/>
    <w:tmpl w:val="945058D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45440622"/>
    <w:multiLevelType w:val="hybridMultilevel"/>
    <w:tmpl w:val="F8662BE4"/>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8791675"/>
    <w:multiLevelType w:val="hybridMultilevel"/>
    <w:tmpl w:val="7E3A0606"/>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4EB11E0B"/>
    <w:multiLevelType w:val="hybridMultilevel"/>
    <w:tmpl w:val="8BEA1B88"/>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F1819BB"/>
    <w:multiLevelType w:val="hybridMultilevel"/>
    <w:tmpl w:val="B2AAC82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4FEF5CE9"/>
    <w:multiLevelType w:val="hybridMultilevel"/>
    <w:tmpl w:val="7A628816"/>
    <w:lvl w:ilvl="0" w:tplc="4F40C244">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071430E"/>
    <w:multiLevelType w:val="hybridMultilevel"/>
    <w:tmpl w:val="46B88880"/>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2097522"/>
    <w:multiLevelType w:val="hybridMultilevel"/>
    <w:tmpl w:val="301C08CA"/>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534B22C4"/>
    <w:multiLevelType w:val="hybridMultilevel"/>
    <w:tmpl w:val="D9D0A256"/>
    <w:lvl w:ilvl="0" w:tplc="65049F1A">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15:restartNumberingAfterBreak="0">
    <w:nsid w:val="54063170"/>
    <w:multiLevelType w:val="hybridMultilevel"/>
    <w:tmpl w:val="C04C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674475"/>
    <w:multiLevelType w:val="hybridMultilevel"/>
    <w:tmpl w:val="F9E8FC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76E308B"/>
    <w:multiLevelType w:val="hybridMultilevel"/>
    <w:tmpl w:val="EAC4233E"/>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67A56653"/>
    <w:multiLevelType w:val="hybridMultilevel"/>
    <w:tmpl w:val="85C45348"/>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E364DC7"/>
    <w:multiLevelType w:val="hybridMultilevel"/>
    <w:tmpl w:val="FDAAFD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E8E7C0F"/>
    <w:multiLevelType w:val="hybridMultilevel"/>
    <w:tmpl w:val="1C9CF5A0"/>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2E047AE"/>
    <w:multiLevelType w:val="hybridMultilevel"/>
    <w:tmpl w:val="4C38849E"/>
    <w:lvl w:ilvl="0" w:tplc="06A07A80">
      <w:start w:val="1"/>
      <w:numFmt w:val="decimal"/>
      <w:lvlText w:val="%1."/>
      <w:lvlJc w:val="left"/>
      <w:pPr>
        <w:ind w:left="720"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3782602"/>
    <w:multiLevelType w:val="hybridMultilevel"/>
    <w:tmpl w:val="C2CC959E"/>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7A347D68"/>
    <w:multiLevelType w:val="hybridMultilevel"/>
    <w:tmpl w:val="86FC104A"/>
    <w:lvl w:ilvl="0" w:tplc="87A07CF8">
      <w:numFmt w:val="bullet"/>
      <w:lvlText w:val="-"/>
      <w:lvlJc w:val="left"/>
      <w:pPr>
        <w:ind w:left="720" w:hanging="360"/>
      </w:pPr>
      <w:rPr>
        <w:rFonts w:ascii="Times New Roman" w:eastAsia="Times New Roman" w:hAnsi="Times New Roman" w:cs="Times New Roman" w:hint="default"/>
        <w:w w:val="99"/>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7C0943B4"/>
    <w:multiLevelType w:val="hybridMultilevel"/>
    <w:tmpl w:val="23A61798"/>
    <w:lvl w:ilvl="0" w:tplc="F6C8E36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856698429">
    <w:abstractNumId w:val="23"/>
  </w:num>
  <w:num w:numId="2" w16cid:durableId="363946770">
    <w:abstractNumId w:val="33"/>
  </w:num>
  <w:num w:numId="3" w16cid:durableId="2129855518">
    <w:abstractNumId w:val="39"/>
  </w:num>
  <w:num w:numId="4" w16cid:durableId="429470273">
    <w:abstractNumId w:val="9"/>
  </w:num>
  <w:num w:numId="5" w16cid:durableId="1526093945">
    <w:abstractNumId w:val="3"/>
  </w:num>
  <w:num w:numId="6" w16cid:durableId="811408284">
    <w:abstractNumId w:val="26"/>
  </w:num>
  <w:num w:numId="7" w16cid:durableId="1833451778">
    <w:abstractNumId w:val="11"/>
  </w:num>
  <w:num w:numId="8" w16cid:durableId="423576489">
    <w:abstractNumId w:val="28"/>
  </w:num>
  <w:num w:numId="9" w16cid:durableId="1605571096">
    <w:abstractNumId w:val="18"/>
  </w:num>
  <w:num w:numId="10" w16cid:durableId="1828787443">
    <w:abstractNumId w:val="34"/>
  </w:num>
  <w:num w:numId="11" w16cid:durableId="1832745288">
    <w:abstractNumId w:val="37"/>
  </w:num>
  <w:num w:numId="12" w16cid:durableId="464006000">
    <w:abstractNumId w:val="31"/>
  </w:num>
  <w:num w:numId="13" w16cid:durableId="2073194973">
    <w:abstractNumId w:val="29"/>
  </w:num>
  <w:num w:numId="14" w16cid:durableId="661009840">
    <w:abstractNumId w:val="38"/>
  </w:num>
  <w:num w:numId="15" w16cid:durableId="2044137733">
    <w:abstractNumId w:val="4"/>
  </w:num>
  <w:num w:numId="16" w16cid:durableId="2020496869">
    <w:abstractNumId w:val="41"/>
  </w:num>
  <w:num w:numId="17" w16cid:durableId="1362166001">
    <w:abstractNumId w:val="10"/>
  </w:num>
  <w:num w:numId="18" w16cid:durableId="915479713">
    <w:abstractNumId w:val="7"/>
  </w:num>
  <w:num w:numId="19" w16cid:durableId="1237593281">
    <w:abstractNumId w:val="19"/>
  </w:num>
  <w:num w:numId="20" w16cid:durableId="1696730779">
    <w:abstractNumId w:val="21"/>
  </w:num>
  <w:num w:numId="21" w16cid:durableId="1998798220">
    <w:abstractNumId w:val="12"/>
  </w:num>
  <w:num w:numId="22" w16cid:durableId="1872496684">
    <w:abstractNumId w:val="25"/>
  </w:num>
  <w:num w:numId="23" w16cid:durableId="1638606206">
    <w:abstractNumId w:val="36"/>
  </w:num>
  <w:num w:numId="24" w16cid:durableId="13580540">
    <w:abstractNumId w:val="30"/>
  </w:num>
  <w:num w:numId="25" w16cid:durableId="1344744222">
    <w:abstractNumId w:val="22"/>
  </w:num>
  <w:num w:numId="26" w16cid:durableId="1206018599">
    <w:abstractNumId w:val="2"/>
  </w:num>
  <w:num w:numId="27" w16cid:durableId="933628697">
    <w:abstractNumId w:val="6"/>
  </w:num>
  <w:num w:numId="28" w16cid:durableId="1198356173">
    <w:abstractNumId w:val="8"/>
  </w:num>
  <w:num w:numId="29" w16cid:durableId="1373920440">
    <w:abstractNumId w:val="16"/>
  </w:num>
  <w:num w:numId="30" w16cid:durableId="1010789396">
    <w:abstractNumId w:val="13"/>
  </w:num>
  <w:num w:numId="31" w16cid:durableId="357238695">
    <w:abstractNumId w:val="40"/>
  </w:num>
  <w:num w:numId="32" w16cid:durableId="1622105634">
    <w:abstractNumId w:val="27"/>
  </w:num>
  <w:num w:numId="33" w16cid:durableId="1789272666">
    <w:abstractNumId w:val="42"/>
  </w:num>
  <w:num w:numId="34" w16cid:durableId="1000698853">
    <w:abstractNumId w:val="0"/>
  </w:num>
  <w:num w:numId="35" w16cid:durableId="1622422608">
    <w:abstractNumId w:val="32"/>
  </w:num>
  <w:num w:numId="36" w16cid:durableId="834687872">
    <w:abstractNumId w:val="24"/>
  </w:num>
  <w:num w:numId="37" w16cid:durableId="265238227">
    <w:abstractNumId w:val="35"/>
  </w:num>
  <w:num w:numId="38" w16cid:durableId="23484209">
    <w:abstractNumId w:val="5"/>
  </w:num>
  <w:num w:numId="39" w16cid:durableId="120194922">
    <w:abstractNumId w:val="14"/>
  </w:num>
  <w:num w:numId="40" w16cid:durableId="390613028">
    <w:abstractNumId w:val="17"/>
  </w:num>
  <w:num w:numId="41" w16cid:durableId="1589583301">
    <w:abstractNumId w:val="20"/>
  </w:num>
  <w:num w:numId="42" w16cid:durableId="1978605160">
    <w:abstractNumId w:val="15"/>
  </w:num>
  <w:num w:numId="43" w16cid:durableId="247083134">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89A"/>
    <w:rsid w:val="00000CAC"/>
    <w:rsid w:val="00002FED"/>
    <w:rsid w:val="00003195"/>
    <w:rsid w:val="00006C3B"/>
    <w:rsid w:val="0000718A"/>
    <w:rsid w:val="00013003"/>
    <w:rsid w:val="000156D0"/>
    <w:rsid w:val="000250CF"/>
    <w:rsid w:val="00031F69"/>
    <w:rsid w:val="000373F9"/>
    <w:rsid w:val="000419D9"/>
    <w:rsid w:val="00041EF3"/>
    <w:rsid w:val="00053CBC"/>
    <w:rsid w:val="00055B6E"/>
    <w:rsid w:val="0006101A"/>
    <w:rsid w:val="0006181E"/>
    <w:rsid w:val="00062A1B"/>
    <w:rsid w:val="000655CC"/>
    <w:rsid w:val="00067951"/>
    <w:rsid w:val="000710C4"/>
    <w:rsid w:val="00074055"/>
    <w:rsid w:val="000768B8"/>
    <w:rsid w:val="000776FC"/>
    <w:rsid w:val="000827DB"/>
    <w:rsid w:val="00083FD7"/>
    <w:rsid w:val="0009143D"/>
    <w:rsid w:val="00093439"/>
    <w:rsid w:val="000A35FE"/>
    <w:rsid w:val="000A58A5"/>
    <w:rsid w:val="000B0C4A"/>
    <w:rsid w:val="000B4051"/>
    <w:rsid w:val="000B44EA"/>
    <w:rsid w:val="000C516D"/>
    <w:rsid w:val="000C68CE"/>
    <w:rsid w:val="000D22A0"/>
    <w:rsid w:val="000D375F"/>
    <w:rsid w:val="000D48F2"/>
    <w:rsid w:val="000E1D19"/>
    <w:rsid w:val="000E3399"/>
    <w:rsid w:val="000E48D8"/>
    <w:rsid w:val="000E7C75"/>
    <w:rsid w:val="000F4769"/>
    <w:rsid w:val="000F58ED"/>
    <w:rsid w:val="00102806"/>
    <w:rsid w:val="00102DB5"/>
    <w:rsid w:val="001041E7"/>
    <w:rsid w:val="00105540"/>
    <w:rsid w:val="00112A5F"/>
    <w:rsid w:val="00124687"/>
    <w:rsid w:val="00127C6D"/>
    <w:rsid w:val="00130D1D"/>
    <w:rsid w:val="00134081"/>
    <w:rsid w:val="0013722F"/>
    <w:rsid w:val="0014018E"/>
    <w:rsid w:val="001406CC"/>
    <w:rsid w:val="00142BE4"/>
    <w:rsid w:val="00143925"/>
    <w:rsid w:val="00144C87"/>
    <w:rsid w:val="001468BD"/>
    <w:rsid w:val="00147138"/>
    <w:rsid w:val="0014793A"/>
    <w:rsid w:val="00153670"/>
    <w:rsid w:val="0015614D"/>
    <w:rsid w:val="00156EB9"/>
    <w:rsid w:val="001624EE"/>
    <w:rsid w:val="00163749"/>
    <w:rsid w:val="00172915"/>
    <w:rsid w:val="00175ABB"/>
    <w:rsid w:val="001820DC"/>
    <w:rsid w:val="0018335E"/>
    <w:rsid w:val="001849D5"/>
    <w:rsid w:val="0018502D"/>
    <w:rsid w:val="00190551"/>
    <w:rsid w:val="001911ED"/>
    <w:rsid w:val="00194A77"/>
    <w:rsid w:val="0019677E"/>
    <w:rsid w:val="001A5B80"/>
    <w:rsid w:val="001C47A6"/>
    <w:rsid w:val="001C4A0B"/>
    <w:rsid w:val="001C56F9"/>
    <w:rsid w:val="001C7A6B"/>
    <w:rsid w:val="001D036B"/>
    <w:rsid w:val="001D1DFC"/>
    <w:rsid w:val="001D2C9E"/>
    <w:rsid w:val="001E2A02"/>
    <w:rsid w:val="001E32F0"/>
    <w:rsid w:val="001F192E"/>
    <w:rsid w:val="001F1A08"/>
    <w:rsid w:val="001F6D4B"/>
    <w:rsid w:val="002035C8"/>
    <w:rsid w:val="00207BD5"/>
    <w:rsid w:val="002102B2"/>
    <w:rsid w:val="00210DFB"/>
    <w:rsid w:val="00212C57"/>
    <w:rsid w:val="00215519"/>
    <w:rsid w:val="00217D73"/>
    <w:rsid w:val="00220B53"/>
    <w:rsid w:val="00221812"/>
    <w:rsid w:val="00225946"/>
    <w:rsid w:val="00234716"/>
    <w:rsid w:val="00236049"/>
    <w:rsid w:val="002367C9"/>
    <w:rsid w:val="00236A15"/>
    <w:rsid w:val="0023718D"/>
    <w:rsid w:val="0023755B"/>
    <w:rsid w:val="00247FD9"/>
    <w:rsid w:val="002501CA"/>
    <w:rsid w:val="00253326"/>
    <w:rsid w:val="00254206"/>
    <w:rsid w:val="002601C1"/>
    <w:rsid w:val="00276299"/>
    <w:rsid w:val="002770CD"/>
    <w:rsid w:val="00281FB0"/>
    <w:rsid w:val="00297D91"/>
    <w:rsid w:val="002A31E7"/>
    <w:rsid w:val="002A3CD6"/>
    <w:rsid w:val="002A40CF"/>
    <w:rsid w:val="002A4437"/>
    <w:rsid w:val="002A5BAB"/>
    <w:rsid w:val="002A6850"/>
    <w:rsid w:val="002B5765"/>
    <w:rsid w:val="002B6660"/>
    <w:rsid w:val="002C1179"/>
    <w:rsid w:val="002C6E8D"/>
    <w:rsid w:val="002C7465"/>
    <w:rsid w:val="002C7C96"/>
    <w:rsid w:val="002D1E09"/>
    <w:rsid w:val="002D4AAD"/>
    <w:rsid w:val="002D4D0F"/>
    <w:rsid w:val="002D596B"/>
    <w:rsid w:val="002D66DE"/>
    <w:rsid w:val="002D67B2"/>
    <w:rsid w:val="002E6781"/>
    <w:rsid w:val="002F1B54"/>
    <w:rsid w:val="002F7A53"/>
    <w:rsid w:val="00301AB6"/>
    <w:rsid w:val="003021E4"/>
    <w:rsid w:val="00302754"/>
    <w:rsid w:val="003070CB"/>
    <w:rsid w:val="0030723D"/>
    <w:rsid w:val="00313C39"/>
    <w:rsid w:val="00314AED"/>
    <w:rsid w:val="003156AC"/>
    <w:rsid w:val="00316C3E"/>
    <w:rsid w:val="00316DE0"/>
    <w:rsid w:val="003175FE"/>
    <w:rsid w:val="00317D41"/>
    <w:rsid w:val="00320513"/>
    <w:rsid w:val="003206DC"/>
    <w:rsid w:val="00325EA5"/>
    <w:rsid w:val="00326CFC"/>
    <w:rsid w:val="00327365"/>
    <w:rsid w:val="00327FD3"/>
    <w:rsid w:val="00332AC8"/>
    <w:rsid w:val="003353E9"/>
    <w:rsid w:val="00344FAC"/>
    <w:rsid w:val="00345C9B"/>
    <w:rsid w:val="00352375"/>
    <w:rsid w:val="0035345E"/>
    <w:rsid w:val="00362FB2"/>
    <w:rsid w:val="00363177"/>
    <w:rsid w:val="00363F66"/>
    <w:rsid w:val="00365933"/>
    <w:rsid w:val="00365D74"/>
    <w:rsid w:val="00365EC9"/>
    <w:rsid w:val="00372143"/>
    <w:rsid w:val="00373397"/>
    <w:rsid w:val="0037543C"/>
    <w:rsid w:val="003773D1"/>
    <w:rsid w:val="00381C85"/>
    <w:rsid w:val="0038459B"/>
    <w:rsid w:val="00385DA3"/>
    <w:rsid w:val="00387C23"/>
    <w:rsid w:val="0039778E"/>
    <w:rsid w:val="00397856"/>
    <w:rsid w:val="003A25E8"/>
    <w:rsid w:val="003A491B"/>
    <w:rsid w:val="003A5843"/>
    <w:rsid w:val="003B0AB2"/>
    <w:rsid w:val="003B465F"/>
    <w:rsid w:val="003B5384"/>
    <w:rsid w:val="003B6BA3"/>
    <w:rsid w:val="003B75C6"/>
    <w:rsid w:val="003B7D79"/>
    <w:rsid w:val="003C14F5"/>
    <w:rsid w:val="003C208A"/>
    <w:rsid w:val="003C30EA"/>
    <w:rsid w:val="003C56B8"/>
    <w:rsid w:val="003C716A"/>
    <w:rsid w:val="003C7DC6"/>
    <w:rsid w:val="003D3EBB"/>
    <w:rsid w:val="003D3EE0"/>
    <w:rsid w:val="003D4BE2"/>
    <w:rsid w:val="003D6794"/>
    <w:rsid w:val="003E07D8"/>
    <w:rsid w:val="003E77A2"/>
    <w:rsid w:val="003F357C"/>
    <w:rsid w:val="003F56C6"/>
    <w:rsid w:val="003F6435"/>
    <w:rsid w:val="00402584"/>
    <w:rsid w:val="00405F63"/>
    <w:rsid w:val="00410650"/>
    <w:rsid w:val="004106D2"/>
    <w:rsid w:val="00415073"/>
    <w:rsid w:val="00422A38"/>
    <w:rsid w:val="00423E37"/>
    <w:rsid w:val="004253DB"/>
    <w:rsid w:val="00431C3D"/>
    <w:rsid w:val="00432FAD"/>
    <w:rsid w:val="00433BF6"/>
    <w:rsid w:val="004356A7"/>
    <w:rsid w:val="00440A9D"/>
    <w:rsid w:val="00442AE6"/>
    <w:rsid w:val="00446976"/>
    <w:rsid w:val="00447907"/>
    <w:rsid w:val="004519D5"/>
    <w:rsid w:val="00456FE0"/>
    <w:rsid w:val="00466787"/>
    <w:rsid w:val="00472E08"/>
    <w:rsid w:val="00477664"/>
    <w:rsid w:val="00482CF8"/>
    <w:rsid w:val="00485ED0"/>
    <w:rsid w:val="00487366"/>
    <w:rsid w:val="0048766F"/>
    <w:rsid w:val="004879CD"/>
    <w:rsid w:val="00487C33"/>
    <w:rsid w:val="0049389A"/>
    <w:rsid w:val="004968E1"/>
    <w:rsid w:val="004A0C4B"/>
    <w:rsid w:val="004A3DCD"/>
    <w:rsid w:val="004A4E84"/>
    <w:rsid w:val="004A5172"/>
    <w:rsid w:val="004A57CE"/>
    <w:rsid w:val="004B2244"/>
    <w:rsid w:val="004B5BF9"/>
    <w:rsid w:val="004C2DE0"/>
    <w:rsid w:val="004C3939"/>
    <w:rsid w:val="004C76BE"/>
    <w:rsid w:val="004D3B84"/>
    <w:rsid w:val="004E0202"/>
    <w:rsid w:val="004E10C3"/>
    <w:rsid w:val="004E26B7"/>
    <w:rsid w:val="004E271C"/>
    <w:rsid w:val="004E2A18"/>
    <w:rsid w:val="004E7553"/>
    <w:rsid w:val="004F0CBA"/>
    <w:rsid w:val="004F0EF2"/>
    <w:rsid w:val="004F1E7F"/>
    <w:rsid w:val="005001A2"/>
    <w:rsid w:val="00500281"/>
    <w:rsid w:val="00500E24"/>
    <w:rsid w:val="00500E95"/>
    <w:rsid w:val="00501F1F"/>
    <w:rsid w:val="0050376C"/>
    <w:rsid w:val="005039C4"/>
    <w:rsid w:val="00505FAB"/>
    <w:rsid w:val="00506046"/>
    <w:rsid w:val="00507E4C"/>
    <w:rsid w:val="00510A97"/>
    <w:rsid w:val="00513BED"/>
    <w:rsid w:val="00516E5D"/>
    <w:rsid w:val="005174ED"/>
    <w:rsid w:val="005179E9"/>
    <w:rsid w:val="005228FE"/>
    <w:rsid w:val="00522D0C"/>
    <w:rsid w:val="00525C63"/>
    <w:rsid w:val="0053226A"/>
    <w:rsid w:val="00533E2E"/>
    <w:rsid w:val="00534DDB"/>
    <w:rsid w:val="00535808"/>
    <w:rsid w:val="00536493"/>
    <w:rsid w:val="005366F8"/>
    <w:rsid w:val="00540E01"/>
    <w:rsid w:val="00541737"/>
    <w:rsid w:val="00544DF3"/>
    <w:rsid w:val="00547A48"/>
    <w:rsid w:val="00554703"/>
    <w:rsid w:val="00556386"/>
    <w:rsid w:val="00561106"/>
    <w:rsid w:val="00562584"/>
    <w:rsid w:val="00562B15"/>
    <w:rsid w:val="00562F81"/>
    <w:rsid w:val="00563A53"/>
    <w:rsid w:val="00563C8E"/>
    <w:rsid w:val="00564451"/>
    <w:rsid w:val="005671D6"/>
    <w:rsid w:val="005711E4"/>
    <w:rsid w:val="005765DF"/>
    <w:rsid w:val="0058407F"/>
    <w:rsid w:val="005916A0"/>
    <w:rsid w:val="00592BF4"/>
    <w:rsid w:val="00595AEF"/>
    <w:rsid w:val="00596E6F"/>
    <w:rsid w:val="00597071"/>
    <w:rsid w:val="00597D68"/>
    <w:rsid w:val="005A23D4"/>
    <w:rsid w:val="005A2772"/>
    <w:rsid w:val="005A4595"/>
    <w:rsid w:val="005A4D70"/>
    <w:rsid w:val="005A691F"/>
    <w:rsid w:val="005A71A3"/>
    <w:rsid w:val="005C1C8F"/>
    <w:rsid w:val="005D1463"/>
    <w:rsid w:val="005D418B"/>
    <w:rsid w:val="005D5B5D"/>
    <w:rsid w:val="005E1CEF"/>
    <w:rsid w:val="005E2067"/>
    <w:rsid w:val="005E5B2A"/>
    <w:rsid w:val="005E7BD4"/>
    <w:rsid w:val="005F2FA1"/>
    <w:rsid w:val="005F30DE"/>
    <w:rsid w:val="005F7000"/>
    <w:rsid w:val="006008E8"/>
    <w:rsid w:val="006028A5"/>
    <w:rsid w:val="006040DF"/>
    <w:rsid w:val="006045E0"/>
    <w:rsid w:val="006120B6"/>
    <w:rsid w:val="006173BC"/>
    <w:rsid w:val="00620930"/>
    <w:rsid w:val="006209EC"/>
    <w:rsid w:val="006229E5"/>
    <w:rsid w:val="006245AB"/>
    <w:rsid w:val="0063025A"/>
    <w:rsid w:val="0063048F"/>
    <w:rsid w:val="00634E3E"/>
    <w:rsid w:val="00636ED1"/>
    <w:rsid w:val="006409B5"/>
    <w:rsid w:val="0064149E"/>
    <w:rsid w:val="006472D4"/>
    <w:rsid w:val="006474CC"/>
    <w:rsid w:val="00647A00"/>
    <w:rsid w:val="00650022"/>
    <w:rsid w:val="006505F4"/>
    <w:rsid w:val="00654118"/>
    <w:rsid w:val="00656026"/>
    <w:rsid w:val="00656044"/>
    <w:rsid w:val="0066250D"/>
    <w:rsid w:val="00662CD5"/>
    <w:rsid w:val="00664E0D"/>
    <w:rsid w:val="00672688"/>
    <w:rsid w:val="0067498E"/>
    <w:rsid w:val="00675E70"/>
    <w:rsid w:val="006808BD"/>
    <w:rsid w:val="006818D4"/>
    <w:rsid w:val="00682F69"/>
    <w:rsid w:val="00685258"/>
    <w:rsid w:val="00686C79"/>
    <w:rsid w:val="00692683"/>
    <w:rsid w:val="00693DBE"/>
    <w:rsid w:val="00694139"/>
    <w:rsid w:val="00694524"/>
    <w:rsid w:val="006957CF"/>
    <w:rsid w:val="00697387"/>
    <w:rsid w:val="006974D7"/>
    <w:rsid w:val="00697E55"/>
    <w:rsid w:val="006A0F96"/>
    <w:rsid w:val="006A1EBD"/>
    <w:rsid w:val="006A3331"/>
    <w:rsid w:val="006A6FF6"/>
    <w:rsid w:val="006A7545"/>
    <w:rsid w:val="006B3D6D"/>
    <w:rsid w:val="006C13DF"/>
    <w:rsid w:val="006C2367"/>
    <w:rsid w:val="006C498F"/>
    <w:rsid w:val="006C5267"/>
    <w:rsid w:val="006D1395"/>
    <w:rsid w:val="006D3560"/>
    <w:rsid w:val="006D64A7"/>
    <w:rsid w:val="006D7AC8"/>
    <w:rsid w:val="006E0968"/>
    <w:rsid w:val="006E0DF2"/>
    <w:rsid w:val="006E35E7"/>
    <w:rsid w:val="006E5C93"/>
    <w:rsid w:val="006E79E8"/>
    <w:rsid w:val="006F194A"/>
    <w:rsid w:val="006F3368"/>
    <w:rsid w:val="007016F2"/>
    <w:rsid w:val="00703C67"/>
    <w:rsid w:val="00705CA2"/>
    <w:rsid w:val="0071095C"/>
    <w:rsid w:val="00712230"/>
    <w:rsid w:val="007136D9"/>
    <w:rsid w:val="0071438E"/>
    <w:rsid w:val="00720B00"/>
    <w:rsid w:val="00725CBD"/>
    <w:rsid w:val="00730CF2"/>
    <w:rsid w:val="007337C8"/>
    <w:rsid w:val="00735AC7"/>
    <w:rsid w:val="00736003"/>
    <w:rsid w:val="0073709C"/>
    <w:rsid w:val="007407DF"/>
    <w:rsid w:val="00745952"/>
    <w:rsid w:val="00747177"/>
    <w:rsid w:val="00757D09"/>
    <w:rsid w:val="007615F5"/>
    <w:rsid w:val="0077534C"/>
    <w:rsid w:val="00790684"/>
    <w:rsid w:val="0079155B"/>
    <w:rsid w:val="00791FF7"/>
    <w:rsid w:val="00792AF2"/>
    <w:rsid w:val="007A1676"/>
    <w:rsid w:val="007A2614"/>
    <w:rsid w:val="007A37DE"/>
    <w:rsid w:val="007B1081"/>
    <w:rsid w:val="007B2378"/>
    <w:rsid w:val="007C4DB5"/>
    <w:rsid w:val="007C5957"/>
    <w:rsid w:val="007C6799"/>
    <w:rsid w:val="007D2901"/>
    <w:rsid w:val="007D76D7"/>
    <w:rsid w:val="007E42C8"/>
    <w:rsid w:val="007E5AED"/>
    <w:rsid w:val="007E7D3A"/>
    <w:rsid w:val="007E7F41"/>
    <w:rsid w:val="007F00AD"/>
    <w:rsid w:val="007F0F87"/>
    <w:rsid w:val="007F1C6E"/>
    <w:rsid w:val="007F4226"/>
    <w:rsid w:val="007F4B7D"/>
    <w:rsid w:val="00801950"/>
    <w:rsid w:val="00802E47"/>
    <w:rsid w:val="00805442"/>
    <w:rsid w:val="0080790D"/>
    <w:rsid w:val="00807C81"/>
    <w:rsid w:val="00810126"/>
    <w:rsid w:val="00813323"/>
    <w:rsid w:val="00814495"/>
    <w:rsid w:val="00816DF8"/>
    <w:rsid w:val="008231FD"/>
    <w:rsid w:val="00832C03"/>
    <w:rsid w:val="00833D42"/>
    <w:rsid w:val="00834E63"/>
    <w:rsid w:val="00836828"/>
    <w:rsid w:val="00841D01"/>
    <w:rsid w:val="008422AB"/>
    <w:rsid w:val="00842C5C"/>
    <w:rsid w:val="00843615"/>
    <w:rsid w:val="0084370A"/>
    <w:rsid w:val="008476FA"/>
    <w:rsid w:val="00850D62"/>
    <w:rsid w:val="0085210F"/>
    <w:rsid w:val="00853073"/>
    <w:rsid w:val="00856AD6"/>
    <w:rsid w:val="008603FE"/>
    <w:rsid w:val="00860715"/>
    <w:rsid w:val="00861EA3"/>
    <w:rsid w:val="0086670E"/>
    <w:rsid w:val="00867561"/>
    <w:rsid w:val="00867B68"/>
    <w:rsid w:val="008716FE"/>
    <w:rsid w:val="00882F72"/>
    <w:rsid w:val="00883802"/>
    <w:rsid w:val="00887E5B"/>
    <w:rsid w:val="00893C12"/>
    <w:rsid w:val="008942F0"/>
    <w:rsid w:val="008952ED"/>
    <w:rsid w:val="008A2DFD"/>
    <w:rsid w:val="008A6306"/>
    <w:rsid w:val="008A6B12"/>
    <w:rsid w:val="008A6B6D"/>
    <w:rsid w:val="008B0AF2"/>
    <w:rsid w:val="008B31C7"/>
    <w:rsid w:val="008B5C48"/>
    <w:rsid w:val="008B5E12"/>
    <w:rsid w:val="008C1990"/>
    <w:rsid w:val="008C2214"/>
    <w:rsid w:val="008C73A0"/>
    <w:rsid w:val="008D3AD3"/>
    <w:rsid w:val="008D4C9A"/>
    <w:rsid w:val="008D6382"/>
    <w:rsid w:val="008D7122"/>
    <w:rsid w:val="008E34F2"/>
    <w:rsid w:val="008E5F6E"/>
    <w:rsid w:val="008F10F6"/>
    <w:rsid w:val="008F380C"/>
    <w:rsid w:val="00903BDA"/>
    <w:rsid w:val="00905F4B"/>
    <w:rsid w:val="009079C5"/>
    <w:rsid w:val="00910CBB"/>
    <w:rsid w:val="00913D32"/>
    <w:rsid w:val="00914282"/>
    <w:rsid w:val="00914AB6"/>
    <w:rsid w:val="00914F8E"/>
    <w:rsid w:val="009173DD"/>
    <w:rsid w:val="00917BD1"/>
    <w:rsid w:val="00920462"/>
    <w:rsid w:val="00920F09"/>
    <w:rsid w:val="00921173"/>
    <w:rsid w:val="009214D8"/>
    <w:rsid w:val="009238AD"/>
    <w:rsid w:val="009317B2"/>
    <w:rsid w:val="00932AC0"/>
    <w:rsid w:val="009332E3"/>
    <w:rsid w:val="0093661E"/>
    <w:rsid w:val="0093726D"/>
    <w:rsid w:val="009424D0"/>
    <w:rsid w:val="00946A93"/>
    <w:rsid w:val="009521FF"/>
    <w:rsid w:val="009540FE"/>
    <w:rsid w:val="00962595"/>
    <w:rsid w:val="00962624"/>
    <w:rsid w:val="0097133B"/>
    <w:rsid w:val="00973FD3"/>
    <w:rsid w:val="00976068"/>
    <w:rsid w:val="009767E7"/>
    <w:rsid w:val="009809AE"/>
    <w:rsid w:val="0098363D"/>
    <w:rsid w:val="00983C00"/>
    <w:rsid w:val="00990A9F"/>
    <w:rsid w:val="00990C52"/>
    <w:rsid w:val="0099587B"/>
    <w:rsid w:val="00996E68"/>
    <w:rsid w:val="009A0BA3"/>
    <w:rsid w:val="009A2E60"/>
    <w:rsid w:val="009A47A6"/>
    <w:rsid w:val="009A5AC5"/>
    <w:rsid w:val="009A688A"/>
    <w:rsid w:val="009A757B"/>
    <w:rsid w:val="009A7B1B"/>
    <w:rsid w:val="009B2481"/>
    <w:rsid w:val="009B4E41"/>
    <w:rsid w:val="009B6DB4"/>
    <w:rsid w:val="009B6DD2"/>
    <w:rsid w:val="009C3041"/>
    <w:rsid w:val="009C549C"/>
    <w:rsid w:val="009D1785"/>
    <w:rsid w:val="009D205E"/>
    <w:rsid w:val="009D38D1"/>
    <w:rsid w:val="009E0FC1"/>
    <w:rsid w:val="009E1D2E"/>
    <w:rsid w:val="009E7955"/>
    <w:rsid w:val="009F040F"/>
    <w:rsid w:val="009F5206"/>
    <w:rsid w:val="009F599D"/>
    <w:rsid w:val="009F7A4A"/>
    <w:rsid w:val="00A0794C"/>
    <w:rsid w:val="00A167F2"/>
    <w:rsid w:val="00A24E77"/>
    <w:rsid w:val="00A25E3B"/>
    <w:rsid w:val="00A276A8"/>
    <w:rsid w:val="00A4357F"/>
    <w:rsid w:val="00A43881"/>
    <w:rsid w:val="00A4455F"/>
    <w:rsid w:val="00A4550B"/>
    <w:rsid w:val="00A45ECA"/>
    <w:rsid w:val="00A50D20"/>
    <w:rsid w:val="00A5319D"/>
    <w:rsid w:val="00A5437D"/>
    <w:rsid w:val="00A60025"/>
    <w:rsid w:val="00A632A1"/>
    <w:rsid w:val="00A64CC0"/>
    <w:rsid w:val="00A75387"/>
    <w:rsid w:val="00A75D6F"/>
    <w:rsid w:val="00A80733"/>
    <w:rsid w:val="00A80886"/>
    <w:rsid w:val="00A80DAB"/>
    <w:rsid w:val="00A81EB0"/>
    <w:rsid w:val="00A8385D"/>
    <w:rsid w:val="00A91CCD"/>
    <w:rsid w:val="00A9706F"/>
    <w:rsid w:val="00A97432"/>
    <w:rsid w:val="00A9795C"/>
    <w:rsid w:val="00AA1DFD"/>
    <w:rsid w:val="00AA4A5A"/>
    <w:rsid w:val="00AB0389"/>
    <w:rsid w:val="00AB683C"/>
    <w:rsid w:val="00AC0046"/>
    <w:rsid w:val="00AC0600"/>
    <w:rsid w:val="00AC1B5F"/>
    <w:rsid w:val="00AC52F5"/>
    <w:rsid w:val="00AD2AA1"/>
    <w:rsid w:val="00AD44DB"/>
    <w:rsid w:val="00AD4F4A"/>
    <w:rsid w:val="00AD512D"/>
    <w:rsid w:val="00AD5717"/>
    <w:rsid w:val="00AE0DCB"/>
    <w:rsid w:val="00AE47FE"/>
    <w:rsid w:val="00AE69A8"/>
    <w:rsid w:val="00AF0320"/>
    <w:rsid w:val="00AF221D"/>
    <w:rsid w:val="00AF227C"/>
    <w:rsid w:val="00AF3C3B"/>
    <w:rsid w:val="00B00C21"/>
    <w:rsid w:val="00B04F6F"/>
    <w:rsid w:val="00B10849"/>
    <w:rsid w:val="00B237EC"/>
    <w:rsid w:val="00B23F23"/>
    <w:rsid w:val="00B25806"/>
    <w:rsid w:val="00B27B13"/>
    <w:rsid w:val="00B27BA6"/>
    <w:rsid w:val="00B30062"/>
    <w:rsid w:val="00B302CF"/>
    <w:rsid w:val="00B3068D"/>
    <w:rsid w:val="00B34222"/>
    <w:rsid w:val="00B35FA5"/>
    <w:rsid w:val="00B37F80"/>
    <w:rsid w:val="00B439D7"/>
    <w:rsid w:val="00B453C0"/>
    <w:rsid w:val="00B50D3E"/>
    <w:rsid w:val="00B5151A"/>
    <w:rsid w:val="00B54393"/>
    <w:rsid w:val="00B62C25"/>
    <w:rsid w:val="00B62DD3"/>
    <w:rsid w:val="00B631DD"/>
    <w:rsid w:val="00B65B3A"/>
    <w:rsid w:val="00B670C2"/>
    <w:rsid w:val="00B70757"/>
    <w:rsid w:val="00B71793"/>
    <w:rsid w:val="00B721B9"/>
    <w:rsid w:val="00B72C5D"/>
    <w:rsid w:val="00B74D6E"/>
    <w:rsid w:val="00B77915"/>
    <w:rsid w:val="00B86808"/>
    <w:rsid w:val="00B908A4"/>
    <w:rsid w:val="00B92EDD"/>
    <w:rsid w:val="00B95B10"/>
    <w:rsid w:val="00B96980"/>
    <w:rsid w:val="00BA07C5"/>
    <w:rsid w:val="00BA499B"/>
    <w:rsid w:val="00BB0CB3"/>
    <w:rsid w:val="00BB16D7"/>
    <w:rsid w:val="00BB227C"/>
    <w:rsid w:val="00BB2658"/>
    <w:rsid w:val="00BB2F66"/>
    <w:rsid w:val="00BB3510"/>
    <w:rsid w:val="00BB3AF0"/>
    <w:rsid w:val="00BB4919"/>
    <w:rsid w:val="00BB49C2"/>
    <w:rsid w:val="00BD0D8F"/>
    <w:rsid w:val="00BD2CF0"/>
    <w:rsid w:val="00BD45F1"/>
    <w:rsid w:val="00BD69BB"/>
    <w:rsid w:val="00BD7BB3"/>
    <w:rsid w:val="00BE1687"/>
    <w:rsid w:val="00BE3931"/>
    <w:rsid w:val="00BE3DAB"/>
    <w:rsid w:val="00BE45C2"/>
    <w:rsid w:val="00BE4B15"/>
    <w:rsid w:val="00BF0231"/>
    <w:rsid w:val="00BF78E9"/>
    <w:rsid w:val="00C07009"/>
    <w:rsid w:val="00C070CA"/>
    <w:rsid w:val="00C16412"/>
    <w:rsid w:val="00C21E27"/>
    <w:rsid w:val="00C22ABC"/>
    <w:rsid w:val="00C30EEE"/>
    <w:rsid w:val="00C31AEF"/>
    <w:rsid w:val="00C32491"/>
    <w:rsid w:val="00C374DB"/>
    <w:rsid w:val="00C424DF"/>
    <w:rsid w:val="00C54E07"/>
    <w:rsid w:val="00C5527F"/>
    <w:rsid w:val="00C601C2"/>
    <w:rsid w:val="00C625C6"/>
    <w:rsid w:val="00C7168F"/>
    <w:rsid w:val="00C822B1"/>
    <w:rsid w:val="00C82B75"/>
    <w:rsid w:val="00C84D9C"/>
    <w:rsid w:val="00C871C1"/>
    <w:rsid w:val="00C95838"/>
    <w:rsid w:val="00C96A8A"/>
    <w:rsid w:val="00CA093F"/>
    <w:rsid w:val="00CA36E5"/>
    <w:rsid w:val="00CA51A2"/>
    <w:rsid w:val="00CB0369"/>
    <w:rsid w:val="00CB0CBC"/>
    <w:rsid w:val="00CB3513"/>
    <w:rsid w:val="00CB3981"/>
    <w:rsid w:val="00CB6901"/>
    <w:rsid w:val="00CC1A42"/>
    <w:rsid w:val="00CC2D77"/>
    <w:rsid w:val="00CC3DE7"/>
    <w:rsid w:val="00CC3F9B"/>
    <w:rsid w:val="00CC6FC4"/>
    <w:rsid w:val="00CD0B04"/>
    <w:rsid w:val="00CD0E85"/>
    <w:rsid w:val="00CD6BCC"/>
    <w:rsid w:val="00CE0C36"/>
    <w:rsid w:val="00CE1403"/>
    <w:rsid w:val="00CE2A5E"/>
    <w:rsid w:val="00CE3A88"/>
    <w:rsid w:val="00CE59C4"/>
    <w:rsid w:val="00CF36BD"/>
    <w:rsid w:val="00CF4C18"/>
    <w:rsid w:val="00CF553F"/>
    <w:rsid w:val="00CF5D86"/>
    <w:rsid w:val="00CF6EB6"/>
    <w:rsid w:val="00D01C6D"/>
    <w:rsid w:val="00D0348D"/>
    <w:rsid w:val="00D06B2B"/>
    <w:rsid w:val="00D06E61"/>
    <w:rsid w:val="00D07606"/>
    <w:rsid w:val="00D106F3"/>
    <w:rsid w:val="00D12ACE"/>
    <w:rsid w:val="00D20C6E"/>
    <w:rsid w:val="00D20FD4"/>
    <w:rsid w:val="00D223AA"/>
    <w:rsid w:val="00D22443"/>
    <w:rsid w:val="00D23301"/>
    <w:rsid w:val="00D2346D"/>
    <w:rsid w:val="00D23A9C"/>
    <w:rsid w:val="00D24645"/>
    <w:rsid w:val="00D27A81"/>
    <w:rsid w:val="00D30296"/>
    <w:rsid w:val="00D35597"/>
    <w:rsid w:val="00D40AFF"/>
    <w:rsid w:val="00D41DC9"/>
    <w:rsid w:val="00D42C4A"/>
    <w:rsid w:val="00D4349A"/>
    <w:rsid w:val="00D43607"/>
    <w:rsid w:val="00D4396A"/>
    <w:rsid w:val="00D44CD0"/>
    <w:rsid w:val="00D534F6"/>
    <w:rsid w:val="00D562C0"/>
    <w:rsid w:val="00D57CAF"/>
    <w:rsid w:val="00D64326"/>
    <w:rsid w:val="00D64FBE"/>
    <w:rsid w:val="00D7133B"/>
    <w:rsid w:val="00D7348C"/>
    <w:rsid w:val="00D7409D"/>
    <w:rsid w:val="00D756E4"/>
    <w:rsid w:val="00D75F08"/>
    <w:rsid w:val="00D817D0"/>
    <w:rsid w:val="00D8462D"/>
    <w:rsid w:val="00D85C91"/>
    <w:rsid w:val="00D87022"/>
    <w:rsid w:val="00D92A0D"/>
    <w:rsid w:val="00D92EB5"/>
    <w:rsid w:val="00DA0BF5"/>
    <w:rsid w:val="00DA37DB"/>
    <w:rsid w:val="00DA443E"/>
    <w:rsid w:val="00DA7172"/>
    <w:rsid w:val="00DB2AE5"/>
    <w:rsid w:val="00DB3664"/>
    <w:rsid w:val="00DB3EA7"/>
    <w:rsid w:val="00DB74D4"/>
    <w:rsid w:val="00DB7A90"/>
    <w:rsid w:val="00DC23C3"/>
    <w:rsid w:val="00DC5322"/>
    <w:rsid w:val="00DC5A1C"/>
    <w:rsid w:val="00DD0230"/>
    <w:rsid w:val="00DD10BB"/>
    <w:rsid w:val="00DD20B4"/>
    <w:rsid w:val="00DD4B55"/>
    <w:rsid w:val="00DD52AC"/>
    <w:rsid w:val="00DD70B2"/>
    <w:rsid w:val="00DE243C"/>
    <w:rsid w:val="00DE466E"/>
    <w:rsid w:val="00DE5D37"/>
    <w:rsid w:val="00DE7C64"/>
    <w:rsid w:val="00DF15AE"/>
    <w:rsid w:val="00DF4E43"/>
    <w:rsid w:val="00DF7E03"/>
    <w:rsid w:val="00E07BC2"/>
    <w:rsid w:val="00E12E08"/>
    <w:rsid w:val="00E12FB4"/>
    <w:rsid w:val="00E13E11"/>
    <w:rsid w:val="00E15935"/>
    <w:rsid w:val="00E16571"/>
    <w:rsid w:val="00E17726"/>
    <w:rsid w:val="00E20DC1"/>
    <w:rsid w:val="00E225CC"/>
    <w:rsid w:val="00E226C9"/>
    <w:rsid w:val="00E22895"/>
    <w:rsid w:val="00E254A6"/>
    <w:rsid w:val="00E3411A"/>
    <w:rsid w:val="00E45F81"/>
    <w:rsid w:val="00E47265"/>
    <w:rsid w:val="00E56D1B"/>
    <w:rsid w:val="00E6142E"/>
    <w:rsid w:val="00E6389F"/>
    <w:rsid w:val="00E655FD"/>
    <w:rsid w:val="00E65E5E"/>
    <w:rsid w:val="00E70467"/>
    <w:rsid w:val="00E70F73"/>
    <w:rsid w:val="00E727F3"/>
    <w:rsid w:val="00E74184"/>
    <w:rsid w:val="00E75F68"/>
    <w:rsid w:val="00E8498B"/>
    <w:rsid w:val="00E85FC1"/>
    <w:rsid w:val="00E862C8"/>
    <w:rsid w:val="00E867E9"/>
    <w:rsid w:val="00E91E47"/>
    <w:rsid w:val="00E93042"/>
    <w:rsid w:val="00E93099"/>
    <w:rsid w:val="00E94476"/>
    <w:rsid w:val="00E962B8"/>
    <w:rsid w:val="00E96D64"/>
    <w:rsid w:val="00EA2B95"/>
    <w:rsid w:val="00EA3BCB"/>
    <w:rsid w:val="00EA7569"/>
    <w:rsid w:val="00EB2DEE"/>
    <w:rsid w:val="00EC1189"/>
    <w:rsid w:val="00EC126B"/>
    <w:rsid w:val="00EC27E9"/>
    <w:rsid w:val="00EC3845"/>
    <w:rsid w:val="00EC53EB"/>
    <w:rsid w:val="00EC7780"/>
    <w:rsid w:val="00ED0062"/>
    <w:rsid w:val="00ED133B"/>
    <w:rsid w:val="00ED2AD4"/>
    <w:rsid w:val="00ED6E3E"/>
    <w:rsid w:val="00EE28B8"/>
    <w:rsid w:val="00EE5556"/>
    <w:rsid w:val="00EE7266"/>
    <w:rsid w:val="00EF2331"/>
    <w:rsid w:val="00EF272F"/>
    <w:rsid w:val="00EF2F3C"/>
    <w:rsid w:val="00EF663D"/>
    <w:rsid w:val="00EF6E9E"/>
    <w:rsid w:val="00F04776"/>
    <w:rsid w:val="00F06E54"/>
    <w:rsid w:val="00F0762E"/>
    <w:rsid w:val="00F07E75"/>
    <w:rsid w:val="00F12DC3"/>
    <w:rsid w:val="00F15E19"/>
    <w:rsid w:val="00F17C4E"/>
    <w:rsid w:val="00F230D6"/>
    <w:rsid w:val="00F23540"/>
    <w:rsid w:val="00F24CEC"/>
    <w:rsid w:val="00F258A9"/>
    <w:rsid w:val="00F32D2E"/>
    <w:rsid w:val="00F377EB"/>
    <w:rsid w:val="00F44280"/>
    <w:rsid w:val="00F444C1"/>
    <w:rsid w:val="00F45266"/>
    <w:rsid w:val="00F46040"/>
    <w:rsid w:val="00F50292"/>
    <w:rsid w:val="00F559F8"/>
    <w:rsid w:val="00F5653A"/>
    <w:rsid w:val="00F569F8"/>
    <w:rsid w:val="00F57A87"/>
    <w:rsid w:val="00F57F5F"/>
    <w:rsid w:val="00F6349A"/>
    <w:rsid w:val="00F81680"/>
    <w:rsid w:val="00F832F8"/>
    <w:rsid w:val="00F83D3A"/>
    <w:rsid w:val="00F87567"/>
    <w:rsid w:val="00F934C0"/>
    <w:rsid w:val="00F94CD5"/>
    <w:rsid w:val="00F959B8"/>
    <w:rsid w:val="00FA1B8C"/>
    <w:rsid w:val="00FA276A"/>
    <w:rsid w:val="00FA2FE5"/>
    <w:rsid w:val="00FA3218"/>
    <w:rsid w:val="00FB6215"/>
    <w:rsid w:val="00FC1117"/>
    <w:rsid w:val="00FC2734"/>
    <w:rsid w:val="00FD3513"/>
    <w:rsid w:val="00FD4B38"/>
    <w:rsid w:val="00FD68C4"/>
    <w:rsid w:val="00FE1619"/>
    <w:rsid w:val="00FE23A0"/>
    <w:rsid w:val="00FE2E39"/>
    <w:rsid w:val="00FE3A88"/>
    <w:rsid w:val="00FF1747"/>
    <w:rsid w:val="00FF632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85BD"/>
  <w15:chartTrackingRefBased/>
  <w15:docId w15:val="{BC9FBEE7-4954-4CD3-92E8-D261DE26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650"/>
  </w:style>
  <w:style w:type="paragraph" w:styleId="Heading1">
    <w:name w:val="heading 1"/>
    <w:basedOn w:val="Normal"/>
    <w:next w:val="Normal"/>
    <w:link w:val="Heading1Char"/>
    <w:uiPriority w:val="9"/>
    <w:qFormat/>
    <w:rsid w:val="006E5C93"/>
    <w:pPr>
      <w:keepNext/>
      <w:autoSpaceDE w:val="0"/>
      <w:autoSpaceDN w:val="0"/>
      <w:spacing w:before="120" w:after="0" w:line="240" w:lineRule="auto"/>
      <w:outlineLvl w:val="0"/>
    </w:pPr>
    <w:rPr>
      <w:rFonts w:ascii="Times New Roman" w:eastAsia="Times New Roman" w:hAnsi="Times New Roman" w:cs="Times New Roman"/>
      <w:sz w:val="20"/>
      <w:szCs w:val="24"/>
    </w:rPr>
  </w:style>
  <w:style w:type="paragraph" w:styleId="Heading2">
    <w:name w:val="heading 2"/>
    <w:basedOn w:val="Normal"/>
    <w:link w:val="Heading2Char"/>
    <w:uiPriority w:val="9"/>
    <w:qFormat/>
    <w:rsid w:val="006E5C93"/>
    <w:pPr>
      <w:widowControl w:val="0"/>
      <w:autoSpaceDE w:val="0"/>
      <w:autoSpaceDN w:val="0"/>
      <w:spacing w:after="0" w:line="240" w:lineRule="auto"/>
      <w:ind w:left="1072"/>
      <w:outlineLvl w:val="1"/>
    </w:pPr>
    <w:rPr>
      <w:rFonts w:ascii="Times New Roman" w:eastAsia="Times New Roman" w:hAnsi="Times New Roman" w:cs="Times New Roman"/>
      <w:b/>
      <w:bCs/>
      <w:sz w:val="28"/>
      <w:szCs w:val="28"/>
      <w:lang w:val="en-US"/>
    </w:rPr>
  </w:style>
  <w:style w:type="paragraph" w:styleId="Heading3">
    <w:name w:val="heading 3"/>
    <w:basedOn w:val="Normal"/>
    <w:next w:val="Normal"/>
    <w:link w:val="Heading3Char"/>
    <w:uiPriority w:val="9"/>
    <w:unhideWhenUsed/>
    <w:qFormat/>
    <w:rsid w:val="006E5C93"/>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E5C93"/>
    <w:pPr>
      <w:keepNext/>
      <w:keepLines/>
      <w:spacing w:before="200" w:after="0" w:line="240" w:lineRule="auto"/>
      <w:jc w:val="center"/>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ußnotentext arial,f"/>
    <w:basedOn w:val="Normal"/>
    <w:link w:val="FootnoteTextChar"/>
    <w:uiPriority w:val="99"/>
    <w:unhideWhenUsed/>
    <w:qFormat/>
    <w:rsid w:val="00525C63"/>
    <w:pPr>
      <w:spacing w:after="0" w:line="240" w:lineRule="auto"/>
    </w:pPr>
    <w:rPr>
      <w:sz w:val="20"/>
      <w:szCs w:val="20"/>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 Char"/>
    <w:basedOn w:val="DefaultParagraphFont"/>
    <w:link w:val="FootnoteText"/>
    <w:uiPriority w:val="99"/>
    <w:rsid w:val="00525C63"/>
    <w:rPr>
      <w:sz w:val="20"/>
      <w:szCs w:val="20"/>
    </w:rPr>
  </w:style>
  <w:style w:type="character" w:styleId="FootnoteReference">
    <w:name w:val="footnote reference"/>
    <w:aliases w:val="Footnote symbol,Estilo de nota al pie de Africa,ftref,16 Point,Superscript 6 Point,Footnote Reference Number,Footnote Reference_LVL6,Footnote Reference_LVL61,Footnote Reference_LVL62,Footnote Reference_LVL63"/>
    <w:basedOn w:val="DefaultParagraphFont"/>
    <w:link w:val="AppelnotedebasdepageCharCharCharCharCharCharChar"/>
    <w:unhideWhenUsed/>
    <w:qFormat/>
    <w:rsid w:val="00525C63"/>
    <w:rPr>
      <w:vertAlign w:val="superscript"/>
    </w:rPr>
  </w:style>
  <w:style w:type="paragraph" w:styleId="NormalWeb">
    <w:name w:val="Normal (Web)"/>
    <w:basedOn w:val="Normal"/>
    <w:uiPriority w:val="99"/>
    <w:unhideWhenUsed/>
    <w:rsid w:val="00525C63"/>
    <w:pPr>
      <w:spacing w:before="100" w:beforeAutospacing="1" w:after="100" w:afterAutospacing="1"/>
    </w:pPr>
    <w:rPr>
      <w:rFonts w:ascii="Times New Roman" w:eastAsia="Times New Roman" w:hAnsi="Times New Roman" w:cs="Times New Roman"/>
      <w:sz w:val="24"/>
      <w:szCs w:val="24"/>
      <w:lang w:val="en-US"/>
    </w:rPr>
  </w:style>
  <w:style w:type="paragraph" w:styleId="ListParagraph">
    <w:name w:val="List Paragraph"/>
    <w:aliases w:val="List Paragraph1,List1,List Paragraph11,Colorful List - Accent 11,List Paragraph1111,ПАРАГРАФ"/>
    <w:basedOn w:val="Normal"/>
    <w:link w:val="ListParagraphChar"/>
    <w:qFormat/>
    <w:rsid w:val="00C625C6"/>
    <w:pPr>
      <w:ind w:left="720"/>
      <w:contextualSpacing/>
    </w:pPr>
    <w:rPr>
      <w:rFonts w:eastAsiaTheme="minorEastAsia"/>
    </w:rPr>
  </w:style>
  <w:style w:type="character" w:customStyle="1" w:styleId="ListParagraphChar">
    <w:name w:val="List Paragraph Char"/>
    <w:aliases w:val="List Paragraph1 Char,List1 Char,List Paragraph11 Char,Colorful List - Accent 11 Char,List Paragraph1111 Char,ПАРАГРАФ Char"/>
    <w:link w:val="ListParagraph"/>
    <w:locked/>
    <w:rsid w:val="00C625C6"/>
    <w:rPr>
      <w:rFonts w:eastAsiaTheme="minorEastAsia"/>
    </w:rPr>
  </w:style>
  <w:style w:type="paragraph" w:styleId="BodyText2">
    <w:name w:val="Body Text 2"/>
    <w:basedOn w:val="Normal"/>
    <w:link w:val="BodyText2Char"/>
    <w:uiPriority w:val="99"/>
    <w:semiHidden/>
    <w:unhideWhenUsed/>
    <w:rsid w:val="009809AE"/>
    <w:pPr>
      <w:spacing w:after="120" w:line="480" w:lineRule="auto"/>
    </w:pPr>
    <w:rPr>
      <w:rFonts w:eastAsiaTheme="minorEastAsia"/>
    </w:rPr>
  </w:style>
  <w:style w:type="character" w:customStyle="1" w:styleId="BodyText2Char">
    <w:name w:val="Body Text 2 Char"/>
    <w:basedOn w:val="DefaultParagraphFont"/>
    <w:link w:val="BodyText2"/>
    <w:uiPriority w:val="99"/>
    <w:semiHidden/>
    <w:rsid w:val="009809AE"/>
    <w:rPr>
      <w:rFonts w:eastAsiaTheme="minorEastAsia"/>
    </w:rPr>
  </w:style>
  <w:style w:type="character" w:customStyle="1" w:styleId="Heading1Char">
    <w:name w:val="Heading 1 Char"/>
    <w:basedOn w:val="DefaultParagraphFont"/>
    <w:link w:val="Heading1"/>
    <w:uiPriority w:val="9"/>
    <w:rsid w:val="006E5C93"/>
    <w:rPr>
      <w:rFonts w:ascii="Times New Roman" w:eastAsia="Times New Roman" w:hAnsi="Times New Roman" w:cs="Times New Roman"/>
      <w:sz w:val="20"/>
      <w:szCs w:val="24"/>
    </w:rPr>
  </w:style>
  <w:style w:type="character" w:customStyle="1" w:styleId="Heading2Char">
    <w:name w:val="Heading 2 Char"/>
    <w:basedOn w:val="DefaultParagraphFont"/>
    <w:link w:val="Heading2"/>
    <w:uiPriority w:val="9"/>
    <w:rsid w:val="006E5C93"/>
    <w:rPr>
      <w:rFonts w:ascii="Times New Roman" w:eastAsia="Times New Roman" w:hAnsi="Times New Roman" w:cs="Times New Roman"/>
      <w:b/>
      <w:bCs/>
      <w:sz w:val="28"/>
      <w:szCs w:val="28"/>
      <w:lang w:val="en-US"/>
    </w:rPr>
  </w:style>
  <w:style w:type="character" w:customStyle="1" w:styleId="Heading3Char">
    <w:name w:val="Heading 3 Char"/>
    <w:basedOn w:val="DefaultParagraphFont"/>
    <w:link w:val="Heading3"/>
    <w:uiPriority w:val="9"/>
    <w:rsid w:val="006E5C93"/>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6E5C93"/>
    <w:rPr>
      <w:rFonts w:asciiTheme="majorHAnsi" w:eastAsiaTheme="majorEastAsia" w:hAnsiTheme="majorHAnsi" w:cstheme="majorBidi"/>
      <w:b/>
      <w:bCs/>
      <w:i/>
      <w:iCs/>
      <w:color w:val="5B9BD5" w:themeColor="accent1"/>
    </w:rPr>
  </w:style>
  <w:style w:type="character" w:styleId="Hyperlink">
    <w:name w:val="Hyperlink"/>
    <w:uiPriority w:val="99"/>
    <w:rsid w:val="006E5C93"/>
    <w:rPr>
      <w:color w:val="0000FF"/>
      <w:u w:val="single"/>
    </w:rPr>
  </w:style>
  <w:style w:type="paragraph" w:styleId="BodyText">
    <w:name w:val="Body Text"/>
    <w:basedOn w:val="Normal"/>
    <w:link w:val="BodyTextChar"/>
    <w:uiPriority w:val="1"/>
    <w:qFormat/>
    <w:rsid w:val="006E5C93"/>
    <w:pPr>
      <w:autoSpaceDE w:val="0"/>
      <w:autoSpaceDN w:val="0"/>
      <w:spacing w:before="120" w:after="0" w:line="240" w:lineRule="auto"/>
      <w:jc w:val="both"/>
    </w:pPr>
    <w:rPr>
      <w:rFonts w:ascii="Times New Roman CYR" w:eastAsia="Times New Roman" w:hAnsi="Times New Roman CYR" w:cs="Times New Roman"/>
    </w:rPr>
  </w:style>
  <w:style w:type="character" w:customStyle="1" w:styleId="BodyTextChar">
    <w:name w:val="Body Text Char"/>
    <w:basedOn w:val="DefaultParagraphFont"/>
    <w:link w:val="BodyText"/>
    <w:uiPriority w:val="1"/>
    <w:rsid w:val="006E5C93"/>
    <w:rPr>
      <w:rFonts w:ascii="Times New Roman CYR" w:eastAsia="Times New Roman" w:hAnsi="Times New Roman CYR" w:cs="Times New Roman"/>
    </w:rPr>
  </w:style>
  <w:style w:type="paragraph" w:styleId="PlainText">
    <w:name w:val="Plain Text"/>
    <w:basedOn w:val="Normal"/>
    <w:link w:val="PlainTextChar"/>
    <w:rsid w:val="006E5C93"/>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6E5C93"/>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6E5C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C93"/>
    <w:rPr>
      <w:rFonts w:ascii="Tahoma" w:hAnsi="Tahoma" w:cs="Tahoma"/>
      <w:sz w:val="16"/>
      <w:szCs w:val="16"/>
    </w:rPr>
  </w:style>
  <w:style w:type="character" w:customStyle="1" w:styleId="mw-headline">
    <w:name w:val="mw-headline"/>
    <w:basedOn w:val="DefaultParagraphFont"/>
    <w:rsid w:val="006E5C93"/>
  </w:style>
  <w:style w:type="character" w:customStyle="1" w:styleId="mw-editsection1">
    <w:name w:val="mw-editsection1"/>
    <w:basedOn w:val="DefaultParagraphFont"/>
    <w:rsid w:val="006E5C93"/>
  </w:style>
  <w:style w:type="character" w:customStyle="1" w:styleId="mw-editsection-bracket">
    <w:name w:val="mw-editsection-bracket"/>
    <w:basedOn w:val="DefaultParagraphFont"/>
    <w:rsid w:val="006E5C93"/>
  </w:style>
  <w:style w:type="character" w:customStyle="1" w:styleId="mw-editsection-divider1">
    <w:name w:val="mw-editsection-divider1"/>
    <w:basedOn w:val="DefaultParagraphFont"/>
    <w:rsid w:val="006E5C93"/>
    <w:rPr>
      <w:color w:val="555555"/>
    </w:rPr>
  </w:style>
  <w:style w:type="table" w:styleId="TableGrid">
    <w:name w:val="Table Grid"/>
    <w:basedOn w:val="TableNormal"/>
    <w:uiPriority w:val="59"/>
    <w:rsid w:val="006E5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писък на абзаци1"/>
    <w:basedOn w:val="Normal"/>
    <w:qFormat/>
    <w:rsid w:val="006E5C93"/>
    <w:pPr>
      <w:spacing w:after="0" w:line="240" w:lineRule="auto"/>
      <w:ind w:left="720"/>
      <w:contextualSpacing/>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E5C93"/>
    <w:rPr>
      <w:b/>
      <w:bCs/>
    </w:rPr>
  </w:style>
  <w:style w:type="character" w:customStyle="1" w:styleId="textexposedshow">
    <w:name w:val="text_exposed_show"/>
    <w:basedOn w:val="DefaultParagraphFont"/>
    <w:rsid w:val="006E5C93"/>
  </w:style>
  <w:style w:type="paragraph" w:styleId="BodyTextIndent2">
    <w:name w:val="Body Text Indent 2"/>
    <w:basedOn w:val="Normal"/>
    <w:link w:val="BodyTextIndent2Char"/>
    <w:uiPriority w:val="99"/>
    <w:semiHidden/>
    <w:unhideWhenUsed/>
    <w:rsid w:val="006E5C93"/>
    <w:pPr>
      <w:spacing w:after="120" w:line="480" w:lineRule="auto"/>
      <w:ind w:left="283"/>
      <w:jc w:val="center"/>
    </w:pPr>
  </w:style>
  <w:style w:type="character" w:customStyle="1" w:styleId="BodyTextIndent2Char">
    <w:name w:val="Body Text Indent 2 Char"/>
    <w:basedOn w:val="DefaultParagraphFont"/>
    <w:link w:val="BodyTextIndent2"/>
    <w:uiPriority w:val="99"/>
    <w:semiHidden/>
    <w:rsid w:val="006E5C93"/>
  </w:style>
  <w:style w:type="paragraph" w:styleId="Header">
    <w:name w:val="header"/>
    <w:basedOn w:val="Normal"/>
    <w:link w:val="HeaderChar"/>
    <w:uiPriority w:val="99"/>
    <w:unhideWhenUsed/>
    <w:rsid w:val="006E5C93"/>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E5C93"/>
    <w:rPr>
      <w:rFonts w:ascii="Calibri" w:eastAsia="Calibri" w:hAnsi="Calibri" w:cs="Times New Roman"/>
    </w:rPr>
  </w:style>
  <w:style w:type="paragraph" w:customStyle="1" w:styleId="Style3">
    <w:name w:val="Style3"/>
    <w:basedOn w:val="Normal"/>
    <w:uiPriority w:val="99"/>
    <w:rsid w:val="006E5C93"/>
    <w:pPr>
      <w:pBdr>
        <w:bottom w:val="thinThickSmallGap" w:sz="24" w:space="1" w:color="000000"/>
      </w:pBdr>
      <w:suppressAutoHyphens/>
      <w:spacing w:before="120" w:after="120" w:line="240" w:lineRule="auto"/>
      <w:ind w:firstLine="709"/>
      <w:jc w:val="both"/>
    </w:pPr>
    <w:rPr>
      <w:rFonts w:ascii="Times New Roman" w:eastAsia="Times New Roman" w:hAnsi="Times New Roman" w:cs="Times New Roman"/>
      <w:sz w:val="24"/>
      <w:szCs w:val="24"/>
      <w:lang w:eastAsia="zh-CN"/>
    </w:rPr>
  </w:style>
  <w:style w:type="paragraph" w:customStyle="1" w:styleId="TableParagraph">
    <w:name w:val="Table Paragraph"/>
    <w:basedOn w:val="Normal"/>
    <w:uiPriority w:val="1"/>
    <w:qFormat/>
    <w:rsid w:val="006E5C93"/>
    <w:pPr>
      <w:widowControl w:val="0"/>
      <w:autoSpaceDE w:val="0"/>
      <w:autoSpaceDN w:val="0"/>
      <w:spacing w:after="0" w:line="240" w:lineRule="auto"/>
      <w:jc w:val="right"/>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6E5C93"/>
    <w:rPr>
      <w:sz w:val="16"/>
      <w:szCs w:val="16"/>
    </w:rPr>
  </w:style>
  <w:style w:type="paragraph" w:styleId="BodyText3">
    <w:name w:val="Body Text 3"/>
    <w:basedOn w:val="Normal"/>
    <w:link w:val="BodyText3Char"/>
    <w:uiPriority w:val="99"/>
    <w:semiHidden/>
    <w:unhideWhenUsed/>
    <w:rsid w:val="006E5C93"/>
    <w:pPr>
      <w:widowControl w:val="0"/>
      <w:autoSpaceDE w:val="0"/>
      <w:autoSpaceDN w:val="0"/>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semiHidden/>
    <w:rsid w:val="006E5C93"/>
    <w:rPr>
      <w:rFonts w:ascii="Times New Roman" w:eastAsia="Times New Roman" w:hAnsi="Times New Roman" w:cs="Times New Roman"/>
      <w:sz w:val="16"/>
      <w:szCs w:val="16"/>
      <w:lang w:val="en-US"/>
    </w:rPr>
  </w:style>
  <w:style w:type="paragraph" w:styleId="CommentText">
    <w:name w:val="annotation text"/>
    <w:basedOn w:val="Normal"/>
    <w:link w:val="CommentTextChar"/>
    <w:uiPriority w:val="99"/>
    <w:semiHidden/>
    <w:unhideWhenUsed/>
    <w:rsid w:val="006E5C93"/>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6E5C9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E5C93"/>
    <w:rPr>
      <w:b/>
      <w:bCs/>
    </w:rPr>
  </w:style>
  <w:style w:type="character" w:customStyle="1" w:styleId="CommentSubjectChar">
    <w:name w:val="Comment Subject Char"/>
    <w:basedOn w:val="CommentTextChar"/>
    <w:link w:val="CommentSubject"/>
    <w:uiPriority w:val="99"/>
    <w:semiHidden/>
    <w:rsid w:val="006E5C93"/>
    <w:rPr>
      <w:rFonts w:ascii="Times New Roman" w:eastAsia="Times New Roman" w:hAnsi="Times New Roman" w:cs="Times New Roman"/>
      <w:b/>
      <w:bCs/>
      <w:sz w:val="20"/>
      <w:szCs w:val="20"/>
      <w:lang w:val="en-US"/>
    </w:rPr>
  </w:style>
  <w:style w:type="paragraph" w:styleId="Footer">
    <w:name w:val="footer"/>
    <w:basedOn w:val="Normal"/>
    <w:link w:val="FooterChar"/>
    <w:uiPriority w:val="99"/>
    <w:unhideWhenUsed/>
    <w:rsid w:val="006E5C93"/>
    <w:pPr>
      <w:widowControl w:val="0"/>
      <w:tabs>
        <w:tab w:val="center" w:pos="4536"/>
        <w:tab w:val="right" w:pos="9072"/>
      </w:tabs>
      <w:autoSpaceDE w:val="0"/>
      <w:autoSpaceDN w:val="0"/>
      <w:spacing w:after="0" w:line="240" w:lineRule="auto"/>
    </w:pPr>
    <w:rPr>
      <w:rFonts w:ascii="Times New Roman" w:eastAsia="Times New Roman" w:hAnsi="Times New Roman" w:cs="Times New Roman"/>
      <w:lang w:val="en-US"/>
    </w:rPr>
  </w:style>
  <w:style w:type="character" w:customStyle="1" w:styleId="FooterChar">
    <w:name w:val="Footer Char"/>
    <w:basedOn w:val="DefaultParagraphFont"/>
    <w:link w:val="Footer"/>
    <w:uiPriority w:val="99"/>
    <w:rsid w:val="006E5C93"/>
    <w:rPr>
      <w:rFonts w:ascii="Times New Roman" w:eastAsia="Times New Roman" w:hAnsi="Times New Roman" w:cs="Times New Roman"/>
      <w:lang w:val="en-US"/>
    </w:rPr>
  </w:style>
  <w:style w:type="paragraph" w:styleId="Title">
    <w:name w:val="Title"/>
    <w:basedOn w:val="Normal"/>
    <w:link w:val="TitleChar"/>
    <w:qFormat/>
    <w:rsid w:val="006E5C93"/>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6E5C93"/>
    <w:rPr>
      <w:rFonts w:ascii="Times New Roman" w:eastAsia="Times New Roman" w:hAnsi="Times New Roman" w:cs="Times New Roman"/>
      <w:sz w:val="28"/>
      <w:szCs w:val="20"/>
    </w:rPr>
  </w:style>
  <w:style w:type="paragraph" w:customStyle="1" w:styleId="Default">
    <w:name w:val="Default"/>
    <w:rsid w:val="006E5C93"/>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2">
    <w:name w:val="Основен текст (2)_"/>
    <w:link w:val="20"/>
    <w:locked/>
    <w:rsid w:val="006E5C93"/>
    <w:rPr>
      <w:shd w:val="clear" w:color="auto" w:fill="FFFFFF"/>
    </w:rPr>
  </w:style>
  <w:style w:type="paragraph" w:customStyle="1" w:styleId="20">
    <w:name w:val="Основен текст (2)"/>
    <w:basedOn w:val="Normal"/>
    <w:link w:val="2"/>
    <w:rsid w:val="006E5C93"/>
    <w:pPr>
      <w:widowControl w:val="0"/>
      <w:shd w:val="clear" w:color="auto" w:fill="FFFFFF"/>
      <w:spacing w:before="120" w:after="0" w:line="274" w:lineRule="exact"/>
      <w:ind w:hanging="400"/>
      <w:jc w:val="both"/>
    </w:pPr>
  </w:style>
  <w:style w:type="paragraph" w:styleId="NoSpacing">
    <w:name w:val="No Spacing"/>
    <w:uiPriority w:val="1"/>
    <w:qFormat/>
    <w:rsid w:val="006E5C93"/>
    <w:pPr>
      <w:spacing w:after="0" w:line="240" w:lineRule="auto"/>
    </w:pPr>
    <w:rPr>
      <w:rFonts w:ascii="Calibri" w:eastAsia="Calibri" w:hAnsi="Calibri" w:cs="Times New Roman"/>
    </w:rPr>
  </w:style>
  <w:style w:type="character" w:customStyle="1" w:styleId="k-link28">
    <w:name w:val="k-link28"/>
    <w:basedOn w:val="DefaultParagraphFont"/>
    <w:rsid w:val="006E5C93"/>
    <w:rPr>
      <w:strike w:val="0"/>
      <w:dstrike w:val="0"/>
      <w:u w:val="none"/>
      <w:effect w:val="none"/>
    </w:rPr>
  </w:style>
  <w:style w:type="character" w:styleId="Emphasis">
    <w:name w:val="Emphasis"/>
    <w:basedOn w:val="DefaultParagraphFont"/>
    <w:uiPriority w:val="20"/>
    <w:qFormat/>
    <w:rsid w:val="006E5C93"/>
    <w:rPr>
      <w:i/>
      <w:iCs/>
    </w:rPr>
  </w:style>
  <w:style w:type="character" w:customStyle="1" w:styleId="english-link2">
    <w:name w:val="english-link2"/>
    <w:basedOn w:val="DefaultParagraphFont"/>
    <w:rsid w:val="006E5C93"/>
  </w:style>
  <w:style w:type="paragraph" w:customStyle="1" w:styleId="Pa0">
    <w:name w:val="Pa0"/>
    <w:basedOn w:val="Default"/>
    <w:next w:val="Default"/>
    <w:uiPriority w:val="99"/>
    <w:rsid w:val="006E5C93"/>
    <w:pPr>
      <w:spacing w:line="241" w:lineRule="atLeast"/>
    </w:pPr>
    <w:rPr>
      <w:rFonts w:ascii="EC Square Sans Pro" w:eastAsiaTheme="minorHAnsi" w:hAnsi="EC Square Sans Pro" w:cstheme="minorBidi"/>
      <w:color w:val="auto"/>
      <w:lang w:eastAsia="en-US"/>
    </w:rPr>
  </w:style>
  <w:style w:type="character" w:customStyle="1" w:styleId="A2">
    <w:name w:val="A2"/>
    <w:uiPriority w:val="99"/>
    <w:rsid w:val="006E5C93"/>
    <w:rPr>
      <w:rFonts w:cs="EC Square Sans Pro"/>
      <w:b/>
      <w:bCs/>
      <w:color w:val="000000"/>
      <w:sz w:val="48"/>
      <w:szCs w:val="48"/>
    </w:rPr>
  </w:style>
  <w:style w:type="character" w:customStyle="1" w:styleId="A5">
    <w:name w:val="A5"/>
    <w:uiPriority w:val="99"/>
    <w:rsid w:val="006E5C93"/>
    <w:rPr>
      <w:rFonts w:cs="EC Square Sans Pro"/>
      <w:color w:val="000000"/>
      <w:sz w:val="20"/>
      <w:szCs w:val="20"/>
    </w:rPr>
  </w:style>
  <w:style w:type="paragraph" w:customStyle="1" w:styleId="Pa5">
    <w:name w:val="Pa5"/>
    <w:basedOn w:val="Default"/>
    <w:next w:val="Default"/>
    <w:uiPriority w:val="99"/>
    <w:rsid w:val="006E5C93"/>
    <w:pPr>
      <w:spacing w:line="281" w:lineRule="atLeast"/>
    </w:pPr>
    <w:rPr>
      <w:rFonts w:ascii="EC Square Sans Pro" w:eastAsiaTheme="minorHAnsi" w:hAnsi="EC Square Sans Pro" w:cstheme="minorBidi"/>
      <w:color w:val="auto"/>
      <w:lang w:eastAsia="en-US"/>
    </w:rPr>
  </w:style>
  <w:style w:type="paragraph" w:customStyle="1" w:styleId="Pa6">
    <w:name w:val="Pa6"/>
    <w:basedOn w:val="Default"/>
    <w:next w:val="Default"/>
    <w:uiPriority w:val="99"/>
    <w:rsid w:val="006E5C93"/>
    <w:pPr>
      <w:spacing w:line="221" w:lineRule="atLeast"/>
    </w:pPr>
    <w:rPr>
      <w:rFonts w:ascii="EC Square Sans Pro" w:eastAsiaTheme="minorHAnsi" w:hAnsi="EC Square Sans Pro" w:cstheme="minorBidi"/>
      <w:color w:val="auto"/>
      <w:lang w:eastAsia="en-US"/>
    </w:rPr>
  </w:style>
  <w:style w:type="paragraph" w:customStyle="1" w:styleId="Pa13">
    <w:name w:val="Pa13"/>
    <w:basedOn w:val="Default"/>
    <w:next w:val="Default"/>
    <w:uiPriority w:val="99"/>
    <w:rsid w:val="006E5C93"/>
    <w:pPr>
      <w:spacing w:line="221" w:lineRule="atLeast"/>
    </w:pPr>
    <w:rPr>
      <w:rFonts w:ascii="EC Square Sans Pro" w:eastAsiaTheme="minorHAnsi" w:hAnsi="EC Square Sans Pro" w:cstheme="minorBidi"/>
      <w:color w:val="auto"/>
      <w:lang w:eastAsia="en-US"/>
    </w:rPr>
  </w:style>
  <w:style w:type="paragraph" w:customStyle="1" w:styleId="Pa3">
    <w:name w:val="Pa3"/>
    <w:basedOn w:val="Default"/>
    <w:next w:val="Default"/>
    <w:uiPriority w:val="99"/>
    <w:rsid w:val="006E5C93"/>
    <w:pPr>
      <w:spacing w:line="241" w:lineRule="atLeast"/>
    </w:pPr>
    <w:rPr>
      <w:rFonts w:ascii="EC Square Sans Pro" w:eastAsiaTheme="minorHAnsi" w:hAnsi="EC Square Sans Pro" w:cstheme="minorBidi"/>
      <w:color w:val="auto"/>
      <w:lang w:eastAsia="en-US"/>
    </w:rPr>
  </w:style>
  <w:style w:type="character" w:customStyle="1" w:styleId="A0">
    <w:name w:val="A0"/>
    <w:uiPriority w:val="99"/>
    <w:rsid w:val="006E5C93"/>
    <w:rPr>
      <w:rFonts w:ascii="IRUSGN+ECSquareSansCondPro-Bold" w:hAnsi="IRUSGN+ECSquareSansCondPro-Bold" w:cs="IRUSGN+ECSquareSansCondPro-Bold"/>
      <w:color w:val="000000"/>
      <w:sz w:val="16"/>
      <w:szCs w:val="16"/>
    </w:rPr>
  </w:style>
  <w:style w:type="paragraph" w:customStyle="1" w:styleId="Pa1">
    <w:name w:val="Pa1"/>
    <w:basedOn w:val="Default"/>
    <w:next w:val="Default"/>
    <w:uiPriority w:val="99"/>
    <w:rsid w:val="006E5C93"/>
    <w:pPr>
      <w:spacing w:line="241" w:lineRule="atLeast"/>
    </w:pPr>
    <w:rPr>
      <w:rFonts w:ascii="EC Square Sans Pro" w:eastAsiaTheme="minorHAnsi" w:hAnsi="EC Square Sans Pro" w:cstheme="minorBidi"/>
      <w:color w:val="auto"/>
      <w:lang w:eastAsia="en-US"/>
    </w:rPr>
  </w:style>
  <w:style w:type="paragraph" w:customStyle="1" w:styleId="Pa2">
    <w:name w:val="Pa2"/>
    <w:basedOn w:val="Default"/>
    <w:next w:val="Default"/>
    <w:uiPriority w:val="99"/>
    <w:rsid w:val="006E5C93"/>
    <w:pPr>
      <w:spacing w:line="221" w:lineRule="atLeast"/>
    </w:pPr>
    <w:rPr>
      <w:rFonts w:ascii="EC Square Sans Pro" w:eastAsiaTheme="minorHAnsi" w:hAnsi="EC Square Sans Pro" w:cstheme="minorBidi"/>
      <w:color w:val="auto"/>
      <w:lang w:eastAsia="en-US"/>
    </w:rPr>
  </w:style>
  <w:style w:type="paragraph" w:customStyle="1" w:styleId="Pa16">
    <w:name w:val="Pa16"/>
    <w:basedOn w:val="Default"/>
    <w:next w:val="Default"/>
    <w:uiPriority w:val="99"/>
    <w:rsid w:val="006E5C93"/>
    <w:pPr>
      <w:spacing w:line="221" w:lineRule="atLeast"/>
    </w:pPr>
    <w:rPr>
      <w:rFonts w:ascii="Garamond" w:eastAsiaTheme="minorHAnsi" w:hAnsi="Garamond" w:cstheme="minorBidi"/>
      <w:color w:val="auto"/>
      <w:lang w:eastAsia="en-US"/>
    </w:rPr>
  </w:style>
  <w:style w:type="paragraph" w:customStyle="1" w:styleId="Pa14">
    <w:name w:val="Pa14"/>
    <w:basedOn w:val="Default"/>
    <w:next w:val="Default"/>
    <w:uiPriority w:val="99"/>
    <w:rsid w:val="006E5C93"/>
    <w:pPr>
      <w:spacing w:line="181" w:lineRule="atLeast"/>
    </w:pPr>
    <w:rPr>
      <w:rFonts w:ascii="EC Square Sans Pro" w:eastAsiaTheme="minorHAnsi" w:hAnsi="EC Square Sans Pro" w:cstheme="minorBidi"/>
      <w:color w:val="auto"/>
      <w:lang w:eastAsia="en-US"/>
    </w:rPr>
  </w:style>
  <w:style w:type="paragraph" w:customStyle="1" w:styleId="Style1">
    <w:name w:val="Style1"/>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2">
    <w:name w:val="Style2"/>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4">
    <w:name w:val="Style4"/>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6">
    <w:name w:val="Style6"/>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7">
    <w:name w:val="Style7"/>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8">
    <w:name w:val="Style8"/>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9">
    <w:name w:val="Style9"/>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1">
    <w:name w:val="Style11"/>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3">
    <w:name w:val="Style13"/>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4">
    <w:name w:val="Style14"/>
    <w:basedOn w:val="Normal"/>
    <w:uiPriority w:val="99"/>
    <w:rsid w:val="006E5C93"/>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customStyle="1" w:styleId="FontStyle16">
    <w:name w:val="Font Style16"/>
    <w:basedOn w:val="DefaultParagraphFont"/>
    <w:uiPriority w:val="99"/>
    <w:rsid w:val="006E5C93"/>
    <w:rPr>
      <w:rFonts w:ascii="Times New Roman" w:hAnsi="Times New Roman" w:cs="Times New Roman"/>
      <w:i/>
      <w:iCs/>
      <w:sz w:val="24"/>
      <w:szCs w:val="24"/>
    </w:rPr>
  </w:style>
  <w:style w:type="character" w:customStyle="1" w:styleId="FontStyle17">
    <w:name w:val="Font Style17"/>
    <w:basedOn w:val="DefaultParagraphFont"/>
    <w:uiPriority w:val="99"/>
    <w:rsid w:val="006E5C93"/>
    <w:rPr>
      <w:rFonts w:ascii="Times New Roman" w:hAnsi="Times New Roman" w:cs="Times New Roman"/>
      <w:b/>
      <w:bCs/>
      <w:i/>
      <w:iCs/>
      <w:sz w:val="20"/>
      <w:szCs w:val="20"/>
    </w:rPr>
  </w:style>
  <w:style w:type="character" w:customStyle="1" w:styleId="FontStyle18">
    <w:name w:val="Font Style18"/>
    <w:basedOn w:val="DefaultParagraphFont"/>
    <w:uiPriority w:val="99"/>
    <w:rsid w:val="006E5C93"/>
    <w:rPr>
      <w:rFonts w:ascii="Times New Roman" w:hAnsi="Times New Roman" w:cs="Times New Roman"/>
      <w:b/>
      <w:bCs/>
      <w:sz w:val="26"/>
      <w:szCs w:val="26"/>
    </w:rPr>
  </w:style>
  <w:style w:type="character" w:customStyle="1" w:styleId="FontStyle19">
    <w:name w:val="Font Style19"/>
    <w:basedOn w:val="DefaultParagraphFont"/>
    <w:uiPriority w:val="99"/>
    <w:rsid w:val="006E5C93"/>
    <w:rPr>
      <w:rFonts w:ascii="Times New Roman" w:hAnsi="Times New Roman" w:cs="Times New Roman"/>
      <w:b/>
      <w:bCs/>
      <w:sz w:val="20"/>
      <w:szCs w:val="20"/>
    </w:rPr>
  </w:style>
  <w:style w:type="character" w:customStyle="1" w:styleId="FontStyle20">
    <w:name w:val="Font Style20"/>
    <w:basedOn w:val="DefaultParagraphFont"/>
    <w:uiPriority w:val="99"/>
    <w:rsid w:val="006E5C93"/>
    <w:rPr>
      <w:rFonts w:ascii="Times New Roman" w:hAnsi="Times New Roman" w:cs="Times New Roman"/>
      <w:sz w:val="18"/>
      <w:szCs w:val="18"/>
    </w:rPr>
  </w:style>
  <w:style w:type="character" w:customStyle="1" w:styleId="FontStyle21">
    <w:name w:val="Font Style21"/>
    <w:basedOn w:val="DefaultParagraphFont"/>
    <w:uiPriority w:val="99"/>
    <w:rsid w:val="006E5C93"/>
    <w:rPr>
      <w:rFonts w:ascii="Times New Roman" w:hAnsi="Times New Roman" w:cs="Times New Roman"/>
      <w:sz w:val="20"/>
      <w:szCs w:val="20"/>
    </w:rPr>
  </w:style>
  <w:style w:type="character" w:customStyle="1" w:styleId="FontStyle22">
    <w:name w:val="Font Style22"/>
    <w:basedOn w:val="DefaultParagraphFont"/>
    <w:uiPriority w:val="99"/>
    <w:rsid w:val="006E5C93"/>
    <w:rPr>
      <w:rFonts w:ascii="Times New Roman" w:hAnsi="Times New Roman" w:cs="Times New Roman"/>
      <w:sz w:val="18"/>
      <w:szCs w:val="18"/>
    </w:rPr>
  </w:style>
  <w:style w:type="paragraph" w:styleId="z-TopofForm">
    <w:name w:val="HTML Top of Form"/>
    <w:basedOn w:val="Normal"/>
    <w:next w:val="Normal"/>
    <w:link w:val="z-TopofFormChar"/>
    <w:hidden/>
    <w:uiPriority w:val="99"/>
    <w:unhideWhenUsed/>
    <w:rsid w:val="006E5C93"/>
    <w:pPr>
      <w:pBdr>
        <w:bottom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TopofFormChar">
    <w:name w:val="z-Top of Form Char"/>
    <w:basedOn w:val="DefaultParagraphFont"/>
    <w:link w:val="z-TopofForm"/>
    <w:uiPriority w:val="99"/>
    <w:rsid w:val="006E5C93"/>
    <w:rPr>
      <w:rFonts w:ascii="Arial" w:eastAsia="Times New Roman" w:hAnsi="Arial" w:cs="Arial"/>
      <w:vanish/>
      <w:sz w:val="16"/>
      <w:szCs w:val="16"/>
      <w:lang w:eastAsia="bg-BG"/>
    </w:rPr>
  </w:style>
  <w:style w:type="paragraph" w:styleId="z-BottomofForm">
    <w:name w:val="HTML Bottom of Form"/>
    <w:basedOn w:val="Normal"/>
    <w:next w:val="Normal"/>
    <w:link w:val="z-BottomofFormChar"/>
    <w:hidden/>
    <w:uiPriority w:val="99"/>
    <w:semiHidden/>
    <w:unhideWhenUsed/>
    <w:rsid w:val="006E5C93"/>
    <w:pPr>
      <w:pBdr>
        <w:top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BottomofFormChar">
    <w:name w:val="z-Bottom of Form Char"/>
    <w:basedOn w:val="DefaultParagraphFont"/>
    <w:link w:val="z-BottomofForm"/>
    <w:uiPriority w:val="99"/>
    <w:semiHidden/>
    <w:rsid w:val="006E5C93"/>
    <w:rPr>
      <w:rFonts w:ascii="Arial" w:eastAsia="Times New Roman" w:hAnsi="Arial" w:cs="Arial"/>
      <w:vanish/>
      <w:sz w:val="16"/>
      <w:szCs w:val="16"/>
      <w:lang w:eastAsia="bg-BG"/>
    </w:rPr>
  </w:style>
  <w:style w:type="paragraph" w:customStyle="1" w:styleId="submitted1">
    <w:name w:val="submitted1"/>
    <w:basedOn w:val="Normal"/>
    <w:rsid w:val="006E5C93"/>
    <w:pPr>
      <w:spacing w:after="0" w:line="240" w:lineRule="auto"/>
    </w:pPr>
    <w:rPr>
      <w:rFonts w:ascii="Times New Roman" w:eastAsia="Times New Roman" w:hAnsi="Times New Roman" w:cs="Times New Roman"/>
      <w:i/>
      <w:iCs/>
      <w:lang w:eastAsia="bg-BG"/>
    </w:rPr>
  </w:style>
  <w:style w:type="paragraph" w:customStyle="1" w:styleId="Pa20">
    <w:name w:val="Pa20"/>
    <w:basedOn w:val="Default"/>
    <w:next w:val="Default"/>
    <w:uiPriority w:val="99"/>
    <w:rsid w:val="006E5C93"/>
    <w:pPr>
      <w:spacing w:line="181" w:lineRule="atLeast"/>
    </w:pPr>
    <w:rPr>
      <w:rFonts w:ascii="Garamond" w:eastAsiaTheme="minorHAnsi" w:hAnsi="Garamond" w:cstheme="minorBidi"/>
      <w:color w:val="auto"/>
      <w:lang w:eastAsia="en-US"/>
    </w:rPr>
  </w:style>
  <w:style w:type="paragraph" w:customStyle="1" w:styleId="meta">
    <w:name w:val="meta"/>
    <w:basedOn w:val="Normal"/>
    <w:rsid w:val="006E5C93"/>
    <w:pPr>
      <w:spacing w:before="100" w:beforeAutospacing="1" w:after="100" w:afterAutospacing="1" w:line="240" w:lineRule="auto"/>
    </w:pPr>
    <w:rPr>
      <w:rFonts w:ascii="Tahoma" w:eastAsia="Times New Roman" w:hAnsi="Tahoma" w:cs="Tahoma"/>
      <w:color w:val="999999"/>
      <w:sz w:val="23"/>
      <w:szCs w:val="23"/>
      <w:lang w:eastAsia="bg-BG"/>
    </w:rPr>
  </w:style>
  <w:style w:type="character" w:styleId="FollowedHyperlink">
    <w:name w:val="FollowedHyperlink"/>
    <w:basedOn w:val="DefaultParagraphFont"/>
    <w:uiPriority w:val="99"/>
    <w:semiHidden/>
    <w:unhideWhenUsed/>
    <w:rsid w:val="006E5C93"/>
    <w:rPr>
      <w:color w:val="954F72" w:themeColor="followedHyperlink"/>
      <w:u w:val="single"/>
    </w:rPr>
  </w:style>
  <w:style w:type="paragraph" w:customStyle="1" w:styleId="yiv6499064121msolistparagraph">
    <w:name w:val="yiv6499064121msolistparagraph"/>
    <w:basedOn w:val="Normal"/>
    <w:rsid w:val="006E5C9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21">
    <w:name w:val="Основен текст (2) + Удебелен"/>
    <w:aliases w:val="Курсив"/>
    <w:basedOn w:val="2"/>
    <w:rsid w:val="006E5C9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6">
    <w:name w:val="Основен текст (6)_"/>
    <w:link w:val="60"/>
    <w:rsid w:val="006E5C93"/>
    <w:rPr>
      <w:b/>
      <w:bCs/>
      <w:shd w:val="clear" w:color="auto" w:fill="FFFFFF"/>
    </w:rPr>
  </w:style>
  <w:style w:type="character" w:customStyle="1" w:styleId="61">
    <w:name w:val="Основен текст (6) + Не е удебелен"/>
    <w:rsid w:val="006E5C93"/>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paragraph" w:customStyle="1" w:styleId="60">
    <w:name w:val="Основен текст (6)"/>
    <w:basedOn w:val="Normal"/>
    <w:link w:val="6"/>
    <w:rsid w:val="006E5C93"/>
    <w:pPr>
      <w:widowControl w:val="0"/>
      <w:shd w:val="clear" w:color="auto" w:fill="FFFFFF"/>
      <w:spacing w:after="0" w:line="274" w:lineRule="exact"/>
      <w:jc w:val="both"/>
    </w:pPr>
    <w:rPr>
      <w:b/>
      <w:bCs/>
    </w:rPr>
  </w:style>
  <w:style w:type="paragraph" w:customStyle="1" w:styleId="AppelnotedebasdepageCharCharCharCharCharCharChar">
    <w:name w:val="Appel note de bas de page Char Char Char Char Char Char Char"/>
    <w:basedOn w:val="Normal"/>
    <w:link w:val="FootnoteReference"/>
    <w:uiPriority w:val="99"/>
    <w:rsid w:val="008942F0"/>
    <w:pPr>
      <w:spacing w:after="0" w:line="240" w:lineRule="auto"/>
      <w:jc w:val="both"/>
    </w:pPr>
    <w:rPr>
      <w:vertAlign w:val="superscript"/>
    </w:rPr>
  </w:style>
  <w:style w:type="paragraph" w:customStyle="1" w:styleId="BodyText4">
    <w:name w:val="Body Text4"/>
    <w:basedOn w:val="Normal"/>
    <w:rsid w:val="00E254A6"/>
    <w:pPr>
      <w:shd w:val="clear" w:color="auto" w:fill="FFFFFF"/>
      <w:spacing w:after="1680" w:line="418" w:lineRule="exact"/>
      <w:jc w:val="right"/>
    </w:pPr>
    <w:rPr>
      <w:rFonts w:ascii="Times New Roman" w:eastAsia="Times New Roman" w:hAnsi="Times New Roman" w:cs="Times New Roman"/>
      <w:sz w:val="23"/>
      <w:szCs w:val="23"/>
      <w:lang w:val="bg"/>
    </w:rPr>
  </w:style>
  <w:style w:type="character" w:customStyle="1" w:styleId="rynqvb">
    <w:name w:val="rynqvb"/>
    <w:basedOn w:val="DefaultParagraphFont"/>
    <w:rsid w:val="00914282"/>
  </w:style>
  <w:style w:type="paragraph" w:customStyle="1" w:styleId="footnotedescription">
    <w:name w:val="footnote description"/>
    <w:next w:val="Normal"/>
    <w:link w:val="footnotedescriptionChar"/>
    <w:hidden/>
    <w:rsid w:val="00B721B9"/>
    <w:pPr>
      <w:spacing w:after="0"/>
    </w:pPr>
    <w:rPr>
      <w:rFonts w:ascii="Verdana" w:eastAsia="Verdana" w:hAnsi="Verdana" w:cs="Verdana"/>
      <w:color w:val="000000"/>
      <w:sz w:val="16"/>
      <w:lang w:eastAsia="bg-BG"/>
    </w:rPr>
  </w:style>
  <w:style w:type="character" w:customStyle="1" w:styleId="footnotedescriptionChar">
    <w:name w:val="footnote description Char"/>
    <w:link w:val="footnotedescription"/>
    <w:rsid w:val="00B721B9"/>
    <w:rPr>
      <w:rFonts w:ascii="Verdana" w:eastAsia="Verdana" w:hAnsi="Verdana" w:cs="Verdana"/>
      <w:color w:val="000000"/>
      <w:sz w:val="16"/>
      <w:lang w:eastAsia="bg-BG"/>
    </w:rPr>
  </w:style>
  <w:style w:type="character" w:customStyle="1" w:styleId="footnotemark">
    <w:name w:val="footnote mark"/>
    <w:hidden/>
    <w:rsid w:val="00B721B9"/>
    <w:rPr>
      <w:rFonts w:ascii="Verdana" w:eastAsia="Verdana" w:hAnsi="Verdana" w:cs="Verdana"/>
      <w:color w:val="000000"/>
      <w:sz w:val="16"/>
      <w:vertAlign w:val="superscript"/>
    </w:rPr>
  </w:style>
  <w:style w:type="table" w:customStyle="1" w:styleId="TableGrid0">
    <w:name w:val="TableGrid"/>
    <w:rsid w:val="00B721B9"/>
    <w:pPr>
      <w:spacing w:after="0" w:line="240" w:lineRule="auto"/>
    </w:pPr>
    <w:rPr>
      <w:rFonts w:eastAsiaTheme="minorEastAsia"/>
      <w:lang w:eastAsia="bg-BG"/>
    </w:rPr>
    <w:tblPr>
      <w:tblCellMar>
        <w:top w:w="0" w:type="dxa"/>
        <w:left w:w="0" w:type="dxa"/>
        <w:bottom w:w="0" w:type="dxa"/>
        <w:right w:w="0" w:type="dxa"/>
      </w:tblCellMar>
    </w:tblPr>
  </w:style>
  <w:style w:type="numbering" w:customStyle="1" w:styleId="NoList1">
    <w:name w:val="No List1"/>
    <w:next w:val="NoList"/>
    <w:uiPriority w:val="99"/>
    <w:semiHidden/>
    <w:unhideWhenUsed/>
    <w:rsid w:val="00F07E75"/>
  </w:style>
  <w:style w:type="paragraph" w:customStyle="1" w:styleId="msonormal0">
    <w:name w:val="msonormal"/>
    <w:basedOn w:val="Normal"/>
    <w:rsid w:val="00F07E75"/>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4">
    <w:name w:val="xl74"/>
    <w:basedOn w:val="Normal"/>
    <w:rsid w:val="00F07E75"/>
    <w:pPr>
      <w:spacing w:before="100" w:beforeAutospacing="1" w:after="100" w:afterAutospacing="1" w:line="240" w:lineRule="auto"/>
    </w:pPr>
    <w:rPr>
      <w:rFonts w:ascii="Calibri" w:eastAsia="Times New Roman" w:hAnsi="Calibri" w:cs="Calibri"/>
      <w:lang w:eastAsia="bg-BG"/>
    </w:rPr>
  </w:style>
  <w:style w:type="paragraph" w:customStyle="1" w:styleId="xl75">
    <w:name w:val="xl75"/>
    <w:basedOn w:val="Normal"/>
    <w:rsid w:val="00F07E75"/>
    <w:pPr>
      <w:spacing w:before="100" w:beforeAutospacing="1" w:after="100" w:afterAutospacing="1" w:line="240" w:lineRule="auto"/>
    </w:pPr>
    <w:rPr>
      <w:rFonts w:ascii="Calibri" w:eastAsia="Times New Roman" w:hAnsi="Calibri" w:cs="Calibri"/>
      <w:lang w:eastAsia="bg-BG"/>
    </w:rPr>
  </w:style>
  <w:style w:type="paragraph" w:customStyle="1" w:styleId="xl76">
    <w:name w:val="xl76"/>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lang w:eastAsia="bg-BG"/>
    </w:rPr>
  </w:style>
  <w:style w:type="paragraph" w:customStyle="1" w:styleId="xl77">
    <w:name w:val="xl77"/>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lang w:eastAsia="bg-BG"/>
    </w:rPr>
  </w:style>
  <w:style w:type="paragraph" w:customStyle="1" w:styleId="xl78">
    <w:name w:val="xl78"/>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lang w:eastAsia="bg-BG"/>
    </w:rPr>
  </w:style>
  <w:style w:type="paragraph" w:customStyle="1" w:styleId="xl79">
    <w:name w:val="xl79"/>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lang w:eastAsia="bg-BG"/>
    </w:rPr>
  </w:style>
  <w:style w:type="paragraph" w:customStyle="1" w:styleId="xl80">
    <w:name w:val="xl80"/>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lang w:eastAsia="bg-BG"/>
    </w:rPr>
  </w:style>
  <w:style w:type="paragraph" w:customStyle="1" w:styleId="xl81">
    <w:name w:val="xl81"/>
    <w:basedOn w:val="Normal"/>
    <w:rsid w:val="00F07E75"/>
    <w:pPr>
      <w:shd w:val="clear" w:color="000000" w:fill="FFFF00"/>
      <w:spacing w:before="100" w:beforeAutospacing="1" w:after="100" w:afterAutospacing="1" w:line="240" w:lineRule="auto"/>
    </w:pPr>
    <w:rPr>
      <w:rFonts w:ascii="Calibri" w:eastAsia="Times New Roman" w:hAnsi="Calibri" w:cs="Calibri"/>
      <w:b/>
      <w:bCs/>
      <w:lang w:eastAsia="bg-BG"/>
    </w:rPr>
  </w:style>
  <w:style w:type="paragraph" w:customStyle="1" w:styleId="xl82">
    <w:name w:val="xl82"/>
    <w:basedOn w:val="Normal"/>
    <w:rsid w:val="00F07E7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lang w:eastAsia="bg-BG"/>
    </w:rPr>
  </w:style>
  <w:style w:type="paragraph" w:customStyle="1" w:styleId="xl83">
    <w:name w:val="xl83"/>
    <w:basedOn w:val="Normal"/>
    <w:rsid w:val="00F07E75"/>
    <w:pPr>
      <w:pBdr>
        <w:top w:val="single" w:sz="4" w:space="0" w:color="000000"/>
        <w:left w:val="single" w:sz="4" w:space="0" w:color="000000"/>
        <w:right w:val="single" w:sz="4" w:space="0" w:color="000000"/>
      </w:pBdr>
      <w:spacing w:before="100" w:beforeAutospacing="1" w:after="100" w:afterAutospacing="1" w:line="240" w:lineRule="auto"/>
    </w:pPr>
    <w:rPr>
      <w:rFonts w:ascii="Calibri" w:eastAsia="Times New Roman" w:hAnsi="Calibri" w:cs="Calibri"/>
      <w:lang w:eastAsia="bg-BG"/>
    </w:rPr>
  </w:style>
  <w:style w:type="paragraph" w:customStyle="1" w:styleId="xl84">
    <w:name w:val="xl84"/>
    <w:basedOn w:val="Normal"/>
    <w:rsid w:val="00F07E7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lang w:eastAsia="bg-BG"/>
    </w:rPr>
  </w:style>
  <w:style w:type="paragraph" w:customStyle="1" w:styleId="xl85">
    <w:name w:val="xl85"/>
    <w:basedOn w:val="Normal"/>
    <w:rsid w:val="00F07E75"/>
    <w:pPr>
      <w:pBdr>
        <w:top w:val="single" w:sz="4" w:space="0" w:color="000000"/>
        <w:left w:val="single" w:sz="4" w:space="0" w:color="000000"/>
        <w:bottom w:val="single" w:sz="4" w:space="0" w:color="000000"/>
      </w:pBdr>
      <w:spacing w:before="100" w:beforeAutospacing="1" w:after="100" w:afterAutospacing="1" w:line="240" w:lineRule="auto"/>
    </w:pPr>
    <w:rPr>
      <w:rFonts w:ascii="Calibri" w:eastAsia="Times New Roman" w:hAnsi="Calibri" w:cs="Calibri"/>
      <w:lang w:eastAsia="bg-BG"/>
    </w:rPr>
  </w:style>
  <w:style w:type="paragraph" w:customStyle="1" w:styleId="xl86">
    <w:name w:val="xl86"/>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lang w:eastAsia="bg-BG"/>
    </w:rPr>
  </w:style>
  <w:style w:type="paragraph" w:customStyle="1" w:styleId="xl87">
    <w:name w:val="xl87"/>
    <w:basedOn w:val="Normal"/>
    <w:rsid w:val="00F07E7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8">
    <w:name w:val="xl88"/>
    <w:basedOn w:val="Normal"/>
    <w:rsid w:val="00F07E75"/>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9">
    <w:name w:val="xl89"/>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rsid w:val="00F07E75"/>
    <w:pPr>
      <w:pBdr>
        <w:top w:val="single" w:sz="4" w:space="0" w:color="000000"/>
        <w:left w:val="single" w:sz="4" w:space="0" w:color="000000"/>
      </w:pBdr>
      <w:spacing w:before="100" w:beforeAutospacing="1" w:after="100" w:afterAutospacing="1" w:line="240" w:lineRule="auto"/>
    </w:pPr>
    <w:rPr>
      <w:rFonts w:ascii="Calibri" w:eastAsia="Times New Roman" w:hAnsi="Calibri" w:cs="Calibri"/>
      <w:lang w:eastAsia="bg-BG"/>
    </w:rPr>
  </w:style>
  <w:style w:type="paragraph" w:customStyle="1" w:styleId="xl91">
    <w:name w:val="xl91"/>
    <w:basedOn w:val="Normal"/>
    <w:rsid w:val="00F07E75"/>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lang w:eastAsia="bg-BG"/>
    </w:rPr>
  </w:style>
  <w:style w:type="paragraph" w:customStyle="1" w:styleId="xl92">
    <w:name w:val="xl92"/>
    <w:basedOn w:val="Normal"/>
    <w:rsid w:val="00F07E7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eastAsia="Times New Roman" w:hAnsi="Calibri" w:cs="Calibri"/>
      <w:lang w:eastAsia="bg-BG"/>
    </w:rPr>
  </w:style>
  <w:style w:type="paragraph" w:customStyle="1" w:styleId="xl93">
    <w:name w:val="xl93"/>
    <w:basedOn w:val="Normal"/>
    <w:rsid w:val="00F07E75"/>
    <w:pPr>
      <w:pBdr>
        <w:top w:val="single" w:sz="4" w:space="0" w:color="000000"/>
        <w:left w:val="single" w:sz="4" w:space="0" w:color="000000"/>
        <w:bottom w:val="single" w:sz="4" w:space="0" w:color="000000"/>
      </w:pBdr>
      <w:spacing w:before="100" w:beforeAutospacing="1" w:after="100" w:afterAutospacing="1" w:line="240" w:lineRule="auto"/>
    </w:pPr>
    <w:rPr>
      <w:rFonts w:ascii="Calibri" w:eastAsia="Times New Roman" w:hAnsi="Calibri" w:cs="Calibri"/>
      <w:lang w:eastAsia="bg-BG"/>
    </w:rPr>
  </w:style>
  <w:style w:type="paragraph" w:customStyle="1" w:styleId="xl94">
    <w:name w:val="xl94"/>
    <w:basedOn w:val="Normal"/>
    <w:rsid w:val="00F07E75"/>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lang w:eastAsia="bg-BG"/>
    </w:rPr>
  </w:style>
  <w:style w:type="paragraph" w:customStyle="1" w:styleId="xl95">
    <w:name w:val="xl95"/>
    <w:basedOn w:val="Normal"/>
    <w:rsid w:val="00F07E75"/>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lang w:eastAsia="bg-BG"/>
    </w:rPr>
  </w:style>
  <w:style w:type="paragraph" w:customStyle="1" w:styleId="xl96">
    <w:name w:val="xl96"/>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lang w:eastAsia="bg-BG"/>
    </w:rPr>
  </w:style>
  <w:style w:type="paragraph" w:customStyle="1" w:styleId="xl97">
    <w:name w:val="xl97"/>
    <w:basedOn w:val="Normal"/>
    <w:rsid w:val="00F07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lang w:eastAsia="bg-BG"/>
    </w:rPr>
  </w:style>
  <w:style w:type="paragraph" w:customStyle="1" w:styleId="xl98">
    <w:name w:val="xl98"/>
    <w:basedOn w:val="Normal"/>
    <w:rsid w:val="002A40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1076">
      <w:bodyDiv w:val="1"/>
      <w:marLeft w:val="0"/>
      <w:marRight w:val="0"/>
      <w:marTop w:val="0"/>
      <w:marBottom w:val="0"/>
      <w:divBdr>
        <w:top w:val="none" w:sz="0" w:space="0" w:color="auto"/>
        <w:left w:val="none" w:sz="0" w:space="0" w:color="auto"/>
        <w:bottom w:val="none" w:sz="0" w:space="0" w:color="auto"/>
        <w:right w:val="none" w:sz="0" w:space="0" w:color="auto"/>
      </w:divBdr>
    </w:div>
    <w:div w:id="53549932">
      <w:bodyDiv w:val="1"/>
      <w:marLeft w:val="0"/>
      <w:marRight w:val="0"/>
      <w:marTop w:val="0"/>
      <w:marBottom w:val="0"/>
      <w:divBdr>
        <w:top w:val="none" w:sz="0" w:space="0" w:color="auto"/>
        <w:left w:val="none" w:sz="0" w:space="0" w:color="auto"/>
        <w:bottom w:val="none" w:sz="0" w:space="0" w:color="auto"/>
        <w:right w:val="none" w:sz="0" w:space="0" w:color="auto"/>
      </w:divBdr>
    </w:div>
    <w:div w:id="71591556">
      <w:bodyDiv w:val="1"/>
      <w:marLeft w:val="0"/>
      <w:marRight w:val="0"/>
      <w:marTop w:val="0"/>
      <w:marBottom w:val="0"/>
      <w:divBdr>
        <w:top w:val="none" w:sz="0" w:space="0" w:color="auto"/>
        <w:left w:val="none" w:sz="0" w:space="0" w:color="auto"/>
        <w:bottom w:val="none" w:sz="0" w:space="0" w:color="auto"/>
        <w:right w:val="none" w:sz="0" w:space="0" w:color="auto"/>
      </w:divBdr>
      <w:divsChild>
        <w:div w:id="963147908">
          <w:marLeft w:val="0"/>
          <w:marRight w:val="0"/>
          <w:marTop w:val="0"/>
          <w:marBottom w:val="0"/>
          <w:divBdr>
            <w:top w:val="none" w:sz="0" w:space="0" w:color="auto"/>
            <w:left w:val="none" w:sz="0" w:space="0" w:color="auto"/>
            <w:bottom w:val="none" w:sz="0" w:space="0" w:color="auto"/>
            <w:right w:val="none" w:sz="0" w:space="0" w:color="auto"/>
          </w:divBdr>
          <w:divsChild>
            <w:div w:id="674041471">
              <w:marLeft w:val="0"/>
              <w:marRight w:val="0"/>
              <w:marTop w:val="0"/>
              <w:marBottom w:val="0"/>
              <w:divBdr>
                <w:top w:val="none" w:sz="0" w:space="0" w:color="auto"/>
                <w:left w:val="none" w:sz="0" w:space="0" w:color="auto"/>
                <w:bottom w:val="none" w:sz="0" w:space="0" w:color="auto"/>
                <w:right w:val="none" w:sz="0" w:space="0" w:color="auto"/>
              </w:divBdr>
              <w:divsChild>
                <w:div w:id="839391525">
                  <w:marLeft w:val="0"/>
                  <w:marRight w:val="0"/>
                  <w:marTop w:val="0"/>
                  <w:marBottom w:val="0"/>
                  <w:divBdr>
                    <w:top w:val="none" w:sz="0" w:space="0" w:color="auto"/>
                    <w:left w:val="none" w:sz="0" w:space="0" w:color="auto"/>
                    <w:bottom w:val="none" w:sz="0" w:space="0" w:color="auto"/>
                    <w:right w:val="none" w:sz="0" w:space="0" w:color="auto"/>
                  </w:divBdr>
                  <w:divsChild>
                    <w:div w:id="1610310751">
                      <w:marLeft w:val="0"/>
                      <w:marRight w:val="0"/>
                      <w:marTop w:val="0"/>
                      <w:marBottom w:val="0"/>
                      <w:divBdr>
                        <w:top w:val="none" w:sz="0" w:space="0" w:color="auto"/>
                        <w:left w:val="none" w:sz="0" w:space="0" w:color="auto"/>
                        <w:bottom w:val="none" w:sz="0" w:space="0" w:color="auto"/>
                        <w:right w:val="none" w:sz="0" w:space="0" w:color="auto"/>
                      </w:divBdr>
                      <w:divsChild>
                        <w:div w:id="451706147">
                          <w:marLeft w:val="0"/>
                          <w:marRight w:val="0"/>
                          <w:marTop w:val="0"/>
                          <w:marBottom w:val="0"/>
                          <w:divBdr>
                            <w:top w:val="none" w:sz="0" w:space="0" w:color="auto"/>
                            <w:left w:val="none" w:sz="0" w:space="0" w:color="auto"/>
                            <w:bottom w:val="none" w:sz="0" w:space="0" w:color="auto"/>
                            <w:right w:val="none" w:sz="0" w:space="0" w:color="auto"/>
                          </w:divBdr>
                          <w:divsChild>
                            <w:div w:id="207450154">
                              <w:marLeft w:val="0"/>
                              <w:marRight w:val="0"/>
                              <w:marTop w:val="0"/>
                              <w:marBottom w:val="0"/>
                              <w:divBdr>
                                <w:top w:val="none" w:sz="0" w:space="0" w:color="auto"/>
                                <w:left w:val="none" w:sz="0" w:space="0" w:color="auto"/>
                                <w:bottom w:val="none" w:sz="0" w:space="0" w:color="auto"/>
                                <w:right w:val="none" w:sz="0" w:space="0" w:color="auto"/>
                              </w:divBdr>
                              <w:divsChild>
                                <w:div w:id="809593240">
                                  <w:marLeft w:val="0"/>
                                  <w:marRight w:val="0"/>
                                  <w:marTop w:val="0"/>
                                  <w:marBottom w:val="0"/>
                                  <w:divBdr>
                                    <w:top w:val="none" w:sz="0" w:space="0" w:color="auto"/>
                                    <w:left w:val="none" w:sz="0" w:space="0" w:color="auto"/>
                                    <w:bottom w:val="none" w:sz="0" w:space="0" w:color="auto"/>
                                    <w:right w:val="none" w:sz="0" w:space="0" w:color="auto"/>
                                  </w:divBdr>
                                  <w:divsChild>
                                    <w:div w:id="174595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96451">
      <w:bodyDiv w:val="1"/>
      <w:marLeft w:val="0"/>
      <w:marRight w:val="0"/>
      <w:marTop w:val="0"/>
      <w:marBottom w:val="0"/>
      <w:divBdr>
        <w:top w:val="none" w:sz="0" w:space="0" w:color="auto"/>
        <w:left w:val="none" w:sz="0" w:space="0" w:color="auto"/>
        <w:bottom w:val="none" w:sz="0" w:space="0" w:color="auto"/>
        <w:right w:val="none" w:sz="0" w:space="0" w:color="auto"/>
      </w:divBdr>
    </w:div>
    <w:div w:id="109054165">
      <w:bodyDiv w:val="1"/>
      <w:marLeft w:val="0"/>
      <w:marRight w:val="0"/>
      <w:marTop w:val="0"/>
      <w:marBottom w:val="0"/>
      <w:divBdr>
        <w:top w:val="none" w:sz="0" w:space="0" w:color="auto"/>
        <w:left w:val="none" w:sz="0" w:space="0" w:color="auto"/>
        <w:bottom w:val="none" w:sz="0" w:space="0" w:color="auto"/>
        <w:right w:val="none" w:sz="0" w:space="0" w:color="auto"/>
      </w:divBdr>
    </w:div>
    <w:div w:id="134379277">
      <w:bodyDiv w:val="1"/>
      <w:marLeft w:val="0"/>
      <w:marRight w:val="0"/>
      <w:marTop w:val="0"/>
      <w:marBottom w:val="0"/>
      <w:divBdr>
        <w:top w:val="none" w:sz="0" w:space="0" w:color="auto"/>
        <w:left w:val="none" w:sz="0" w:space="0" w:color="auto"/>
        <w:bottom w:val="none" w:sz="0" w:space="0" w:color="auto"/>
        <w:right w:val="none" w:sz="0" w:space="0" w:color="auto"/>
      </w:divBdr>
    </w:div>
    <w:div w:id="145051933">
      <w:bodyDiv w:val="1"/>
      <w:marLeft w:val="0"/>
      <w:marRight w:val="0"/>
      <w:marTop w:val="0"/>
      <w:marBottom w:val="0"/>
      <w:divBdr>
        <w:top w:val="none" w:sz="0" w:space="0" w:color="auto"/>
        <w:left w:val="none" w:sz="0" w:space="0" w:color="auto"/>
        <w:bottom w:val="none" w:sz="0" w:space="0" w:color="auto"/>
        <w:right w:val="none" w:sz="0" w:space="0" w:color="auto"/>
      </w:divBdr>
    </w:div>
    <w:div w:id="145977192">
      <w:bodyDiv w:val="1"/>
      <w:marLeft w:val="0"/>
      <w:marRight w:val="0"/>
      <w:marTop w:val="0"/>
      <w:marBottom w:val="0"/>
      <w:divBdr>
        <w:top w:val="none" w:sz="0" w:space="0" w:color="auto"/>
        <w:left w:val="none" w:sz="0" w:space="0" w:color="auto"/>
        <w:bottom w:val="none" w:sz="0" w:space="0" w:color="auto"/>
        <w:right w:val="none" w:sz="0" w:space="0" w:color="auto"/>
      </w:divBdr>
    </w:div>
    <w:div w:id="201017749">
      <w:bodyDiv w:val="1"/>
      <w:marLeft w:val="0"/>
      <w:marRight w:val="0"/>
      <w:marTop w:val="0"/>
      <w:marBottom w:val="0"/>
      <w:divBdr>
        <w:top w:val="none" w:sz="0" w:space="0" w:color="auto"/>
        <w:left w:val="none" w:sz="0" w:space="0" w:color="auto"/>
        <w:bottom w:val="none" w:sz="0" w:space="0" w:color="auto"/>
        <w:right w:val="none" w:sz="0" w:space="0" w:color="auto"/>
      </w:divBdr>
    </w:div>
    <w:div w:id="203031958">
      <w:bodyDiv w:val="1"/>
      <w:marLeft w:val="0"/>
      <w:marRight w:val="0"/>
      <w:marTop w:val="0"/>
      <w:marBottom w:val="0"/>
      <w:divBdr>
        <w:top w:val="none" w:sz="0" w:space="0" w:color="auto"/>
        <w:left w:val="none" w:sz="0" w:space="0" w:color="auto"/>
        <w:bottom w:val="none" w:sz="0" w:space="0" w:color="auto"/>
        <w:right w:val="none" w:sz="0" w:space="0" w:color="auto"/>
      </w:divBdr>
    </w:div>
    <w:div w:id="271858648">
      <w:bodyDiv w:val="1"/>
      <w:marLeft w:val="0"/>
      <w:marRight w:val="0"/>
      <w:marTop w:val="0"/>
      <w:marBottom w:val="0"/>
      <w:divBdr>
        <w:top w:val="none" w:sz="0" w:space="0" w:color="auto"/>
        <w:left w:val="none" w:sz="0" w:space="0" w:color="auto"/>
        <w:bottom w:val="none" w:sz="0" w:space="0" w:color="auto"/>
        <w:right w:val="none" w:sz="0" w:space="0" w:color="auto"/>
      </w:divBdr>
    </w:div>
    <w:div w:id="317614173">
      <w:bodyDiv w:val="1"/>
      <w:marLeft w:val="0"/>
      <w:marRight w:val="0"/>
      <w:marTop w:val="0"/>
      <w:marBottom w:val="0"/>
      <w:divBdr>
        <w:top w:val="none" w:sz="0" w:space="0" w:color="auto"/>
        <w:left w:val="none" w:sz="0" w:space="0" w:color="auto"/>
        <w:bottom w:val="none" w:sz="0" w:space="0" w:color="auto"/>
        <w:right w:val="none" w:sz="0" w:space="0" w:color="auto"/>
      </w:divBdr>
    </w:div>
    <w:div w:id="361709376">
      <w:bodyDiv w:val="1"/>
      <w:marLeft w:val="0"/>
      <w:marRight w:val="0"/>
      <w:marTop w:val="0"/>
      <w:marBottom w:val="0"/>
      <w:divBdr>
        <w:top w:val="none" w:sz="0" w:space="0" w:color="auto"/>
        <w:left w:val="none" w:sz="0" w:space="0" w:color="auto"/>
        <w:bottom w:val="none" w:sz="0" w:space="0" w:color="auto"/>
        <w:right w:val="none" w:sz="0" w:space="0" w:color="auto"/>
      </w:divBdr>
    </w:div>
    <w:div w:id="426116051">
      <w:bodyDiv w:val="1"/>
      <w:marLeft w:val="0"/>
      <w:marRight w:val="0"/>
      <w:marTop w:val="0"/>
      <w:marBottom w:val="0"/>
      <w:divBdr>
        <w:top w:val="none" w:sz="0" w:space="0" w:color="auto"/>
        <w:left w:val="none" w:sz="0" w:space="0" w:color="auto"/>
        <w:bottom w:val="none" w:sz="0" w:space="0" w:color="auto"/>
        <w:right w:val="none" w:sz="0" w:space="0" w:color="auto"/>
      </w:divBdr>
      <w:divsChild>
        <w:div w:id="522673987">
          <w:blockQuote w:val="1"/>
          <w:marLeft w:val="720"/>
          <w:marRight w:val="720"/>
          <w:marTop w:val="100"/>
          <w:marBottom w:val="100"/>
          <w:divBdr>
            <w:top w:val="none" w:sz="0" w:space="0" w:color="auto"/>
            <w:left w:val="single" w:sz="12" w:space="15" w:color="FF0000"/>
            <w:bottom w:val="none" w:sz="0" w:space="0" w:color="auto"/>
            <w:right w:val="none" w:sz="0" w:space="0" w:color="auto"/>
          </w:divBdr>
        </w:div>
        <w:div w:id="986545552">
          <w:blockQuote w:val="1"/>
          <w:marLeft w:val="720"/>
          <w:marRight w:val="720"/>
          <w:marTop w:val="100"/>
          <w:marBottom w:val="100"/>
          <w:divBdr>
            <w:top w:val="none" w:sz="0" w:space="0" w:color="auto"/>
            <w:left w:val="single" w:sz="12" w:space="15" w:color="FF0000"/>
            <w:bottom w:val="none" w:sz="0" w:space="0" w:color="auto"/>
            <w:right w:val="none" w:sz="0" w:space="0" w:color="auto"/>
          </w:divBdr>
        </w:div>
        <w:div w:id="997805537">
          <w:blockQuote w:val="1"/>
          <w:marLeft w:val="720"/>
          <w:marRight w:val="720"/>
          <w:marTop w:val="100"/>
          <w:marBottom w:val="100"/>
          <w:divBdr>
            <w:top w:val="none" w:sz="0" w:space="0" w:color="auto"/>
            <w:left w:val="single" w:sz="12" w:space="15" w:color="FF0000"/>
            <w:bottom w:val="none" w:sz="0" w:space="0" w:color="auto"/>
            <w:right w:val="none" w:sz="0" w:space="0" w:color="auto"/>
          </w:divBdr>
        </w:div>
        <w:div w:id="1653296140">
          <w:blockQuote w:val="1"/>
          <w:marLeft w:val="720"/>
          <w:marRight w:val="720"/>
          <w:marTop w:val="100"/>
          <w:marBottom w:val="100"/>
          <w:divBdr>
            <w:top w:val="none" w:sz="0" w:space="0" w:color="auto"/>
            <w:left w:val="single" w:sz="12" w:space="15" w:color="FF0000"/>
            <w:bottom w:val="none" w:sz="0" w:space="0" w:color="auto"/>
            <w:right w:val="none" w:sz="0" w:space="0" w:color="auto"/>
          </w:divBdr>
        </w:div>
      </w:divsChild>
    </w:div>
    <w:div w:id="613825696">
      <w:bodyDiv w:val="1"/>
      <w:marLeft w:val="0"/>
      <w:marRight w:val="0"/>
      <w:marTop w:val="0"/>
      <w:marBottom w:val="0"/>
      <w:divBdr>
        <w:top w:val="none" w:sz="0" w:space="0" w:color="auto"/>
        <w:left w:val="none" w:sz="0" w:space="0" w:color="auto"/>
        <w:bottom w:val="none" w:sz="0" w:space="0" w:color="auto"/>
        <w:right w:val="none" w:sz="0" w:space="0" w:color="auto"/>
      </w:divBdr>
    </w:div>
    <w:div w:id="644621909">
      <w:bodyDiv w:val="1"/>
      <w:marLeft w:val="0"/>
      <w:marRight w:val="0"/>
      <w:marTop w:val="0"/>
      <w:marBottom w:val="0"/>
      <w:divBdr>
        <w:top w:val="none" w:sz="0" w:space="0" w:color="auto"/>
        <w:left w:val="none" w:sz="0" w:space="0" w:color="auto"/>
        <w:bottom w:val="none" w:sz="0" w:space="0" w:color="auto"/>
        <w:right w:val="none" w:sz="0" w:space="0" w:color="auto"/>
      </w:divBdr>
    </w:div>
    <w:div w:id="657926342">
      <w:bodyDiv w:val="1"/>
      <w:marLeft w:val="0"/>
      <w:marRight w:val="0"/>
      <w:marTop w:val="0"/>
      <w:marBottom w:val="0"/>
      <w:divBdr>
        <w:top w:val="none" w:sz="0" w:space="0" w:color="auto"/>
        <w:left w:val="none" w:sz="0" w:space="0" w:color="auto"/>
        <w:bottom w:val="none" w:sz="0" w:space="0" w:color="auto"/>
        <w:right w:val="none" w:sz="0" w:space="0" w:color="auto"/>
      </w:divBdr>
    </w:div>
    <w:div w:id="689990982">
      <w:bodyDiv w:val="1"/>
      <w:marLeft w:val="0"/>
      <w:marRight w:val="0"/>
      <w:marTop w:val="0"/>
      <w:marBottom w:val="0"/>
      <w:divBdr>
        <w:top w:val="none" w:sz="0" w:space="0" w:color="auto"/>
        <w:left w:val="none" w:sz="0" w:space="0" w:color="auto"/>
        <w:bottom w:val="none" w:sz="0" w:space="0" w:color="auto"/>
        <w:right w:val="none" w:sz="0" w:space="0" w:color="auto"/>
      </w:divBdr>
    </w:div>
    <w:div w:id="743917376">
      <w:bodyDiv w:val="1"/>
      <w:marLeft w:val="0"/>
      <w:marRight w:val="0"/>
      <w:marTop w:val="0"/>
      <w:marBottom w:val="0"/>
      <w:divBdr>
        <w:top w:val="none" w:sz="0" w:space="0" w:color="auto"/>
        <w:left w:val="none" w:sz="0" w:space="0" w:color="auto"/>
        <w:bottom w:val="none" w:sz="0" w:space="0" w:color="auto"/>
        <w:right w:val="none" w:sz="0" w:space="0" w:color="auto"/>
      </w:divBdr>
    </w:div>
    <w:div w:id="800656200">
      <w:bodyDiv w:val="1"/>
      <w:marLeft w:val="0"/>
      <w:marRight w:val="0"/>
      <w:marTop w:val="0"/>
      <w:marBottom w:val="0"/>
      <w:divBdr>
        <w:top w:val="none" w:sz="0" w:space="0" w:color="auto"/>
        <w:left w:val="none" w:sz="0" w:space="0" w:color="auto"/>
        <w:bottom w:val="none" w:sz="0" w:space="0" w:color="auto"/>
        <w:right w:val="none" w:sz="0" w:space="0" w:color="auto"/>
      </w:divBdr>
    </w:div>
    <w:div w:id="915940475">
      <w:bodyDiv w:val="1"/>
      <w:marLeft w:val="0"/>
      <w:marRight w:val="0"/>
      <w:marTop w:val="0"/>
      <w:marBottom w:val="0"/>
      <w:divBdr>
        <w:top w:val="none" w:sz="0" w:space="0" w:color="auto"/>
        <w:left w:val="none" w:sz="0" w:space="0" w:color="auto"/>
        <w:bottom w:val="none" w:sz="0" w:space="0" w:color="auto"/>
        <w:right w:val="none" w:sz="0" w:space="0" w:color="auto"/>
      </w:divBdr>
    </w:div>
    <w:div w:id="961811738">
      <w:bodyDiv w:val="1"/>
      <w:marLeft w:val="0"/>
      <w:marRight w:val="0"/>
      <w:marTop w:val="0"/>
      <w:marBottom w:val="0"/>
      <w:divBdr>
        <w:top w:val="none" w:sz="0" w:space="0" w:color="auto"/>
        <w:left w:val="none" w:sz="0" w:space="0" w:color="auto"/>
        <w:bottom w:val="none" w:sz="0" w:space="0" w:color="auto"/>
        <w:right w:val="none" w:sz="0" w:space="0" w:color="auto"/>
      </w:divBdr>
    </w:div>
    <w:div w:id="1001348582">
      <w:bodyDiv w:val="1"/>
      <w:marLeft w:val="0"/>
      <w:marRight w:val="0"/>
      <w:marTop w:val="0"/>
      <w:marBottom w:val="0"/>
      <w:divBdr>
        <w:top w:val="none" w:sz="0" w:space="0" w:color="auto"/>
        <w:left w:val="none" w:sz="0" w:space="0" w:color="auto"/>
        <w:bottom w:val="none" w:sz="0" w:space="0" w:color="auto"/>
        <w:right w:val="none" w:sz="0" w:space="0" w:color="auto"/>
      </w:divBdr>
    </w:div>
    <w:div w:id="1043600673">
      <w:bodyDiv w:val="1"/>
      <w:marLeft w:val="0"/>
      <w:marRight w:val="0"/>
      <w:marTop w:val="0"/>
      <w:marBottom w:val="0"/>
      <w:divBdr>
        <w:top w:val="none" w:sz="0" w:space="0" w:color="auto"/>
        <w:left w:val="none" w:sz="0" w:space="0" w:color="auto"/>
        <w:bottom w:val="none" w:sz="0" w:space="0" w:color="auto"/>
        <w:right w:val="none" w:sz="0" w:space="0" w:color="auto"/>
      </w:divBdr>
    </w:div>
    <w:div w:id="1229078255">
      <w:bodyDiv w:val="1"/>
      <w:marLeft w:val="0"/>
      <w:marRight w:val="0"/>
      <w:marTop w:val="0"/>
      <w:marBottom w:val="0"/>
      <w:divBdr>
        <w:top w:val="none" w:sz="0" w:space="0" w:color="auto"/>
        <w:left w:val="none" w:sz="0" w:space="0" w:color="auto"/>
        <w:bottom w:val="none" w:sz="0" w:space="0" w:color="auto"/>
        <w:right w:val="none" w:sz="0" w:space="0" w:color="auto"/>
      </w:divBdr>
    </w:div>
    <w:div w:id="1243102624">
      <w:bodyDiv w:val="1"/>
      <w:marLeft w:val="0"/>
      <w:marRight w:val="0"/>
      <w:marTop w:val="0"/>
      <w:marBottom w:val="0"/>
      <w:divBdr>
        <w:top w:val="none" w:sz="0" w:space="0" w:color="auto"/>
        <w:left w:val="none" w:sz="0" w:space="0" w:color="auto"/>
        <w:bottom w:val="none" w:sz="0" w:space="0" w:color="auto"/>
        <w:right w:val="none" w:sz="0" w:space="0" w:color="auto"/>
      </w:divBdr>
    </w:div>
    <w:div w:id="1273051879">
      <w:bodyDiv w:val="1"/>
      <w:marLeft w:val="0"/>
      <w:marRight w:val="0"/>
      <w:marTop w:val="0"/>
      <w:marBottom w:val="0"/>
      <w:divBdr>
        <w:top w:val="none" w:sz="0" w:space="0" w:color="auto"/>
        <w:left w:val="none" w:sz="0" w:space="0" w:color="auto"/>
        <w:bottom w:val="none" w:sz="0" w:space="0" w:color="auto"/>
        <w:right w:val="none" w:sz="0" w:space="0" w:color="auto"/>
      </w:divBdr>
    </w:div>
    <w:div w:id="1342122884">
      <w:bodyDiv w:val="1"/>
      <w:marLeft w:val="0"/>
      <w:marRight w:val="0"/>
      <w:marTop w:val="0"/>
      <w:marBottom w:val="0"/>
      <w:divBdr>
        <w:top w:val="none" w:sz="0" w:space="0" w:color="auto"/>
        <w:left w:val="none" w:sz="0" w:space="0" w:color="auto"/>
        <w:bottom w:val="none" w:sz="0" w:space="0" w:color="auto"/>
        <w:right w:val="none" w:sz="0" w:space="0" w:color="auto"/>
      </w:divBdr>
    </w:div>
    <w:div w:id="1470974796">
      <w:bodyDiv w:val="1"/>
      <w:marLeft w:val="0"/>
      <w:marRight w:val="0"/>
      <w:marTop w:val="0"/>
      <w:marBottom w:val="0"/>
      <w:divBdr>
        <w:top w:val="none" w:sz="0" w:space="0" w:color="auto"/>
        <w:left w:val="none" w:sz="0" w:space="0" w:color="auto"/>
        <w:bottom w:val="none" w:sz="0" w:space="0" w:color="auto"/>
        <w:right w:val="none" w:sz="0" w:space="0" w:color="auto"/>
      </w:divBdr>
    </w:div>
    <w:div w:id="1491022539">
      <w:bodyDiv w:val="1"/>
      <w:marLeft w:val="0"/>
      <w:marRight w:val="0"/>
      <w:marTop w:val="0"/>
      <w:marBottom w:val="0"/>
      <w:divBdr>
        <w:top w:val="none" w:sz="0" w:space="0" w:color="auto"/>
        <w:left w:val="none" w:sz="0" w:space="0" w:color="auto"/>
        <w:bottom w:val="none" w:sz="0" w:space="0" w:color="auto"/>
        <w:right w:val="none" w:sz="0" w:space="0" w:color="auto"/>
      </w:divBdr>
    </w:div>
    <w:div w:id="1589147435">
      <w:bodyDiv w:val="1"/>
      <w:marLeft w:val="0"/>
      <w:marRight w:val="0"/>
      <w:marTop w:val="0"/>
      <w:marBottom w:val="0"/>
      <w:divBdr>
        <w:top w:val="none" w:sz="0" w:space="0" w:color="auto"/>
        <w:left w:val="none" w:sz="0" w:space="0" w:color="auto"/>
        <w:bottom w:val="none" w:sz="0" w:space="0" w:color="auto"/>
        <w:right w:val="none" w:sz="0" w:space="0" w:color="auto"/>
      </w:divBdr>
    </w:div>
    <w:div w:id="1686176179">
      <w:bodyDiv w:val="1"/>
      <w:marLeft w:val="0"/>
      <w:marRight w:val="0"/>
      <w:marTop w:val="0"/>
      <w:marBottom w:val="0"/>
      <w:divBdr>
        <w:top w:val="none" w:sz="0" w:space="0" w:color="auto"/>
        <w:left w:val="none" w:sz="0" w:space="0" w:color="auto"/>
        <w:bottom w:val="none" w:sz="0" w:space="0" w:color="auto"/>
        <w:right w:val="none" w:sz="0" w:space="0" w:color="auto"/>
      </w:divBdr>
    </w:div>
    <w:div w:id="1881092419">
      <w:bodyDiv w:val="1"/>
      <w:marLeft w:val="0"/>
      <w:marRight w:val="0"/>
      <w:marTop w:val="0"/>
      <w:marBottom w:val="0"/>
      <w:divBdr>
        <w:top w:val="none" w:sz="0" w:space="0" w:color="auto"/>
        <w:left w:val="none" w:sz="0" w:space="0" w:color="auto"/>
        <w:bottom w:val="none" w:sz="0" w:space="0" w:color="auto"/>
        <w:right w:val="none" w:sz="0" w:space="0" w:color="auto"/>
      </w:divBdr>
    </w:div>
    <w:div w:id="1949046735">
      <w:bodyDiv w:val="1"/>
      <w:marLeft w:val="0"/>
      <w:marRight w:val="0"/>
      <w:marTop w:val="0"/>
      <w:marBottom w:val="0"/>
      <w:divBdr>
        <w:top w:val="none" w:sz="0" w:space="0" w:color="auto"/>
        <w:left w:val="none" w:sz="0" w:space="0" w:color="auto"/>
        <w:bottom w:val="none" w:sz="0" w:space="0" w:color="auto"/>
        <w:right w:val="none" w:sz="0" w:space="0" w:color="auto"/>
      </w:divBdr>
    </w:div>
    <w:div w:id="2014793678">
      <w:bodyDiv w:val="1"/>
      <w:marLeft w:val="0"/>
      <w:marRight w:val="0"/>
      <w:marTop w:val="0"/>
      <w:marBottom w:val="0"/>
      <w:divBdr>
        <w:top w:val="none" w:sz="0" w:space="0" w:color="auto"/>
        <w:left w:val="none" w:sz="0" w:space="0" w:color="auto"/>
        <w:bottom w:val="none" w:sz="0" w:space="0" w:color="auto"/>
        <w:right w:val="none" w:sz="0" w:space="0" w:color="auto"/>
      </w:divBdr>
    </w:div>
    <w:div w:id="210930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ustedu2020.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ale.ec.europa.eu/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justedu2020.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si.bg/sites/default/files/files/data/timeseries/HICP_2.5.xls"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015507436570428"/>
          <c:y val="8.1577216641023326E-2"/>
          <c:w val="0.83823381452318457"/>
          <c:h val="0.74650345430959064"/>
        </c:manualLayout>
      </c:layout>
      <c:barChart>
        <c:barDir val="bar"/>
        <c:grouping val="percentStacked"/>
        <c:varyColors val="0"/>
        <c:ser>
          <c:idx val="1"/>
          <c:order val="0"/>
          <c:tx>
            <c:strRef>
              <c:f>т1!$B$19</c:f>
              <c:strCache>
                <c:ptCount val="1"/>
                <c:pt idx="0">
                  <c:v>Под трудоспособна </c:v>
                </c:pt>
              </c:strCache>
            </c:strRef>
          </c:tx>
          <c:spPr>
            <a:solidFill>
              <a:schemeClr val="accent1"/>
            </a:solidFill>
          </c:spPr>
          <c:invertIfNegative val="0"/>
          <c:dLbls>
            <c:spPr>
              <a:noFill/>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т1!$A$20:$A$37</c:f>
              <c:numCache>
                <c:formatCode>General</c:formatCode>
                <c:ptCount val="18"/>
                <c:pt idx="0">
                  <c:v>1990</c:v>
                </c:pt>
                <c:pt idx="1">
                  <c:v>1995</c:v>
                </c:pt>
                <c:pt idx="2">
                  <c:v>2005</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т1!$B$20:$B$37</c:f>
              <c:numCache>
                <c:formatCode>0.0</c:formatCode>
                <c:ptCount val="18"/>
                <c:pt idx="0">
                  <c:v>21.6</c:v>
                </c:pt>
                <c:pt idx="1">
                  <c:v>19.100000000000001</c:v>
                </c:pt>
                <c:pt idx="2">
                  <c:v>14.8</c:v>
                </c:pt>
                <c:pt idx="3">
                  <c:v>14.6</c:v>
                </c:pt>
                <c:pt idx="4">
                  <c:v>14.3</c:v>
                </c:pt>
                <c:pt idx="5">
                  <c:v>14.4</c:v>
                </c:pt>
                <c:pt idx="6">
                  <c:v>14.6</c:v>
                </c:pt>
                <c:pt idx="7">
                  <c:v>14.8</c:v>
                </c:pt>
                <c:pt idx="8">
                  <c:v>14.9</c:v>
                </c:pt>
                <c:pt idx="9">
                  <c:v>15</c:v>
                </c:pt>
                <c:pt idx="10">
                  <c:v>15.120395164051692</c:v>
                </c:pt>
                <c:pt idx="11">
                  <c:v>15.24437220992626</c:v>
                </c:pt>
                <c:pt idx="12" formatCode="General">
                  <c:v>15.3</c:v>
                </c:pt>
                <c:pt idx="13" formatCode="General">
                  <c:v>15.4</c:v>
                </c:pt>
                <c:pt idx="14" formatCode="General">
                  <c:v>15.5</c:v>
                </c:pt>
                <c:pt idx="15" formatCode="General">
                  <c:v>15.2</c:v>
                </c:pt>
                <c:pt idx="16">
                  <c:v>15.164376405732947</c:v>
                </c:pt>
                <c:pt idx="17" formatCode="General">
                  <c:v>15.1</c:v>
                </c:pt>
              </c:numCache>
            </c:numRef>
          </c:val>
          <c:extLst>
            <c:ext xmlns:c16="http://schemas.microsoft.com/office/drawing/2014/chart" uri="{C3380CC4-5D6E-409C-BE32-E72D297353CC}">
              <c16:uniqueId val="{00000000-665D-46B8-A084-AB380B2697F2}"/>
            </c:ext>
          </c:extLst>
        </c:ser>
        <c:ser>
          <c:idx val="2"/>
          <c:order val="1"/>
          <c:tx>
            <c:strRef>
              <c:f>т1!$C$19</c:f>
              <c:strCache>
                <c:ptCount val="1"/>
                <c:pt idx="0">
                  <c:v>В трудоспособна</c:v>
                </c:pt>
              </c:strCache>
            </c:strRef>
          </c:tx>
          <c:spPr>
            <a:solidFill>
              <a:schemeClr val="accent1">
                <a:lumMod val="40000"/>
                <a:lumOff val="60000"/>
              </a:schemeClr>
            </a:solidFill>
          </c:spPr>
          <c:invertIfNegative val="0"/>
          <c:dLbls>
            <c:dLbl>
              <c:idx val="0"/>
              <c:layout>
                <c:manualLayout>
                  <c:x val="-6.2305295950157288E-3"/>
                  <c:y val="-3.8314176245212131E-3"/>
                </c:manualLayout>
              </c:layout>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bg-BG"/>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5D-46B8-A084-AB380B2697F2}"/>
                </c:ext>
              </c:extLst>
            </c:dLbl>
            <c:dLbl>
              <c:idx val="2"/>
              <c:layout>
                <c:manualLayout>
                  <c:x val="-8.3073727933541015E-3"/>
                  <c:y val="-1.4048369001953096E-16"/>
                </c:manualLayout>
              </c:layout>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bg-BG"/>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5D-46B8-A084-AB380B2697F2}"/>
                </c:ext>
              </c:extLst>
            </c:dLbl>
            <c:dLbl>
              <c:idx val="3"/>
              <c:layout>
                <c:manualLayout>
                  <c:x val="-6.2305295950157288E-3"/>
                  <c:y val="0"/>
                </c:manualLayout>
              </c:layout>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bg-BG"/>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5D-46B8-A084-AB380B2697F2}"/>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т1!$A$20:$A$37</c:f>
              <c:numCache>
                <c:formatCode>General</c:formatCode>
                <c:ptCount val="18"/>
                <c:pt idx="0">
                  <c:v>1990</c:v>
                </c:pt>
                <c:pt idx="1">
                  <c:v>1995</c:v>
                </c:pt>
                <c:pt idx="2">
                  <c:v>2005</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т1!$C$20:$C$37</c:f>
              <c:numCache>
                <c:formatCode>0.0</c:formatCode>
                <c:ptCount val="18"/>
                <c:pt idx="0">
                  <c:v>55.5</c:v>
                </c:pt>
                <c:pt idx="1">
                  <c:v>56.6</c:v>
                </c:pt>
                <c:pt idx="2">
                  <c:v>62.4</c:v>
                </c:pt>
                <c:pt idx="3">
                  <c:v>62.7</c:v>
                </c:pt>
                <c:pt idx="4">
                  <c:v>61.7</c:v>
                </c:pt>
                <c:pt idx="5">
                  <c:v>61.8</c:v>
                </c:pt>
                <c:pt idx="6">
                  <c:v>61.7</c:v>
                </c:pt>
                <c:pt idx="7">
                  <c:v>61.1</c:v>
                </c:pt>
                <c:pt idx="8">
                  <c:v>60.8</c:v>
                </c:pt>
                <c:pt idx="9">
                  <c:v>60.6</c:v>
                </c:pt>
                <c:pt idx="10">
                  <c:v>60.262163274673561</c:v>
                </c:pt>
                <c:pt idx="11">
                  <c:v>60.012651358085293</c:v>
                </c:pt>
                <c:pt idx="12" formatCode="General">
                  <c:v>59.8</c:v>
                </c:pt>
                <c:pt idx="13" formatCode="General">
                  <c:v>59.8</c:v>
                </c:pt>
                <c:pt idx="14" formatCode="General">
                  <c:v>60.1</c:v>
                </c:pt>
                <c:pt idx="15" formatCode="General">
                  <c:v>58.5</c:v>
                </c:pt>
                <c:pt idx="16">
                  <c:v>58.481655597154038</c:v>
                </c:pt>
                <c:pt idx="17" formatCode="General">
                  <c:v>58.5</c:v>
                </c:pt>
              </c:numCache>
            </c:numRef>
          </c:val>
          <c:extLst>
            <c:ext xmlns:c16="http://schemas.microsoft.com/office/drawing/2014/chart" uri="{C3380CC4-5D6E-409C-BE32-E72D297353CC}">
              <c16:uniqueId val="{00000004-665D-46B8-A084-AB380B2697F2}"/>
            </c:ext>
          </c:extLst>
        </c:ser>
        <c:ser>
          <c:idx val="3"/>
          <c:order val="2"/>
          <c:tx>
            <c:strRef>
              <c:f>т1!$D$19</c:f>
              <c:strCache>
                <c:ptCount val="1"/>
                <c:pt idx="0">
                  <c:v>Над трудоспособна</c:v>
                </c:pt>
              </c:strCache>
            </c:strRef>
          </c:tx>
          <c:spPr>
            <a:solidFill>
              <a:schemeClr val="accent1">
                <a:lumMod val="20000"/>
                <a:lumOff val="80000"/>
              </a:schemeClr>
            </a:solidFill>
          </c:spPr>
          <c:invertIfNegative val="0"/>
          <c:dLbls>
            <c:spPr>
              <a:noFill/>
              <a:ln w="25400">
                <a:noFill/>
              </a:ln>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т1!$A$20:$A$37</c:f>
              <c:numCache>
                <c:formatCode>General</c:formatCode>
                <c:ptCount val="18"/>
                <c:pt idx="0">
                  <c:v>1990</c:v>
                </c:pt>
                <c:pt idx="1">
                  <c:v>1995</c:v>
                </c:pt>
                <c:pt idx="2">
                  <c:v>2005</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т1!$D$20:$D$37</c:f>
              <c:numCache>
                <c:formatCode>0.0</c:formatCode>
                <c:ptCount val="18"/>
                <c:pt idx="0">
                  <c:v>22.9</c:v>
                </c:pt>
                <c:pt idx="1">
                  <c:v>24.3</c:v>
                </c:pt>
                <c:pt idx="2">
                  <c:v>22.8</c:v>
                </c:pt>
                <c:pt idx="3">
                  <c:v>22.7</c:v>
                </c:pt>
                <c:pt idx="4">
                  <c:v>24</c:v>
                </c:pt>
                <c:pt idx="5">
                  <c:v>23.8</c:v>
                </c:pt>
                <c:pt idx="6">
                  <c:v>23.7</c:v>
                </c:pt>
                <c:pt idx="7">
                  <c:v>24.1</c:v>
                </c:pt>
                <c:pt idx="8">
                  <c:v>24.3</c:v>
                </c:pt>
                <c:pt idx="9">
                  <c:v>24.4</c:v>
                </c:pt>
                <c:pt idx="10">
                  <c:v>24.617441561274738</c:v>
                </c:pt>
                <c:pt idx="11">
                  <c:v>24.8</c:v>
                </c:pt>
                <c:pt idx="12" formatCode="General">
                  <c:v>24.9</c:v>
                </c:pt>
                <c:pt idx="13" formatCode="General">
                  <c:v>24.8</c:v>
                </c:pt>
                <c:pt idx="14" formatCode="General">
                  <c:v>24.4</c:v>
                </c:pt>
                <c:pt idx="15" formatCode="General">
                  <c:v>26.3</c:v>
                </c:pt>
                <c:pt idx="16">
                  <c:v>26.3</c:v>
                </c:pt>
                <c:pt idx="17">
                  <c:v>26.353967997113013</c:v>
                </c:pt>
              </c:numCache>
            </c:numRef>
          </c:val>
          <c:extLst>
            <c:ext xmlns:c16="http://schemas.microsoft.com/office/drawing/2014/chart" uri="{C3380CC4-5D6E-409C-BE32-E72D297353CC}">
              <c16:uniqueId val="{00000005-665D-46B8-A084-AB380B2697F2}"/>
            </c:ext>
          </c:extLst>
        </c:ser>
        <c:dLbls>
          <c:showLegendKey val="0"/>
          <c:showVal val="0"/>
          <c:showCatName val="0"/>
          <c:showSerName val="0"/>
          <c:showPercent val="0"/>
          <c:showBubbleSize val="0"/>
        </c:dLbls>
        <c:gapWidth val="72"/>
        <c:overlap val="100"/>
        <c:axId val="1792236736"/>
        <c:axId val="1"/>
      </c:barChart>
      <c:catAx>
        <c:axId val="1792236736"/>
        <c:scaling>
          <c:orientation val="minMax"/>
        </c:scaling>
        <c:delete val="0"/>
        <c:axPos val="l"/>
        <c:title>
          <c:tx>
            <c:rich>
              <a:bodyPr rot="0" vert="horz"/>
              <a:lstStyle/>
              <a:p>
                <a:pPr algn="ctr">
                  <a:defRPr sz="1100" b="0" i="0" u="none" strike="noStrike" baseline="0">
                    <a:solidFill>
                      <a:srgbClr val="000000"/>
                    </a:solidFill>
                    <a:latin typeface="Times New Roman"/>
                    <a:ea typeface="Times New Roman"/>
                    <a:cs typeface="Times New Roman"/>
                  </a:defRPr>
                </a:pPr>
                <a:r>
                  <a:rPr lang="bg-BG"/>
                  <a:t>Години</a:t>
                </a:r>
              </a:p>
            </c:rich>
          </c:tx>
          <c:layout>
            <c:manualLayout>
              <c:xMode val="edge"/>
              <c:yMode val="edge"/>
              <c:x val="4.776742846168619E-2"/>
              <c:y val="6.5412656751239427E-4"/>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bg-BG"/>
          </a:p>
        </c:txPr>
        <c:crossAx val="1"/>
        <c:crosses val="autoZero"/>
        <c:auto val="1"/>
        <c:lblAlgn val="ctr"/>
        <c:lblOffset val="100"/>
        <c:noMultiLvlLbl val="0"/>
      </c:catAx>
      <c:valAx>
        <c:axId val="1"/>
        <c:scaling>
          <c:orientation val="minMax"/>
        </c:scaling>
        <c:delete val="0"/>
        <c:axPos val="b"/>
        <c:majorGridlines/>
        <c:numFmt formatCode="0%" sourceLinked="1"/>
        <c:majorTickMark val="out"/>
        <c:minorTickMark val="none"/>
        <c:tickLblPos val="nextTo"/>
        <c:txPr>
          <a:bodyPr rot="0" vert="horz"/>
          <a:lstStyle/>
          <a:p>
            <a:pPr>
              <a:defRPr sz="1000" b="0" i="0" u="none" strike="noStrike" baseline="0">
                <a:solidFill>
                  <a:srgbClr val="000000"/>
                </a:solidFill>
                <a:latin typeface="Times New Roman"/>
                <a:ea typeface="Times New Roman"/>
                <a:cs typeface="Times New Roman"/>
              </a:defRPr>
            </a:pPr>
            <a:endParaRPr lang="bg-BG"/>
          </a:p>
        </c:txPr>
        <c:crossAx val="1792236736"/>
        <c:crosses val="autoZero"/>
        <c:crossBetween val="between"/>
      </c:valAx>
    </c:plotArea>
    <c:legend>
      <c:legendPos val="b"/>
      <c:overlay val="0"/>
      <c:txPr>
        <a:bodyPr/>
        <a:lstStyle/>
        <a:p>
          <a:pPr>
            <a:defRPr sz="755" b="0" i="0" u="none" strike="noStrike" baseline="0">
              <a:solidFill>
                <a:srgbClr val="000000"/>
              </a:solidFill>
              <a:latin typeface="Times New Roman"/>
              <a:ea typeface="Times New Roman"/>
              <a:cs typeface="Times New Roman"/>
            </a:defRPr>
          </a:pPr>
          <a:endParaRPr lang="bg-BG"/>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bg-BG"/>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1351992765610179E-2"/>
          <c:y val="0.10273276049306632"/>
          <c:w val="0.94192531815875957"/>
          <c:h val="0.61999928314721908"/>
        </c:manualLayout>
      </c:layout>
      <c:barChart>
        <c:barDir val="col"/>
        <c:grouping val="clustered"/>
        <c:varyColors val="0"/>
        <c:ser>
          <c:idx val="0"/>
          <c:order val="0"/>
          <c:tx>
            <c:strRef>
              <c:f>t_m_f!$B$22</c:f>
              <c:strCache>
                <c:ptCount val="1"/>
                <c:pt idx="0">
                  <c:v>Oбщо</c:v>
                </c:pt>
              </c:strCache>
            </c:strRef>
          </c:tx>
          <c:invertIfNegative val="0"/>
          <c:cat>
            <c:strRef>
              <c:f>t_m_f!$A$23:$A$36</c:f>
              <c:strCache>
                <c:ptCount val="14"/>
                <c:pt idx="0">
                  <c:v>1935 - 1939</c:v>
                </c:pt>
                <c:pt idx="1">
                  <c:v>1962 - 1964</c:v>
                </c:pt>
                <c:pt idx="2">
                  <c:v>1992 - 1994</c:v>
                </c:pt>
                <c:pt idx="3">
                  <c:v>2002 - 2004</c:v>
                </c:pt>
                <c:pt idx="4">
                  <c:v>2012 - 2014</c:v>
                </c:pt>
                <c:pt idx="5">
                  <c:v>2014 - 2016</c:v>
                </c:pt>
                <c:pt idx="6">
                  <c:v>2015 - 2017</c:v>
                </c:pt>
                <c:pt idx="7">
                  <c:v>2016 - 2018</c:v>
                </c:pt>
                <c:pt idx="8">
                  <c:v>2017 - 2019</c:v>
                </c:pt>
                <c:pt idx="9">
                  <c:v>2018 - 2020</c:v>
                </c:pt>
                <c:pt idx="10">
                  <c:v>2019 - 2021</c:v>
                </c:pt>
                <c:pt idx="11">
                  <c:v>2020 - 2022</c:v>
                </c:pt>
                <c:pt idx="12">
                  <c:v>2021 - 2023</c:v>
                </c:pt>
                <c:pt idx="13">
                  <c:v>2022 - 2024</c:v>
                </c:pt>
              </c:strCache>
            </c:strRef>
          </c:cat>
          <c:val>
            <c:numRef>
              <c:f>t_m_f!$B$23:$B$36</c:f>
              <c:numCache>
                <c:formatCode>0.0</c:formatCode>
                <c:ptCount val="14"/>
                <c:pt idx="0" formatCode="General">
                  <c:v>51.8</c:v>
                </c:pt>
                <c:pt idx="1">
                  <c:v>71.208519999999993</c:v>
                </c:pt>
                <c:pt idx="2">
                  <c:v>70.91</c:v>
                </c:pt>
                <c:pt idx="3">
                  <c:v>72.430000000000007</c:v>
                </c:pt>
                <c:pt idx="4">
                  <c:v>74.69</c:v>
                </c:pt>
                <c:pt idx="5" formatCode="General">
                  <c:v>74.7</c:v>
                </c:pt>
                <c:pt idx="6" formatCode="General">
                  <c:v>74.8</c:v>
                </c:pt>
                <c:pt idx="7" formatCode="General">
                  <c:v>74.8</c:v>
                </c:pt>
                <c:pt idx="8" formatCode="General">
                  <c:v>74.900000000000006</c:v>
                </c:pt>
                <c:pt idx="9" formatCode="General">
                  <c:v>74.599999999999994</c:v>
                </c:pt>
                <c:pt idx="10" formatCode="General">
                  <c:v>73.599999999999994</c:v>
                </c:pt>
                <c:pt idx="11" formatCode="General">
                  <c:v>71.900000000000006</c:v>
                </c:pt>
                <c:pt idx="12" formatCode="General">
                  <c:v>73.5</c:v>
                </c:pt>
                <c:pt idx="13" formatCode="General">
                  <c:v>75.599999999999994</c:v>
                </c:pt>
              </c:numCache>
            </c:numRef>
          </c:val>
          <c:extLst>
            <c:ext xmlns:c16="http://schemas.microsoft.com/office/drawing/2014/chart" uri="{C3380CC4-5D6E-409C-BE32-E72D297353CC}">
              <c16:uniqueId val="{00000000-050E-4520-B7BF-308854B2B759}"/>
            </c:ext>
          </c:extLst>
        </c:ser>
        <c:ser>
          <c:idx val="1"/>
          <c:order val="1"/>
          <c:tx>
            <c:strRef>
              <c:f>t_m_f!$C$22</c:f>
              <c:strCache>
                <c:ptCount val="1"/>
                <c:pt idx="0">
                  <c:v>Мъже</c:v>
                </c:pt>
              </c:strCache>
            </c:strRef>
          </c:tx>
          <c:invertIfNegative val="0"/>
          <c:cat>
            <c:strRef>
              <c:f>t_m_f!$A$23:$A$36</c:f>
              <c:strCache>
                <c:ptCount val="14"/>
                <c:pt idx="0">
                  <c:v>1935 - 1939</c:v>
                </c:pt>
                <c:pt idx="1">
                  <c:v>1962 - 1964</c:v>
                </c:pt>
                <c:pt idx="2">
                  <c:v>1992 - 1994</c:v>
                </c:pt>
                <c:pt idx="3">
                  <c:v>2002 - 2004</c:v>
                </c:pt>
                <c:pt idx="4">
                  <c:v>2012 - 2014</c:v>
                </c:pt>
                <c:pt idx="5">
                  <c:v>2014 - 2016</c:v>
                </c:pt>
                <c:pt idx="6">
                  <c:v>2015 - 2017</c:v>
                </c:pt>
                <c:pt idx="7">
                  <c:v>2016 - 2018</c:v>
                </c:pt>
                <c:pt idx="8">
                  <c:v>2017 - 2019</c:v>
                </c:pt>
                <c:pt idx="9">
                  <c:v>2018 - 2020</c:v>
                </c:pt>
                <c:pt idx="10">
                  <c:v>2019 - 2021</c:v>
                </c:pt>
                <c:pt idx="11">
                  <c:v>2020 - 2022</c:v>
                </c:pt>
                <c:pt idx="12">
                  <c:v>2021 - 2023</c:v>
                </c:pt>
                <c:pt idx="13">
                  <c:v>2022 - 2024</c:v>
                </c:pt>
              </c:strCache>
            </c:strRef>
          </c:cat>
          <c:val>
            <c:numRef>
              <c:f>t_m_f!$C$23:$C$36</c:f>
              <c:numCache>
                <c:formatCode>0.0</c:formatCode>
                <c:ptCount val="14"/>
                <c:pt idx="0">
                  <c:v>51</c:v>
                </c:pt>
                <c:pt idx="1">
                  <c:v>69.475430000000003</c:v>
                </c:pt>
                <c:pt idx="2">
                  <c:v>67.319999999999993</c:v>
                </c:pt>
                <c:pt idx="3">
                  <c:v>69.11</c:v>
                </c:pt>
                <c:pt idx="4">
                  <c:v>71.17</c:v>
                </c:pt>
                <c:pt idx="5" formatCode="General">
                  <c:v>71.2</c:v>
                </c:pt>
                <c:pt idx="6" formatCode="General">
                  <c:v>71.3</c:v>
                </c:pt>
                <c:pt idx="7" formatCode="General">
                  <c:v>71.400000000000006</c:v>
                </c:pt>
                <c:pt idx="8" formatCode="General">
                  <c:v>71.5</c:v>
                </c:pt>
                <c:pt idx="9" formatCode="General">
                  <c:v>71.099999999999994</c:v>
                </c:pt>
                <c:pt idx="10" formatCode="General">
                  <c:v>70.099999999999994</c:v>
                </c:pt>
                <c:pt idx="11" formatCode="General">
                  <c:v>68.3</c:v>
                </c:pt>
                <c:pt idx="12" formatCode="General">
                  <c:v>69.900000000000006</c:v>
                </c:pt>
                <c:pt idx="13" formatCode="General">
                  <c:v>71.900000000000006</c:v>
                </c:pt>
              </c:numCache>
            </c:numRef>
          </c:val>
          <c:extLst>
            <c:ext xmlns:c16="http://schemas.microsoft.com/office/drawing/2014/chart" uri="{C3380CC4-5D6E-409C-BE32-E72D297353CC}">
              <c16:uniqueId val="{00000001-050E-4520-B7BF-308854B2B759}"/>
            </c:ext>
          </c:extLst>
        </c:ser>
        <c:ser>
          <c:idx val="2"/>
          <c:order val="2"/>
          <c:tx>
            <c:strRef>
              <c:f>t_m_f!$D$22</c:f>
              <c:strCache>
                <c:ptCount val="1"/>
                <c:pt idx="0">
                  <c:v>Жени</c:v>
                </c:pt>
              </c:strCache>
            </c:strRef>
          </c:tx>
          <c:invertIfNegative val="0"/>
          <c:cat>
            <c:strRef>
              <c:f>t_m_f!$A$23:$A$36</c:f>
              <c:strCache>
                <c:ptCount val="14"/>
                <c:pt idx="0">
                  <c:v>1935 - 1939</c:v>
                </c:pt>
                <c:pt idx="1">
                  <c:v>1962 - 1964</c:v>
                </c:pt>
                <c:pt idx="2">
                  <c:v>1992 - 1994</c:v>
                </c:pt>
                <c:pt idx="3">
                  <c:v>2002 - 2004</c:v>
                </c:pt>
                <c:pt idx="4">
                  <c:v>2012 - 2014</c:v>
                </c:pt>
                <c:pt idx="5">
                  <c:v>2014 - 2016</c:v>
                </c:pt>
                <c:pt idx="6">
                  <c:v>2015 - 2017</c:v>
                </c:pt>
                <c:pt idx="7">
                  <c:v>2016 - 2018</c:v>
                </c:pt>
                <c:pt idx="8">
                  <c:v>2017 - 2019</c:v>
                </c:pt>
                <c:pt idx="9">
                  <c:v>2018 - 2020</c:v>
                </c:pt>
                <c:pt idx="10">
                  <c:v>2019 - 2021</c:v>
                </c:pt>
                <c:pt idx="11">
                  <c:v>2020 - 2022</c:v>
                </c:pt>
                <c:pt idx="12">
                  <c:v>2021 - 2023</c:v>
                </c:pt>
                <c:pt idx="13">
                  <c:v>2022 - 2024</c:v>
                </c:pt>
              </c:strCache>
            </c:strRef>
          </c:cat>
          <c:val>
            <c:numRef>
              <c:f>t_m_f!$D$23:$D$36</c:f>
              <c:numCache>
                <c:formatCode>0.0</c:formatCode>
                <c:ptCount val="14"/>
                <c:pt idx="0" formatCode="General">
                  <c:v>52.6</c:v>
                </c:pt>
                <c:pt idx="1">
                  <c:v>72.980369999999994</c:v>
                </c:pt>
                <c:pt idx="2">
                  <c:v>74.88</c:v>
                </c:pt>
                <c:pt idx="3">
                  <c:v>76.22</c:v>
                </c:pt>
                <c:pt idx="4">
                  <c:v>78.28</c:v>
                </c:pt>
                <c:pt idx="5" formatCode="General">
                  <c:v>78.2</c:v>
                </c:pt>
                <c:pt idx="6" formatCode="General">
                  <c:v>78.400000000000006</c:v>
                </c:pt>
                <c:pt idx="7" formatCode="General">
                  <c:v>78.400000000000006</c:v>
                </c:pt>
                <c:pt idx="8" formatCode="General">
                  <c:v>78.5</c:v>
                </c:pt>
                <c:pt idx="9" formatCode="General">
                  <c:v>78.2</c:v>
                </c:pt>
                <c:pt idx="10" formatCode="General">
                  <c:v>77.400000000000006</c:v>
                </c:pt>
                <c:pt idx="11" formatCode="General">
                  <c:v>75.8</c:v>
                </c:pt>
                <c:pt idx="12" formatCode="General">
                  <c:v>77.3</c:v>
                </c:pt>
                <c:pt idx="13" formatCode="General">
                  <c:v>79.3</c:v>
                </c:pt>
              </c:numCache>
            </c:numRef>
          </c:val>
          <c:extLst>
            <c:ext xmlns:c16="http://schemas.microsoft.com/office/drawing/2014/chart" uri="{C3380CC4-5D6E-409C-BE32-E72D297353CC}">
              <c16:uniqueId val="{00000002-050E-4520-B7BF-308854B2B759}"/>
            </c:ext>
          </c:extLst>
        </c:ser>
        <c:dLbls>
          <c:showLegendKey val="0"/>
          <c:showVal val="0"/>
          <c:showCatName val="0"/>
          <c:showSerName val="0"/>
          <c:showPercent val="0"/>
          <c:showBubbleSize val="0"/>
        </c:dLbls>
        <c:gapWidth val="150"/>
        <c:axId val="941134992"/>
        <c:axId val="1"/>
      </c:barChart>
      <c:catAx>
        <c:axId val="941134992"/>
        <c:scaling>
          <c:orientation val="minMax"/>
        </c:scaling>
        <c:delete val="0"/>
        <c:axPos val="b"/>
        <c:title>
          <c:tx>
            <c:rich>
              <a:bodyPr/>
              <a:lstStyle/>
              <a:p>
                <a:pPr>
                  <a:defRPr sz="1200">
                    <a:latin typeface="Times New Roman" panose="02020603050405020304" pitchFamily="18" charset="0"/>
                    <a:ea typeface="Verdana" panose="020B0604030504040204" pitchFamily="34" charset="0"/>
                    <a:cs typeface="Times New Roman" panose="02020603050405020304" pitchFamily="18" charset="0"/>
                  </a:defRPr>
                </a:pPr>
                <a:r>
                  <a:rPr lang="en-US" sz="1200">
                    <a:latin typeface="Times New Roman" panose="02020603050405020304" pitchFamily="18" charset="0"/>
                    <a:ea typeface="Verdana" panose="020B0604030504040204" pitchFamily="34" charset="0"/>
                    <a:cs typeface="Times New Roman" panose="02020603050405020304" pitchFamily="18" charset="0"/>
                  </a:rPr>
                  <a:t>      </a:t>
                </a:r>
                <a:r>
                  <a:rPr lang="bg-BG" sz="1200">
                    <a:latin typeface="Times New Roman" panose="02020603050405020304" pitchFamily="18" charset="0"/>
                    <a:ea typeface="Verdana" panose="020B0604030504040204" pitchFamily="34" charset="0"/>
                    <a:cs typeface="Times New Roman" panose="02020603050405020304" pitchFamily="18" charset="0"/>
                  </a:rPr>
                  <a:t>Възраст</a:t>
                </a:r>
              </a:p>
            </c:rich>
          </c:tx>
          <c:layout>
            <c:manualLayout>
              <c:xMode val="edge"/>
              <c:yMode val="edge"/>
              <c:x val="4.9812340232715212E-3"/>
              <c:y val="2.6296035029519615E-2"/>
            </c:manualLayout>
          </c:layout>
          <c:overlay val="0"/>
        </c:title>
        <c:numFmt formatCode="General" sourceLinked="1"/>
        <c:majorTickMark val="out"/>
        <c:minorTickMark val="none"/>
        <c:tickLblPos val="nextTo"/>
        <c:txPr>
          <a:bodyPr rot="-5400000" vert="horz"/>
          <a:lstStyle/>
          <a:p>
            <a:pPr>
              <a:defRPr sz="800">
                <a:latin typeface="Times New Roman" panose="02020603050405020304" pitchFamily="18" charset="0"/>
                <a:ea typeface="Verdana" panose="020B0604030504040204" pitchFamily="34" charset="0"/>
                <a:cs typeface="Times New Roman" panose="02020603050405020304" pitchFamily="18" charset="0"/>
              </a:defRPr>
            </a:pPr>
            <a:endParaRPr lang="bg-BG"/>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sz="800">
                <a:latin typeface="Verdana" panose="020B0604030504040204" pitchFamily="34" charset="0"/>
                <a:ea typeface="Verdana" panose="020B0604030504040204" pitchFamily="34" charset="0"/>
              </a:defRPr>
            </a:pPr>
            <a:endParaRPr lang="bg-BG"/>
          </a:p>
        </c:txPr>
        <c:crossAx val="941134992"/>
        <c:crosses val="autoZero"/>
        <c:crossBetween val="between"/>
        <c:majorUnit val="5"/>
      </c:valAx>
    </c:plotArea>
    <c:legend>
      <c:legendPos val="b"/>
      <c:overlay val="0"/>
      <c:txPr>
        <a:bodyPr/>
        <a:lstStyle/>
        <a:p>
          <a:pPr>
            <a:defRPr sz="800">
              <a:latin typeface="Verdana" panose="020B0604030504040204" pitchFamily="34" charset="0"/>
              <a:ea typeface="Verdana" panose="020B0604030504040204" pitchFamily="34" charset="0"/>
            </a:defRPr>
          </a:pPr>
          <a:endParaRPr lang="bg-BG"/>
        </a:p>
      </c:tx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bg-BG"/>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0.03115</cdr:x>
      <cdr:y>0.0303</cdr:y>
    </cdr:from>
    <cdr:to>
      <cdr:x>0.12305</cdr:x>
      <cdr:y>0.04924</cdr:y>
    </cdr:to>
    <cdr:sp macro="" textlink="">
      <cdr:nvSpPr>
        <cdr:cNvPr id="2" name="TextBox 1"/>
        <cdr:cNvSpPr txBox="1"/>
      </cdr:nvSpPr>
      <cdr:spPr>
        <a:xfrm xmlns:a="http://schemas.openxmlformats.org/drawingml/2006/main">
          <a:off x="190500" y="76200"/>
          <a:ext cx="561975" cy="47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bg-BG"/>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58284-9A5F-4654-8D13-01AC5D13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79</Pages>
  <Words>33380</Words>
  <Characters>190272</Characters>
  <Application>Microsoft Office Word</Application>
  <DocSecurity>0</DocSecurity>
  <Lines>1585</Lines>
  <Paragraphs>446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 Barkashki</dc:creator>
  <cp:keywords/>
  <dc:description/>
  <cp:lastModifiedBy>Мария Любомирова Карагьозова</cp:lastModifiedBy>
  <cp:revision>2</cp:revision>
  <cp:lastPrinted>2023-05-25T09:50:00Z</cp:lastPrinted>
  <dcterms:created xsi:type="dcterms:W3CDTF">2025-10-22T08:45:00Z</dcterms:created>
  <dcterms:modified xsi:type="dcterms:W3CDTF">2025-10-22T08:45:00Z</dcterms:modified>
</cp:coreProperties>
</file>