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9284" w14:textId="77777777" w:rsidR="00A77B3E" w:rsidRDefault="00A77B3E"/>
    <w:p w14:paraId="208C9D7C" w14:textId="77777777" w:rsidR="00A77B3E" w:rsidRDefault="00AD19A4">
      <w:pPr>
        <w:jc w:val="center"/>
        <w:rPr>
          <w:color w:val="000000"/>
          <w:sz w:val="32"/>
        </w:rPr>
      </w:pPr>
      <w:r>
        <w:rPr>
          <w:color w:val="000000"/>
          <w:sz w:val="32"/>
        </w:rPr>
        <w:t xml:space="preserve">Програма SFC2021 за </w:t>
      </w:r>
      <w:r w:rsidR="00A1192D">
        <w:rPr>
          <w:color w:val="000000"/>
          <w:sz w:val="32"/>
          <w:lang w:val="bg-BG"/>
        </w:rPr>
        <w:t>ФУМИ</w:t>
      </w:r>
      <w:r>
        <w:rPr>
          <w:color w:val="000000"/>
          <w:sz w:val="32"/>
        </w:rPr>
        <w:t xml:space="preserve">, </w:t>
      </w:r>
      <w:r w:rsidR="004B3C80">
        <w:rPr>
          <w:color w:val="000000"/>
          <w:sz w:val="32"/>
        </w:rPr>
        <w:t>ФВС</w:t>
      </w:r>
      <w:r>
        <w:rPr>
          <w:color w:val="000000"/>
          <w:sz w:val="32"/>
        </w:rPr>
        <w:t xml:space="preserve"> и </w:t>
      </w:r>
      <w:r w:rsidR="004B3C80">
        <w:rPr>
          <w:color w:val="000000"/>
          <w:sz w:val="32"/>
        </w:rPr>
        <w:t>ИУГВП</w:t>
      </w:r>
    </w:p>
    <w:p w14:paraId="4D82551E"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5120"/>
      </w:tblGrid>
      <w:tr w:rsidR="00FE6FD5" w14:paraId="412A8CF3" w14:textId="77777777">
        <w:trPr>
          <w:trHeight w:val="240"/>
        </w:trPr>
        <w:tc>
          <w:tcPr>
            <w:tcW w:w="1650" w:type="pct"/>
            <w:tcMar>
              <w:left w:w="100" w:type="dxa"/>
              <w:right w:w="100" w:type="dxa"/>
            </w:tcMar>
          </w:tcPr>
          <w:p w14:paraId="1C084D25" w14:textId="77777777" w:rsidR="00A77B3E" w:rsidRDefault="00AD19A4">
            <w:pPr>
              <w:rPr>
                <w:color w:val="000000"/>
              </w:rPr>
            </w:pPr>
            <w:r>
              <w:rPr>
                <w:color w:val="000000"/>
              </w:rPr>
              <w:t>CCI номер</w:t>
            </w:r>
          </w:p>
        </w:tc>
        <w:tc>
          <w:tcPr>
            <w:tcW w:w="1650" w:type="pct"/>
            <w:tcMar>
              <w:left w:w="100" w:type="dxa"/>
              <w:right w:w="100" w:type="dxa"/>
            </w:tcMar>
          </w:tcPr>
          <w:p w14:paraId="058457D7" w14:textId="77777777" w:rsidR="00A77B3E" w:rsidRDefault="00AD19A4">
            <w:pPr>
              <w:rPr>
                <w:color w:val="000000"/>
              </w:rPr>
            </w:pPr>
            <w:r>
              <w:rPr>
                <w:color w:val="000000"/>
              </w:rPr>
              <w:t>2021BG65BVPR001</w:t>
            </w:r>
          </w:p>
        </w:tc>
      </w:tr>
      <w:tr w:rsidR="00FE6FD5" w14:paraId="564BE5BF" w14:textId="77777777">
        <w:trPr>
          <w:trHeight w:val="240"/>
        </w:trPr>
        <w:tc>
          <w:tcPr>
            <w:tcW w:w="1650" w:type="pct"/>
            <w:tcMar>
              <w:left w:w="100" w:type="dxa"/>
              <w:right w:w="100" w:type="dxa"/>
            </w:tcMar>
          </w:tcPr>
          <w:p w14:paraId="186E28D0" w14:textId="77777777" w:rsidR="00A77B3E" w:rsidRDefault="00AD19A4">
            <w:pPr>
              <w:rPr>
                <w:color w:val="000000"/>
              </w:rPr>
            </w:pPr>
            <w:r>
              <w:rPr>
                <w:color w:val="000000"/>
              </w:rPr>
              <w:t>Заглавие на английски</w:t>
            </w:r>
          </w:p>
        </w:tc>
        <w:tc>
          <w:tcPr>
            <w:tcW w:w="1650" w:type="pct"/>
            <w:tcMar>
              <w:left w:w="100" w:type="dxa"/>
              <w:right w:w="100" w:type="dxa"/>
            </w:tcMar>
          </w:tcPr>
          <w:p w14:paraId="55206191" w14:textId="77777777" w:rsidR="00A77B3E" w:rsidRDefault="00AD19A4">
            <w:pPr>
              <w:rPr>
                <w:color w:val="000000"/>
              </w:rPr>
            </w:pPr>
            <w:r>
              <w:rPr>
                <w:color w:val="000000"/>
              </w:rPr>
              <w:t xml:space="preserve">Програма България - </w:t>
            </w:r>
            <w:r w:rsidR="004B3C80">
              <w:rPr>
                <w:color w:val="000000"/>
              </w:rPr>
              <w:t>ИУГВП</w:t>
            </w:r>
          </w:p>
        </w:tc>
      </w:tr>
      <w:tr w:rsidR="00FE6FD5" w14:paraId="1BA009EE" w14:textId="77777777">
        <w:trPr>
          <w:trHeight w:val="240"/>
        </w:trPr>
        <w:tc>
          <w:tcPr>
            <w:tcW w:w="1650" w:type="pct"/>
            <w:tcMar>
              <w:left w:w="100" w:type="dxa"/>
              <w:right w:w="100" w:type="dxa"/>
            </w:tcMar>
          </w:tcPr>
          <w:p w14:paraId="38B9A3B5" w14:textId="77777777" w:rsidR="00A77B3E" w:rsidRDefault="00AD19A4">
            <w:pPr>
              <w:rPr>
                <w:color w:val="000000"/>
              </w:rPr>
            </w:pPr>
            <w:r>
              <w:rPr>
                <w:color w:val="000000"/>
              </w:rPr>
              <w:t>Заглавие на национален(и) език(ци)</w:t>
            </w:r>
          </w:p>
        </w:tc>
        <w:tc>
          <w:tcPr>
            <w:tcW w:w="1650" w:type="pct"/>
            <w:tcMar>
              <w:left w:w="100" w:type="dxa"/>
              <w:right w:w="100" w:type="dxa"/>
            </w:tcMar>
          </w:tcPr>
          <w:p w14:paraId="44CA2FFE" w14:textId="77777777" w:rsidR="00A77B3E" w:rsidRDefault="00AD19A4">
            <w:pPr>
              <w:rPr>
                <w:color w:val="000000"/>
              </w:rPr>
            </w:pPr>
            <w:r>
              <w:rPr>
                <w:color w:val="000000"/>
              </w:rPr>
              <w:t xml:space="preserve">BG - Програма България - </w:t>
            </w:r>
            <w:r w:rsidR="004B3C80">
              <w:rPr>
                <w:color w:val="000000"/>
              </w:rPr>
              <w:t>ИУГВП</w:t>
            </w:r>
          </w:p>
        </w:tc>
      </w:tr>
      <w:tr w:rsidR="00FE6FD5" w14:paraId="0CEC67D8" w14:textId="77777777">
        <w:trPr>
          <w:trHeight w:val="240"/>
        </w:trPr>
        <w:tc>
          <w:tcPr>
            <w:tcW w:w="1650" w:type="pct"/>
            <w:tcMar>
              <w:left w:w="100" w:type="dxa"/>
              <w:right w:w="100" w:type="dxa"/>
            </w:tcMar>
          </w:tcPr>
          <w:p w14:paraId="65A99D17" w14:textId="77777777" w:rsidR="00A77B3E" w:rsidRDefault="00AD19A4">
            <w:pPr>
              <w:rPr>
                <w:color w:val="000000"/>
              </w:rPr>
            </w:pPr>
            <w:r>
              <w:rPr>
                <w:color w:val="000000"/>
              </w:rPr>
              <w:t>Версия</w:t>
            </w:r>
          </w:p>
        </w:tc>
        <w:tc>
          <w:tcPr>
            <w:tcW w:w="1650" w:type="pct"/>
            <w:tcMar>
              <w:left w:w="100" w:type="dxa"/>
              <w:right w:w="100" w:type="dxa"/>
            </w:tcMar>
          </w:tcPr>
          <w:p w14:paraId="36FC6CF3" w14:textId="77777777" w:rsidR="00A77B3E" w:rsidRDefault="00AD19A4">
            <w:pPr>
              <w:rPr>
                <w:color w:val="000000"/>
              </w:rPr>
            </w:pPr>
            <w:r>
              <w:rPr>
                <w:color w:val="000000"/>
              </w:rPr>
              <w:t>5.1</w:t>
            </w:r>
          </w:p>
        </w:tc>
      </w:tr>
      <w:tr w:rsidR="00FE6FD5" w14:paraId="2F07AA7E" w14:textId="77777777">
        <w:trPr>
          <w:trHeight w:val="240"/>
        </w:trPr>
        <w:tc>
          <w:tcPr>
            <w:tcW w:w="1650" w:type="pct"/>
            <w:tcMar>
              <w:left w:w="100" w:type="dxa"/>
              <w:right w:w="100" w:type="dxa"/>
            </w:tcMar>
          </w:tcPr>
          <w:p w14:paraId="64587A78" w14:textId="77777777" w:rsidR="00A77B3E" w:rsidRDefault="00AD19A4">
            <w:pPr>
              <w:rPr>
                <w:color w:val="000000"/>
              </w:rPr>
            </w:pPr>
            <w:r>
              <w:rPr>
                <w:color w:val="000000"/>
              </w:rPr>
              <w:t>Първа година</w:t>
            </w:r>
          </w:p>
        </w:tc>
        <w:tc>
          <w:tcPr>
            <w:tcW w:w="1650" w:type="pct"/>
            <w:tcMar>
              <w:left w:w="100" w:type="dxa"/>
              <w:right w:w="100" w:type="dxa"/>
            </w:tcMar>
          </w:tcPr>
          <w:p w14:paraId="315F45DB" w14:textId="77777777" w:rsidR="00A77B3E" w:rsidRDefault="00AD19A4">
            <w:pPr>
              <w:rPr>
                <w:color w:val="000000"/>
              </w:rPr>
            </w:pPr>
            <w:r>
              <w:rPr>
                <w:color w:val="000000"/>
              </w:rPr>
              <w:t>2021 г.</w:t>
            </w:r>
          </w:p>
        </w:tc>
      </w:tr>
      <w:tr w:rsidR="00FE6FD5" w14:paraId="4856B922" w14:textId="77777777">
        <w:trPr>
          <w:trHeight w:val="240"/>
        </w:trPr>
        <w:tc>
          <w:tcPr>
            <w:tcW w:w="1650" w:type="pct"/>
            <w:tcMar>
              <w:left w:w="100" w:type="dxa"/>
              <w:right w:w="100" w:type="dxa"/>
            </w:tcMar>
          </w:tcPr>
          <w:p w14:paraId="542465A2" w14:textId="77777777" w:rsidR="00A77B3E" w:rsidRDefault="00AD19A4">
            <w:pPr>
              <w:rPr>
                <w:color w:val="000000"/>
              </w:rPr>
            </w:pPr>
            <w:r>
              <w:rPr>
                <w:color w:val="000000"/>
              </w:rPr>
              <w:t>Миналата година</w:t>
            </w:r>
          </w:p>
        </w:tc>
        <w:tc>
          <w:tcPr>
            <w:tcW w:w="1650" w:type="pct"/>
            <w:tcMar>
              <w:left w:w="100" w:type="dxa"/>
              <w:right w:w="100" w:type="dxa"/>
            </w:tcMar>
          </w:tcPr>
          <w:p w14:paraId="135BEB18" w14:textId="77777777" w:rsidR="00A77B3E" w:rsidRDefault="00AD19A4">
            <w:pPr>
              <w:rPr>
                <w:color w:val="000000"/>
              </w:rPr>
            </w:pPr>
            <w:r>
              <w:rPr>
                <w:color w:val="000000"/>
              </w:rPr>
              <w:t>2027 г.</w:t>
            </w:r>
          </w:p>
        </w:tc>
      </w:tr>
      <w:tr w:rsidR="00FE6FD5" w14:paraId="4D45E94A" w14:textId="77777777">
        <w:trPr>
          <w:trHeight w:val="240"/>
        </w:trPr>
        <w:tc>
          <w:tcPr>
            <w:tcW w:w="1650" w:type="pct"/>
            <w:tcMar>
              <w:left w:w="100" w:type="dxa"/>
              <w:right w:w="100" w:type="dxa"/>
            </w:tcMar>
          </w:tcPr>
          <w:p w14:paraId="420916C8" w14:textId="77777777" w:rsidR="00A77B3E" w:rsidRDefault="00AD19A4">
            <w:pPr>
              <w:rPr>
                <w:color w:val="000000"/>
              </w:rPr>
            </w:pPr>
            <w:r>
              <w:rPr>
                <w:color w:val="000000"/>
              </w:rPr>
              <w:t>Допустими от</w:t>
            </w:r>
          </w:p>
        </w:tc>
        <w:tc>
          <w:tcPr>
            <w:tcW w:w="1650" w:type="pct"/>
            <w:tcMar>
              <w:left w:w="100" w:type="dxa"/>
              <w:right w:w="100" w:type="dxa"/>
            </w:tcMar>
          </w:tcPr>
          <w:p w14:paraId="71BBD0CB" w14:textId="77777777" w:rsidR="00A77B3E" w:rsidRDefault="00AD19A4">
            <w:pPr>
              <w:rPr>
                <w:color w:val="000000"/>
              </w:rPr>
            </w:pPr>
            <w:r>
              <w:rPr>
                <w:color w:val="000000"/>
              </w:rPr>
              <w:t>1 януари 2021 г.</w:t>
            </w:r>
          </w:p>
        </w:tc>
      </w:tr>
      <w:tr w:rsidR="00FE6FD5" w14:paraId="39FCD0A4" w14:textId="77777777">
        <w:trPr>
          <w:trHeight w:val="240"/>
        </w:trPr>
        <w:tc>
          <w:tcPr>
            <w:tcW w:w="1650" w:type="pct"/>
            <w:tcMar>
              <w:left w:w="100" w:type="dxa"/>
              <w:right w:w="100" w:type="dxa"/>
            </w:tcMar>
          </w:tcPr>
          <w:p w14:paraId="0E13AB4E" w14:textId="77777777" w:rsidR="00A77B3E" w:rsidRDefault="00AD19A4">
            <w:pPr>
              <w:rPr>
                <w:color w:val="000000"/>
              </w:rPr>
            </w:pPr>
            <w:r>
              <w:rPr>
                <w:color w:val="000000"/>
              </w:rPr>
              <w:t>Допустимо до</w:t>
            </w:r>
          </w:p>
        </w:tc>
        <w:tc>
          <w:tcPr>
            <w:tcW w:w="1650" w:type="pct"/>
            <w:tcMar>
              <w:left w:w="100" w:type="dxa"/>
              <w:right w:w="100" w:type="dxa"/>
            </w:tcMar>
          </w:tcPr>
          <w:p w14:paraId="239F86A3" w14:textId="77777777" w:rsidR="00A77B3E" w:rsidRDefault="00AD19A4">
            <w:pPr>
              <w:rPr>
                <w:color w:val="000000"/>
              </w:rPr>
            </w:pPr>
            <w:r>
              <w:rPr>
                <w:color w:val="000000"/>
              </w:rPr>
              <w:t>31 декември 2029 г.</w:t>
            </w:r>
          </w:p>
        </w:tc>
      </w:tr>
      <w:tr w:rsidR="00FE6FD5" w14:paraId="773AB253" w14:textId="77777777">
        <w:trPr>
          <w:trHeight w:val="240"/>
        </w:trPr>
        <w:tc>
          <w:tcPr>
            <w:tcW w:w="1650" w:type="pct"/>
            <w:tcMar>
              <w:left w:w="100" w:type="dxa"/>
              <w:right w:w="100" w:type="dxa"/>
            </w:tcMar>
          </w:tcPr>
          <w:p w14:paraId="32DCEA9C" w14:textId="77777777" w:rsidR="00A77B3E" w:rsidRDefault="00AD19A4">
            <w:pPr>
              <w:rPr>
                <w:color w:val="000000"/>
              </w:rPr>
            </w:pPr>
            <w:r>
              <w:rPr>
                <w:color w:val="000000"/>
              </w:rPr>
              <w:t>Номер на решението на Комисията</w:t>
            </w:r>
          </w:p>
        </w:tc>
        <w:tc>
          <w:tcPr>
            <w:tcW w:w="1650" w:type="pct"/>
            <w:tcMar>
              <w:left w:w="100" w:type="dxa"/>
              <w:right w:w="100" w:type="dxa"/>
            </w:tcMar>
          </w:tcPr>
          <w:p w14:paraId="60214401" w14:textId="77777777" w:rsidR="00A77B3E" w:rsidRDefault="00A77B3E">
            <w:pPr>
              <w:rPr>
                <w:color w:val="000000"/>
              </w:rPr>
            </w:pPr>
          </w:p>
        </w:tc>
      </w:tr>
      <w:tr w:rsidR="00FE6FD5" w14:paraId="2B866B6B" w14:textId="77777777">
        <w:trPr>
          <w:trHeight w:val="240"/>
        </w:trPr>
        <w:tc>
          <w:tcPr>
            <w:tcW w:w="1650" w:type="pct"/>
            <w:tcMar>
              <w:left w:w="100" w:type="dxa"/>
              <w:right w:w="100" w:type="dxa"/>
            </w:tcMar>
          </w:tcPr>
          <w:p w14:paraId="21D823CC" w14:textId="77777777" w:rsidR="00A77B3E" w:rsidRDefault="00AD19A4">
            <w:pPr>
              <w:rPr>
                <w:color w:val="000000"/>
              </w:rPr>
            </w:pPr>
            <w:r>
              <w:rPr>
                <w:color w:val="000000"/>
              </w:rPr>
              <w:t>Дата на решението на Комисията</w:t>
            </w:r>
          </w:p>
        </w:tc>
        <w:tc>
          <w:tcPr>
            <w:tcW w:w="1650" w:type="pct"/>
            <w:tcMar>
              <w:left w:w="100" w:type="dxa"/>
              <w:right w:w="100" w:type="dxa"/>
            </w:tcMar>
          </w:tcPr>
          <w:p w14:paraId="7BE21682" w14:textId="77777777" w:rsidR="00A77B3E" w:rsidRDefault="00A77B3E">
            <w:pPr>
              <w:rPr>
                <w:color w:val="000000"/>
              </w:rPr>
            </w:pPr>
          </w:p>
        </w:tc>
      </w:tr>
      <w:tr w:rsidR="00FE6FD5" w14:paraId="1396F4D6" w14:textId="77777777">
        <w:trPr>
          <w:trHeight w:val="240"/>
        </w:trPr>
        <w:tc>
          <w:tcPr>
            <w:tcW w:w="1650" w:type="pct"/>
            <w:tcMar>
              <w:left w:w="100" w:type="dxa"/>
              <w:right w:w="100" w:type="dxa"/>
            </w:tcMar>
          </w:tcPr>
          <w:p w14:paraId="5ED3BAD1" w14:textId="77777777" w:rsidR="00A77B3E" w:rsidRDefault="00AD19A4">
            <w:pPr>
              <w:rPr>
                <w:color w:val="000000"/>
              </w:rPr>
            </w:pPr>
            <w:r>
              <w:rPr>
                <w:color w:val="000000"/>
              </w:rPr>
              <w:t>Номер на решението за изменение на държавата членка</w:t>
            </w:r>
          </w:p>
        </w:tc>
        <w:tc>
          <w:tcPr>
            <w:tcW w:w="1650" w:type="pct"/>
            <w:tcMar>
              <w:left w:w="100" w:type="dxa"/>
              <w:right w:w="100" w:type="dxa"/>
            </w:tcMar>
          </w:tcPr>
          <w:p w14:paraId="7BB2C0AF" w14:textId="77777777" w:rsidR="00A77B3E" w:rsidRDefault="00A77B3E">
            <w:pPr>
              <w:rPr>
                <w:color w:val="000000"/>
              </w:rPr>
            </w:pPr>
          </w:p>
        </w:tc>
      </w:tr>
      <w:tr w:rsidR="00FE6FD5" w14:paraId="72E250FE" w14:textId="77777777">
        <w:trPr>
          <w:trHeight w:val="240"/>
        </w:trPr>
        <w:tc>
          <w:tcPr>
            <w:tcW w:w="1650" w:type="pct"/>
            <w:tcMar>
              <w:left w:w="100" w:type="dxa"/>
              <w:right w:w="100" w:type="dxa"/>
            </w:tcMar>
          </w:tcPr>
          <w:p w14:paraId="213B6194" w14:textId="77777777" w:rsidR="00A77B3E" w:rsidRDefault="00AD19A4">
            <w:pPr>
              <w:rPr>
                <w:color w:val="000000"/>
              </w:rPr>
            </w:pPr>
            <w:r>
              <w:rPr>
                <w:color w:val="000000"/>
              </w:rPr>
              <w:t>Дата на влизане в сила на решението за изменение на ДЧ</w:t>
            </w:r>
          </w:p>
        </w:tc>
        <w:tc>
          <w:tcPr>
            <w:tcW w:w="1650" w:type="pct"/>
            <w:tcMar>
              <w:left w:w="100" w:type="dxa"/>
              <w:right w:w="100" w:type="dxa"/>
            </w:tcMar>
          </w:tcPr>
          <w:p w14:paraId="7E1B2834" w14:textId="77777777" w:rsidR="00A77B3E" w:rsidRDefault="00A77B3E">
            <w:pPr>
              <w:rPr>
                <w:color w:val="000000"/>
              </w:rPr>
            </w:pPr>
          </w:p>
        </w:tc>
      </w:tr>
      <w:tr w:rsidR="00FE6FD5" w14:paraId="143C1F3B" w14:textId="77777777">
        <w:trPr>
          <w:trHeight w:val="240"/>
        </w:trPr>
        <w:tc>
          <w:tcPr>
            <w:tcW w:w="1650" w:type="pct"/>
            <w:tcMar>
              <w:left w:w="100" w:type="dxa"/>
              <w:right w:w="100" w:type="dxa"/>
            </w:tcMar>
          </w:tcPr>
          <w:p w14:paraId="6F4A1516" w14:textId="77777777" w:rsidR="00A77B3E" w:rsidRDefault="00AD19A4">
            <w:pPr>
              <w:rPr>
                <w:color w:val="000000"/>
              </w:rPr>
            </w:pPr>
            <w:r>
              <w:rPr>
                <w:color w:val="000000"/>
              </w:rPr>
              <w:t xml:space="preserve">Несъществено прехвърляне (член 24(5) от </w:t>
            </w:r>
            <w:r w:rsidR="00A1192D">
              <w:rPr>
                <w:color w:val="000000"/>
              </w:rPr>
              <w:t>РОР</w:t>
            </w:r>
            <w:r>
              <w:rPr>
                <w:color w:val="000000"/>
              </w:rPr>
              <w:t>)</w:t>
            </w:r>
          </w:p>
        </w:tc>
        <w:tc>
          <w:tcPr>
            <w:tcW w:w="1650" w:type="pct"/>
            <w:tcMar>
              <w:left w:w="100" w:type="dxa"/>
              <w:right w:w="100" w:type="dxa"/>
            </w:tcMar>
          </w:tcPr>
          <w:p w14:paraId="0817CDBA" w14:textId="77777777" w:rsidR="00A77B3E" w:rsidRDefault="00AD19A4">
            <w:pPr>
              <w:rPr>
                <w:color w:val="000000"/>
              </w:rPr>
            </w:pPr>
            <w:r>
              <w:rPr>
                <w:color w:val="000000"/>
              </w:rPr>
              <w:t>Не</w:t>
            </w:r>
          </w:p>
        </w:tc>
      </w:tr>
      <w:tr w:rsidR="00FE6FD5" w14:paraId="6EF70BBD" w14:textId="77777777">
        <w:trPr>
          <w:trHeight w:val="240"/>
        </w:trPr>
        <w:tc>
          <w:tcPr>
            <w:tcW w:w="1650" w:type="pct"/>
            <w:tcMar>
              <w:left w:w="100" w:type="dxa"/>
              <w:right w:w="100" w:type="dxa"/>
            </w:tcMar>
          </w:tcPr>
          <w:p w14:paraId="6186D8EC" w14:textId="77777777" w:rsidR="00A77B3E" w:rsidRDefault="00AD19A4">
            <w:pPr>
              <w:rPr>
                <w:color w:val="000000"/>
              </w:rPr>
            </w:pPr>
            <w:r>
              <w:rPr>
                <w:color w:val="000000"/>
              </w:rPr>
              <w:t xml:space="preserve">Административни или редакционни корекции (24/6) </w:t>
            </w:r>
            <w:r w:rsidR="00A1192D">
              <w:rPr>
                <w:color w:val="000000"/>
              </w:rPr>
              <w:t>РОР</w:t>
            </w:r>
            <w:r>
              <w:rPr>
                <w:color w:val="000000"/>
              </w:rPr>
              <w:t>)</w:t>
            </w:r>
          </w:p>
        </w:tc>
        <w:tc>
          <w:tcPr>
            <w:tcW w:w="1650" w:type="pct"/>
            <w:tcMar>
              <w:left w:w="100" w:type="dxa"/>
              <w:right w:w="100" w:type="dxa"/>
            </w:tcMar>
          </w:tcPr>
          <w:p w14:paraId="0D3CC24F" w14:textId="77777777" w:rsidR="00A77B3E" w:rsidRDefault="00AD19A4">
            <w:pPr>
              <w:rPr>
                <w:color w:val="000000"/>
              </w:rPr>
            </w:pPr>
            <w:r>
              <w:rPr>
                <w:color w:val="000000"/>
              </w:rPr>
              <w:t>Не</w:t>
            </w:r>
          </w:p>
        </w:tc>
      </w:tr>
      <w:tr w:rsidR="00FE6FD5" w14:paraId="5678FCD4" w14:textId="77777777">
        <w:trPr>
          <w:trHeight w:val="240"/>
        </w:trPr>
        <w:tc>
          <w:tcPr>
            <w:tcW w:w="1650" w:type="pct"/>
            <w:tcMar>
              <w:left w:w="100" w:type="dxa"/>
              <w:right w:w="100" w:type="dxa"/>
            </w:tcMar>
          </w:tcPr>
          <w:p w14:paraId="168A56F6" w14:textId="77777777" w:rsidR="00A77B3E" w:rsidRDefault="00AD19A4">
            <w:pPr>
              <w:rPr>
                <w:color w:val="000000"/>
              </w:rPr>
            </w:pPr>
            <w:r>
              <w:rPr>
                <w:color w:val="000000"/>
              </w:rPr>
              <w:t xml:space="preserve">Тематичен механизъм (член 11 от Регламента за ФУМИ, член 8 от Регламента за </w:t>
            </w:r>
            <w:r w:rsidR="004B3C80">
              <w:rPr>
                <w:color w:val="000000"/>
              </w:rPr>
              <w:t>ИГУВП</w:t>
            </w:r>
            <w:r>
              <w:rPr>
                <w:color w:val="000000"/>
              </w:rPr>
              <w:t>, член 8 от Регламента за ИСФ)</w:t>
            </w:r>
          </w:p>
        </w:tc>
        <w:tc>
          <w:tcPr>
            <w:tcW w:w="1650" w:type="pct"/>
            <w:tcMar>
              <w:left w:w="100" w:type="dxa"/>
              <w:right w:w="100" w:type="dxa"/>
            </w:tcMar>
          </w:tcPr>
          <w:p w14:paraId="5436D43D" w14:textId="77777777" w:rsidR="00A77B3E" w:rsidRDefault="00AD19A4">
            <w:pPr>
              <w:rPr>
                <w:color w:val="000000"/>
              </w:rPr>
            </w:pPr>
            <w:r>
              <w:rPr>
                <w:color w:val="000000"/>
              </w:rPr>
              <w:t>Не</w:t>
            </w:r>
          </w:p>
        </w:tc>
      </w:tr>
      <w:tr w:rsidR="00FE6FD5" w14:paraId="5288A79C" w14:textId="77777777">
        <w:trPr>
          <w:trHeight w:val="240"/>
        </w:trPr>
        <w:tc>
          <w:tcPr>
            <w:tcW w:w="1650" w:type="pct"/>
            <w:tcMar>
              <w:left w:w="100" w:type="dxa"/>
              <w:right w:w="100" w:type="dxa"/>
            </w:tcMar>
          </w:tcPr>
          <w:p w14:paraId="7A883498" w14:textId="77777777" w:rsidR="00A77B3E" w:rsidRDefault="00AD19A4">
            <w:pPr>
              <w:rPr>
                <w:color w:val="000000"/>
              </w:rPr>
            </w:pPr>
            <w:r>
              <w:rPr>
                <w:color w:val="000000"/>
              </w:rPr>
              <w:t>Одобрено от мониторинговия комитет</w:t>
            </w:r>
          </w:p>
        </w:tc>
        <w:tc>
          <w:tcPr>
            <w:tcW w:w="1650" w:type="pct"/>
            <w:tcMar>
              <w:left w:w="100" w:type="dxa"/>
              <w:right w:w="100" w:type="dxa"/>
            </w:tcMar>
          </w:tcPr>
          <w:p w14:paraId="5656946B" w14:textId="77777777" w:rsidR="00A77B3E" w:rsidRDefault="00AD19A4">
            <w:pPr>
              <w:rPr>
                <w:color w:val="000000"/>
              </w:rPr>
            </w:pPr>
            <w:r>
              <w:rPr>
                <w:color w:val="000000"/>
              </w:rPr>
              <w:t>Да</w:t>
            </w:r>
          </w:p>
        </w:tc>
      </w:tr>
    </w:tbl>
    <w:p w14:paraId="5F92E43C" w14:textId="77777777" w:rsidR="00A77B3E" w:rsidRDefault="00AD19A4">
      <w:pPr>
        <w:jc w:val="center"/>
        <w:rPr>
          <w:b/>
          <w:color w:val="000000"/>
        </w:rPr>
      </w:pPr>
      <w:r>
        <w:rPr>
          <w:color w:val="000000"/>
        </w:rPr>
        <w:br w:type="page"/>
      </w:r>
      <w:r>
        <w:rPr>
          <w:b/>
          <w:color w:val="000000"/>
        </w:rPr>
        <w:lastRenderedPageBreak/>
        <w:t>Съдържание</w:t>
      </w:r>
    </w:p>
    <w:p w14:paraId="214AC676" w14:textId="77777777" w:rsidR="00A77B3E" w:rsidRDefault="00A77B3E">
      <w:pPr>
        <w:jc w:val="center"/>
        <w:rPr>
          <w:color w:val="000000"/>
        </w:rPr>
      </w:pPr>
    </w:p>
    <w:p w14:paraId="4CAC6F96" w14:textId="77777777" w:rsidR="00FE6FD5" w:rsidRDefault="00AD19A4">
      <w:pPr>
        <w:pStyle w:val="TOC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48" w:history="1">
        <w:r w:rsidR="00A77B3E">
          <w:rPr>
            <w:rStyle w:val="Hyperlink"/>
          </w:rPr>
          <w:t xml:space="preserve">1. Стратегия на програмата: основни предизвикателства и политически отговори </w:t>
        </w:r>
      </w:hyperlink>
      <w:r>
        <w:tab/>
      </w:r>
      <w:r>
        <w:fldChar w:fldCharType="begin"/>
      </w:r>
      <w:r>
        <w:instrText xml:space="preserve"> PAGEREF _Toc256000048 \h </w:instrText>
      </w:r>
      <w:r>
        <w:fldChar w:fldCharType="separate"/>
      </w:r>
      <w:hyperlink w:anchor="_Toc256000048" w:history="1">
        <w:r>
          <w:t>4</w:t>
        </w:r>
      </w:hyperlink>
      <w:r>
        <w:fldChar w:fldCharType="end"/>
      </w:r>
    </w:p>
    <w:p w14:paraId="0E41BBB7" w14:textId="77777777" w:rsidR="00FE6FD5" w:rsidRDefault="00183280">
      <w:pPr>
        <w:pStyle w:val="TOC1"/>
        <w:tabs>
          <w:tab w:val="right" w:leader="dot" w:pos="10240"/>
        </w:tabs>
        <w:rPr>
          <w:rFonts w:ascii="Calibri" w:hAnsi="Calibri"/>
          <w:sz w:val="22"/>
        </w:rPr>
      </w:pPr>
      <w:hyperlink w:anchor="_Toc256000049" w:history="1">
        <w:r w:rsidR="00A77B3E">
          <w:rPr>
            <w:rStyle w:val="Hyperlink"/>
          </w:rPr>
          <w:t xml:space="preserve">2. Специфични цели и техническа помощ </w:t>
        </w:r>
      </w:hyperlink>
      <w:r w:rsidR="00AD19A4">
        <w:tab/>
      </w:r>
      <w:r w:rsidR="00AD19A4">
        <w:fldChar w:fldCharType="begin"/>
      </w:r>
      <w:r w:rsidR="00AD19A4">
        <w:instrText xml:space="preserve"> PAGEREF _Toc256000049 \h </w:instrText>
      </w:r>
      <w:r w:rsidR="00AD19A4">
        <w:fldChar w:fldCharType="separate"/>
      </w:r>
      <w:hyperlink w:anchor="_Toc256000049" w:history="1">
        <w:r w:rsidR="00AD19A4">
          <w:t>10</w:t>
        </w:r>
      </w:hyperlink>
      <w:r w:rsidR="00AD19A4">
        <w:fldChar w:fldCharType="end"/>
      </w:r>
    </w:p>
    <w:p w14:paraId="0ACB1661" w14:textId="77777777" w:rsidR="00FE6FD5" w:rsidRDefault="00183280">
      <w:pPr>
        <w:pStyle w:val="TOC2"/>
        <w:tabs>
          <w:tab w:val="right" w:leader="dot" w:pos="10240"/>
        </w:tabs>
        <w:rPr>
          <w:rFonts w:ascii="Calibri" w:hAnsi="Calibri"/>
          <w:sz w:val="22"/>
        </w:rPr>
      </w:pPr>
      <w:hyperlink w:anchor="_Toc256000050" w:history="1">
        <w:r w:rsidR="00A77B3E">
          <w:rPr>
            <w:rStyle w:val="Hyperlink"/>
            <w:rFonts w:ascii="TimesNewRoman" w:eastAsia="TimesNewRoman" w:hAnsi="TimesNewRoman" w:cs="TimesNewRoman"/>
          </w:rPr>
          <w:t xml:space="preserve">2.1. Специфична цел: 1. Европейско интегрирано управление на границите </w:t>
        </w:r>
      </w:hyperlink>
      <w:r w:rsidR="00AD19A4">
        <w:tab/>
      </w:r>
      <w:r w:rsidR="00AD19A4">
        <w:fldChar w:fldCharType="begin"/>
      </w:r>
      <w:r w:rsidR="00AD19A4">
        <w:instrText xml:space="preserve"> PAGEREF _Toc256000050 \h </w:instrText>
      </w:r>
      <w:r w:rsidR="00AD19A4">
        <w:fldChar w:fldCharType="separate"/>
      </w:r>
      <w:hyperlink w:anchor="_Toc256000050" w:history="1">
        <w:r w:rsidR="00AD19A4">
          <w:t>11</w:t>
        </w:r>
      </w:hyperlink>
      <w:r w:rsidR="00AD19A4">
        <w:fldChar w:fldCharType="end"/>
      </w:r>
    </w:p>
    <w:p w14:paraId="2C2631E0" w14:textId="77777777" w:rsidR="00FE6FD5" w:rsidRDefault="00183280">
      <w:pPr>
        <w:pStyle w:val="TOC3"/>
        <w:tabs>
          <w:tab w:val="right" w:leader="dot" w:pos="10240"/>
        </w:tabs>
        <w:rPr>
          <w:rFonts w:ascii="Calibri" w:hAnsi="Calibri"/>
          <w:sz w:val="22"/>
        </w:rPr>
      </w:pPr>
      <w:hyperlink w:anchor="_Toc256000051" w:history="1">
        <w:r w:rsidR="00A77B3E">
          <w:rPr>
            <w:rStyle w:val="Hyperlink"/>
            <w:rFonts w:ascii="TimesNewRoman" w:eastAsia="TimesNewRoman" w:hAnsi="TimesNewRoman" w:cs="TimesNewRoman"/>
          </w:rPr>
          <w:t xml:space="preserve">2.1.1. Описание на специфичната цел </w:t>
        </w:r>
      </w:hyperlink>
      <w:r w:rsidR="00AD19A4">
        <w:tab/>
      </w:r>
      <w:r w:rsidR="00AD19A4">
        <w:fldChar w:fldCharType="begin"/>
      </w:r>
      <w:r w:rsidR="00AD19A4">
        <w:instrText xml:space="preserve"> PAGEREF _Toc256000051 \h </w:instrText>
      </w:r>
      <w:r w:rsidR="00AD19A4">
        <w:fldChar w:fldCharType="separate"/>
      </w:r>
      <w:hyperlink w:anchor="_Toc256000051" w:history="1">
        <w:r w:rsidR="00AD19A4">
          <w:t>11</w:t>
        </w:r>
      </w:hyperlink>
      <w:r w:rsidR="00AD19A4">
        <w:fldChar w:fldCharType="end"/>
      </w:r>
    </w:p>
    <w:p w14:paraId="50541F69" w14:textId="77777777" w:rsidR="00FE6FD5" w:rsidRDefault="00183280">
      <w:pPr>
        <w:pStyle w:val="TOC3"/>
        <w:tabs>
          <w:tab w:val="right" w:leader="dot" w:pos="10240"/>
        </w:tabs>
        <w:rPr>
          <w:rFonts w:ascii="Calibri" w:hAnsi="Calibri"/>
          <w:sz w:val="22"/>
        </w:rPr>
      </w:pPr>
      <w:hyperlink w:anchor="_Toc256000052" w:history="1">
        <w:r w:rsidR="00A77B3E">
          <w:rPr>
            <w:rStyle w:val="Hyperlink"/>
          </w:rPr>
          <w:t xml:space="preserve">2.1.2. Показатели </w:t>
        </w:r>
      </w:hyperlink>
      <w:r w:rsidR="00AD19A4">
        <w:tab/>
      </w:r>
      <w:r w:rsidR="00AD19A4">
        <w:fldChar w:fldCharType="begin"/>
      </w:r>
      <w:r w:rsidR="00AD19A4">
        <w:instrText xml:space="preserve"> PAGEREF _Toc256000052 \h </w:instrText>
      </w:r>
      <w:r w:rsidR="00AD19A4">
        <w:fldChar w:fldCharType="separate"/>
      </w:r>
      <w:hyperlink w:anchor="_Toc256000052" w:history="1">
        <w:r w:rsidR="00AD19A4">
          <w:t>16</w:t>
        </w:r>
      </w:hyperlink>
      <w:r w:rsidR="00AD19A4">
        <w:fldChar w:fldCharType="end"/>
      </w:r>
    </w:p>
    <w:p w14:paraId="4645F276" w14:textId="77777777" w:rsidR="00FE6FD5" w:rsidRDefault="00183280">
      <w:pPr>
        <w:pStyle w:val="TOC4"/>
        <w:tabs>
          <w:tab w:val="right" w:leader="dot" w:pos="10240"/>
        </w:tabs>
        <w:rPr>
          <w:rFonts w:ascii="Calibri" w:hAnsi="Calibri"/>
          <w:sz w:val="22"/>
        </w:rPr>
      </w:pPr>
      <w:hyperlink w:anchor="_Toc256000053" w:history="1">
        <w:r w:rsidR="00A77B3E">
          <w:rPr>
            <w:rStyle w:val="Hyperlink"/>
          </w:rPr>
          <w:t xml:space="preserve">Таблица 1: Показатели за резултатите </w:t>
        </w:r>
      </w:hyperlink>
      <w:r w:rsidR="00AD19A4">
        <w:tab/>
      </w:r>
      <w:r w:rsidR="00AD19A4">
        <w:fldChar w:fldCharType="begin"/>
      </w:r>
      <w:r w:rsidR="00AD19A4">
        <w:instrText xml:space="preserve"> PAGEREF _Toc256000053 \h </w:instrText>
      </w:r>
      <w:r w:rsidR="00AD19A4">
        <w:fldChar w:fldCharType="separate"/>
      </w:r>
      <w:hyperlink w:anchor="_Toc256000053" w:history="1">
        <w:r w:rsidR="00AD19A4">
          <w:t>16</w:t>
        </w:r>
      </w:hyperlink>
      <w:r w:rsidR="00AD19A4">
        <w:fldChar w:fldCharType="end"/>
      </w:r>
    </w:p>
    <w:p w14:paraId="04736140" w14:textId="77777777" w:rsidR="00FE6FD5" w:rsidRDefault="00183280">
      <w:pPr>
        <w:pStyle w:val="TOC4"/>
        <w:tabs>
          <w:tab w:val="right" w:leader="dot" w:pos="10240"/>
        </w:tabs>
        <w:rPr>
          <w:rFonts w:ascii="Calibri" w:hAnsi="Calibri"/>
          <w:sz w:val="22"/>
        </w:rPr>
      </w:pPr>
      <w:hyperlink w:anchor="_Toc256000054" w:history="1">
        <w:r w:rsidR="00A77B3E">
          <w:rPr>
            <w:rStyle w:val="Hyperlink"/>
          </w:rPr>
          <w:t xml:space="preserve">Таблица 2: Показатели за резултати </w:t>
        </w:r>
      </w:hyperlink>
      <w:r w:rsidR="00AD19A4">
        <w:tab/>
      </w:r>
      <w:r w:rsidR="00AD19A4">
        <w:fldChar w:fldCharType="begin"/>
      </w:r>
      <w:r w:rsidR="00AD19A4">
        <w:instrText xml:space="preserve"> PAGEREF _Toc256000054 \h </w:instrText>
      </w:r>
      <w:r w:rsidR="00AD19A4">
        <w:fldChar w:fldCharType="separate"/>
      </w:r>
      <w:hyperlink w:anchor="_Toc256000054" w:history="1">
        <w:r w:rsidR="00AD19A4">
          <w:t>17</w:t>
        </w:r>
      </w:hyperlink>
      <w:r w:rsidR="00AD19A4">
        <w:fldChar w:fldCharType="end"/>
      </w:r>
    </w:p>
    <w:p w14:paraId="5966998F" w14:textId="77777777" w:rsidR="00FE6FD5" w:rsidRDefault="00183280">
      <w:pPr>
        <w:pStyle w:val="TOC3"/>
        <w:tabs>
          <w:tab w:val="right" w:leader="dot" w:pos="10240"/>
        </w:tabs>
        <w:rPr>
          <w:rFonts w:ascii="Calibri" w:hAnsi="Calibri"/>
          <w:sz w:val="22"/>
        </w:rPr>
      </w:pPr>
      <w:hyperlink w:anchor="_Toc256000055" w:history="1">
        <w:r w:rsidR="00A77B3E">
          <w:rPr>
            <w:rStyle w:val="Hyperlink"/>
          </w:rPr>
          <w:t xml:space="preserve">2.1.3. Индикативно разпределение на програмните ресурси (ЕС) по вид интервенция </w:t>
        </w:r>
      </w:hyperlink>
      <w:r w:rsidR="00AD19A4">
        <w:tab/>
      </w:r>
      <w:r w:rsidR="00AD19A4">
        <w:fldChar w:fldCharType="begin"/>
      </w:r>
      <w:r w:rsidR="00AD19A4">
        <w:instrText xml:space="preserve"> PAGEREF _Toc256000055 \h </w:instrText>
      </w:r>
      <w:r w:rsidR="00AD19A4">
        <w:fldChar w:fldCharType="separate"/>
      </w:r>
      <w:hyperlink w:anchor="_Toc256000055" w:history="1">
        <w:r w:rsidR="00AD19A4">
          <w:t>19</w:t>
        </w:r>
      </w:hyperlink>
      <w:r w:rsidR="00AD19A4">
        <w:fldChar w:fldCharType="end"/>
      </w:r>
    </w:p>
    <w:p w14:paraId="501DDD76" w14:textId="77777777" w:rsidR="00FE6FD5" w:rsidRDefault="00183280">
      <w:pPr>
        <w:pStyle w:val="TOC4"/>
        <w:tabs>
          <w:tab w:val="right" w:leader="dot" w:pos="10240"/>
        </w:tabs>
        <w:rPr>
          <w:rFonts w:ascii="Calibri" w:hAnsi="Calibri"/>
          <w:sz w:val="22"/>
        </w:rPr>
      </w:pPr>
      <w:hyperlink w:anchor="_Toc256000056" w:history="1">
        <w:r w:rsidR="00A77B3E">
          <w:rPr>
            <w:rStyle w:val="Hyperlink"/>
          </w:rPr>
          <w:t xml:space="preserve">Таблица 3: Индикативно разпределение </w:t>
        </w:r>
      </w:hyperlink>
      <w:r w:rsidR="00AD19A4">
        <w:tab/>
      </w:r>
      <w:r w:rsidR="00AD19A4">
        <w:fldChar w:fldCharType="begin"/>
      </w:r>
      <w:r w:rsidR="00AD19A4">
        <w:instrText xml:space="preserve"> PAGEREF _Toc256000056 \h </w:instrText>
      </w:r>
      <w:r w:rsidR="00AD19A4">
        <w:fldChar w:fldCharType="separate"/>
      </w:r>
      <w:hyperlink w:anchor="_Toc256000056" w:history="1">
        <w:r w:rsidR="00AD19A4">
          <w:t>19</w:t>
        </w:r>
      </w:hyperlink>
      <w:r w:rsidR="00AD19A4">
        <w:fldChar w:fldCharType="end"/>
      </w:r>
    </w:p>
    <w:p w14:paraId="24C5E1E5" w14:textId="77777777" w:rsidR="00FE6FD5" w:rsidRDefault="00183280">
      <w:pPr>
        <w:pStyle w:val="TOC2"/>
        <w:tabs>
          <w:tab w:val="right" w:leader="dot" w:pos="10240"/>
        </w:tabs>
        <w:rPr>
          <w:rFonts w:ascii="Calibri" w:hAnsi="Calibri"/>
          <w:sz w:val="22"/>
        </w:rPr>
      </w:pPr>
      <w:hyperlink w:anchor="_Toc256000057" w:history="1">
        <w:r w:rsidR="00A77B3E">
          <w:rPr>
            <w:rStyle w:val="Hyperlink"/>
            <w:rFonts w:ascii="TimesNewRoman" w:eastAsia="TimesNewRoman" w:hAnsi="TimesNewRoman" w:cs="TimesNewRoman"/>
          </w:rPr>
          <w:t xml:space="preserve">2.1. Конкретна цел: 2. Обща визова политика </w:t>
        </w:r>
      </w:hyperlink>
      <w:r w:rsidR="00AD19A4">
        <w:tab/>
      </w:r>
      <w:r w:rsidR="00AD19A4">
        <w:fldChar w:fldCharType="begin"/>
      </w:r>
      <w:r w:rsidR="00AD19A4">
        <w:instrText xml:space="preserve"> PAGEREF _Toc256000057 \h </w:instrText>
      </w:r>
      <w:r w:rsidR="00AD19A4">
        <w:fldChar w:fldCharType="separate"/>
      </w:r>
      <w:hyperlink w:anchor="_Toc256000057" w:history="1">
        <w:r w:rsidR="00AD19A4">
          <w:t>21</w:t>
        </w:r>
      </w:hyperlink>
      <w:r w:rsidR="00AD19A4">
        <w:fldChar w:fldCharType="end"/>
      </w:r>
    </w:p>
    <w:p w14:paraId="5677C27E" w14:textId="77777777" w:rsidR="00FE6FD5" w:rsidRDefault="00183280">
      <w:pPr>
        <w:pStyle w:val="TOC3"/>
        <w:tabs>
          <w:tab w:val="right" w:leader="dot" w:pos="10240"/>
        </w:tabs>
        <w:rPr>
          <w:rFonts w:ascii="Calibri" w:hAnsi="Calibri"/>
          <w:sz w:val="22"/>
        </w:rPr>
      </w:pPr>
      <w:hyperlink w:anchor="_Toc256000058" w:history="1">
        <w:r w:rsidR="00A77B3E">
          <w:rPr>
            <w:rStyle w:val="Hyperlink"/>
            <w:rFonts w:ascii="TimesNewRoman" w:eastAsia="TimesNewRoman" w:hAnsi="TimesNewRoman" w:cs="TimesNewRoman"/>
          </w:rPr>
          <w:t xml:space="preserve">2.1.1. Описание на специфичната цел </w:t>
        </w:r>
      </w:hyperlink>
      <w:r w:rsidR="00AD19A4">
        <w:tab/>
      </w:r>
      <w:r w:rsidR="00AD19A4">
        <w:fldChar w:fldCharType="begin"/>
      </w:r>
      <w:r w:rsidR="00AD19A4">
        <w:instrText xml:space="preserve"> PAGEREF _Toc256000058 \h </w:instrText>
      </w:r>
      <w:r w:rsidR="00AD19A4">
        <w:fldChar w:fldCharType="separate"/>
      </w:r>
      <w:hyperlink w:anchor="_Toc256000058" w:history="1">
        <w:r w:rsidR="00AD19A4">
          <w:t>21</w:t>
        </w:r>
      </w:hyperlink>
      <w:r w:rsidR="00AD19A4">
        <w:fldChar w:fldCharType="end"/>
      </w:r>
    </w:p>
    <w:p w14:paraId="4B6D2D5F" w14:textId="77777777" w:rsidR="00FE6FD5" w:rsidRDefault="00183280">
      <w:pPr>
        <w:pStyle w:val="TOC3"/>
        <w:tabs>
          <w:tab w:val="right" w:leader="dot" w:pos="10240"/>
        </w:tabs>
        <w:rPr>
          <w:rFonts w:ascii="Calibri" w:hAnsi="Calibri"/>
          <w:sz w:val="22"/>
        </w:rPr>
      </w:pPr>
      <w:hyperlink w:anchor="_Toc256000059" w:history="1">
        <w:r w:rsidR="00A77B3E">
          <w:rPr>
            <w:rStyle w:val="Hyperlink"/>
          </w:rPr>
          <w:t xml:space="preserve">2.1.2. Показатели </w:t>
        </w:r>
      </w:hyperlink>
      <w:r w:rsidR="00AD19A4">
        <w:tab/>
      </w:r>
      <w:r w:rsidR="00AD19A4">
        <w:fldChar w:fldCharType="begin"/>
      </w:r>
      <w:r w:rsidR="00AD19A4">
        <w:instrText xml:space="preserve"> PAGEREF _Toc256000059 \h </w:instrText>
      </w:r>
      <w:r w:rsidR="00AD19A4">
        <w:fldChar w:fldCharType="separate"/>
      </w:r>
      <w:hyperlink w:anchor="_Toc256000059" w:history="1">
        <w:r w:rsidR="00AD19A4">
          <w:t>24</w:t>
        </w:r>
      </w:hyperlink>
      <w:r w:rsidR="00AD19A4">
        <w:fldChar w:fldCharType="end"/>
      </w:r>
    </w:p>
    <w:p w14:paraId="367267EF" w14:textId="77777777" w:rsidR="00FE6FD5" w:rsidRDefault="00183280">
      <w:pPr>
        <w:pStyle w:val="TOC4"/>
        <w:tabs>
          <w:tab w:val="right" w:leader="dot" w:pos="10240"/>
        </w:tabs>
        <w:rPr>
          <w:rFonts w:ascii="Calibri" w:hAnsi="Calibri"/>
          <w:sz w:val="22"/>
        </w:rPr>
      </w:pPr>
      <w:hyperlink w:anchor="_Toc256000060" w:history="1">
        <w:r w:rsidR="00A77B3E">
          <w:rPr>
            <w:rStyle w:val="Hyperlink"/>
          </w:rPr>
          <w:t xml:space="preserve">Таблица 1: Показатели за резултатите </w:t>
        </w:r>
      </w:hyperlink>
      <w:r w:rsidR="00AD19A4">
        <w:tab/>
      </w:r>
      <w:r w:rsidR="00AD19A4">
        <w:fldChar w:fldCharType="begin"/>
      </w:r>
      <w:r w:rsidR="00AD19A4">
        <w:instrText xml:space="preserve"> PAGEREF _Toc256000060 \h </w:instrText>
      </w:r>
      <w:r w:rsidR="00AD19A4">
        <w:fldChar w:fldCharType="separate"/>
      </w:r>
      <w:hyperlink w:anchor="_Toc256000060" w:history="1">
        <w:r w:rsidR="00AD19A4">
          <w:t>24</w:t>
        </w:r>
      </w:hyperlink>
      <w:r w:rsidR="00AD19A4">
        <w:fldChar w:fldCharType="end"/>
      </w:r>
    </w:p>
    <w:p w14:paraId="5E0A0E2B" w14:textId="77777777" w:rsidR="00FE6FD5" w:rsidRDefault="00183280">
      <w:pPr>
        <w:pStyle w:val="TOC4"/>
        <w:tabs>
          <w:tab w:val="right" w:leader="dot" w:pos="10240"/>
        </w:tabs>
        <w:rPr>
          <w:rFonts w:ascii="Calibri" w:hAnsi="Calibri"/>
          <w:sz w:val="22"/>
        </w:rPr>
      </w:pPr>
      <w:hyperlink w:anchor="_Toc256000061" w:history="1">
        <w:r w:rsidR="00A77B3E">
          <w:rPr>
            <w:rStyle w:val="Hyperlink"/>
          </w:rPr>
          <w:t xml:space="preserve">Таблица 2: Показатели за резултати </w:t>
        </w:r>
      </w:hyperlink>
      <w:r w:rsidR="00AD19A4">
        <w:tab/>
      </w:r>
      <w:r w:rsidR="00AD19A4">
        <w:fldChar w:fldCharType="begin"/>
      </w:r>
      <w:r w:rsidR="00AD19A4">
        <w:instrText xml:space="preserve"> PAGEREF _Toc256000061 \h </w:instrText>
      </w:r>
      <w:r w:rsidR="00AD19A4">
        <w:fldChar w:fldCharType="separate"/>
      </w:r>
      <w:hyperlink w:anchor="_Toc256000061" w:history="1">
        <w:r w:rsidR="00AD19A4">
          <w:t>25</w:t>
        </w:r>
      </w:hyperlink>
      <w:r w:rsidR="00AD19A4">
        <w:fldChar w:fldCharType="end"/>
      </w:r>
    </w:p>
    <w:p w14:paraId="42CE795D" w14:textId="77777777" w:rsidR="00FE6FD5" w:rsidRDefault="00183280">
      <w:pPr>
        <w:pStyle w:val="TOC3"/>
        <w:tabs>
          <w:tab w:val="right" w:leader="dot" w:pos="10240"/>
        </w:tabs>
        <w:rPr>
          <w:rFonts w:ascii="Calibri" w:hAnsi="Calibri"/>
          <w:sz w:val="22"/>
        </w:rPr>
      </w:pPr>
      <w:hyperlink w:anchor="_Toc256000062" w:history="1">
        <w:r w:rsidR="00A77B3E">
          <w:rPr>
            <w:rStyle w:val="Hyperlink"/>
          </w:rPr>
          <w:t xml:space="preserve">2.1.3. Индикативно разпределение на програмните ресурси (ЕС) по вид интервенция </w:t>
        </w:r>
      </w:hyperlink>
      <w:r w:rsidR="00AD19A4">
        <w:tab/>
      </w:r>
      <w:r w:rsidR="00AD19A4">
        <w:fldChar w:fldCharType="begin"/>
      </w:r>
      <w:r w:rsidR="00AD19A4">
        <w:instrText xml:space="preserve"> PAGEREF _Toc256000062 \h </w:instrText>
      </w:r>
      <w:r w:rsidR="00AD19A4">
        <w:fldChar w:fldCharType="separate"/>
      </w:r>
      <w:hyperlink w:anchor="_Toc256000062" w:history="1">
        <w:r w:rsidR="00AD19A4">
          <w:t>26</w:t>
        </w:r>
      </w:hyperlink>
      <w:r w:rsidR="00AD19A4">
        <w:fldChar w:fldCharType="end"/>
      </w:r>
    </w:p>
    <w:p w14:paraId="0612B44A" w14:textId="77777777" w:rsidR="00FE6FD5" w:rsidRDefault="00183280">
      <w:pPr>
        <w:pStyle w:val="TOC4"/>
        <w:tabs>
          <w:tab w:val="right" w:leader="dot" w:pos="10240"/>
        </w:tabs>
        <w:rPr>
          <w:rFonts w:ascii="Calibri" w:hAnsi="Calibri"/>
          <w:sz w:val="22"/>
        </w:rPr>
      </w:pPr>
      <w:hyperlink w:anchor="_Toc256000063" w:history="1">
        <w:r w:rsidR="00A77B3E">
          <w:rPr>
            <w:rStyle w:val="Hyperlink"/>
          </w:rPr>
          <w:t xml:space="preserve">Таблица 3: Индикативно разпределение </w:t>
        </w:r>
      </w:hyperlink>
      <w:r w:rsidR="00AD19A4">
        <w:tab/>
      </w:r>
      <w:r w:rsidR="00AD19A4">
        <w:fldChar w:fldCharType="begin"/>
      </w:r>
      <w:r w:rsidR="00AD19A4">
        <w:instrText xml:space="preserve"> PAGEREF _Toc256000063 \h </w:instrText>
      </w:r>
      <w:r w:rsidR="00AD19A4">
        <w:fldChar w:fldCharType="separate"/>
      </w:r>
      <w:hyperlink w:anchor="_Toc256000063" w:history="1">
        <w:r w:rsidR="00AD19A4">
          <w:t>26</w:t>
        </w:r>
      </w:hyperlink>
      <w:r w:rsidR="00AD19A4">
        <w:fldChar w:fldCharType="end"/>
      </w:r>
    </w:p>
    <w:p w14:paraId="169B23A6" w14:textId="77777777" w:rsidR="00FE6FD5" w:rsidRDefault="00183280">
      <w:pPr>
        <w:pStyle w:val="TOC2"/>
        <w:tabs>
          <w:tab w:val="right" w:leader="dot" w:pos="10240"/>
        </w:tabs>
        <w:rPr>
          <w:rFonts w:ascii="Calibri" w:hAnsi="Calibri"/>
          <w:sz w:val="22"/>
        </w:rPr>
      </w:pPr>
      <w:hyperlink w:anchor="_Toc256000064" w:history="1">
        <w:r w:rsidR="00A77B3E">
          <w:rPr>
            <w:rStyle w:val="Hyperlink"/>
            <w:rFonts w:ascii="TimesNewRoman" w:eastAsia="TimesNewRoman" w:hAnsi="TimesNewRoman" w:cs="TimesNewRoman"/>
          </w:rPr>
          <w:t xml:space="preserve">2.2. Техническа помощ: TA.36(5). Техническа помощ - фиксирана ставка (чл. 36(5) от </w:t>
        </w:r>
        <w:r w:rsidR="00A1192D">
          <w:rPr>
            <w:rStyle w:val="Hyperlink"/>
            <w:rFonts w:ascii="TimesNewRoman" w:eastAsia="TimesNewRoman" w:hAnsi="TimesNewRoman" w:cs="TimesNewRoman"/>
          </w:rPr>
          <w:t>РОР</w:t>
        </w:r>
        <w:r w:rsidR="00A77B3E">
          <w:rPr>
            <w:rStyle w:val="Hyperlink"/>
            <w:rFonts w:ascii="TimesNewRoman" w:eastAsia="TimesNewRoman" w:hAnsi="TimesNewRoman" w:cs="TimesNewRoman"/>
          </w:rPr>
          <w:t xml:space="preserve">) </w:t>
        </w:r>
      </w:hyperlink>
      <w:r w:rsidR="00AD19A4">
        <w:tab/>
      </w:r>
      <w:r w:rsidR="00AD19A4">
        <w:fldChar w:fldCharType="begin"/>
      </w:r>
      <w:r w:rsidR="00AD19A4">
        <w:instrText xml:space="preserve"> PAGEREF _Toc256000064 \h </w:instrText>
      </w:r>
      <w:r w:rsidR="00AD19A4">
        <w:fldChar w:fldCharType="separate"/>
      </w:r>
      <w:hyperlink w:anchor="_Toc256000064" w:history="1">
        <w:r w:rsidR="00AD19A4">
          <w:t>27</w:t>
        </w:r>
      </w:hyperlink>
      <w:r w:rsidR="00AD19A4">
        <w:fldChar w:fldCharType="end"/>
      </w:r>
    </w:p>
    <w:p w14:paraId="58B34396" w14:textId="77777777" w:rsidR="00FE6FD5" w:rsidRDefault="00183280">
      <w:pPr>
        <w:pStyle w:val="TOC3"/>
        <w:tabs>
          <w:tab w:val="right" w:leader="dot" w:pos="10240"/>
        </w:tabs>
        <w:rPr>
          <w:rFonts w:ascii="Calibri" w:hAnsi="Calibri"/>
          <w:sz w:val="22"/>
        </w:rPr>
      </w:pPr>
      <w:hyperlink w:anchor="_Toc256000065" w:history="1">
        <w:r w:rsidR="00A77B3E">
          <w:rPr>
            <w:rStyle w:val="Hyperlink"/>
            <w:rFonts w:ascii="TimesNewRoman" w:eastAsia="TimesNewRoman" w:hAnsi="TimesNewRoman" w:cs="TimesNewRoman"/>
          </w:rPr>
          <w:t xml:space="preserve">2.2.1. Описание </w:t>
        </w:r>
      </w:hyperlink>
      <w:r w:rsidR="00AD19A4">
        <w:tab/>
      </w:r>
      <w:r w:rsidR="00AD19A4">
        <w:fldChar w:fldCharType="begin"/>
      </w:r>
      <w:r w:rsidR="00AD19A4">
        <w:instrText xml:space="preserve"> PAGEREF _Toc256000065 \h </w:instrText>
      </w:r>
      <w:r w:rsidR="00AD19A4">
        <w:fldChar w:fldCharType="separate"/>
      </w:r>
      <w:hyperlink w:anchor="_Toc256000065" w:history="1">
        <w:r w:rsidR="00AD19A4">
          <w:t>27</w:t>
        </w:r>
      </w:hyperlink>
      <w:r w:rsidR="00AD19A4">
        <w:fldChar w:fldCharType="end"/>
      </w:r>
    </w:p>
    <w:p w14:paraId="7034B8BE" w14:textId="77777777" w:rsidR="00FE6FD5" w:rsidRDefault="00183280">
      <w:pPr>
        <w:pStyle w:val="TOC3"/>
        <w:tabs>
          <w:tab w:val="right" w:leader="dot" w:pos="10240"/>
        </w:tabs>
        <w:rPr>
          <w:rFonts w:ascii="Calibri" w:hAnsi="Calibri"/>
          <w:sz w:val="22"/>
        </w:rPr>
      </w:pPr>
      <w:hyperlink w:anchor="_Toc256000066" w:history="1">
        <w:r w:rsidR="00A77B3E">
          <w:rPr>
            <w:rStyle w:val="Hyperlink"/>
          </w:rPr>
          <w:t xml:space="preserve">2.2.2. Индикативно разпределение на техническата помощ съгласно член 37 от </w:t>
        </w:r>
        <w:r w:rsidR="00A1192D">
          <w:rPr>
            <w:rStyle w:val="Hyperlink"/>
          </w:rPr>
          <w:t>РОР</w:t>
        </w:r>
        <w:r w:rsidR="00A77B3E">
          <w:rPr>
            <w:rStyle w:val="Hyperlink"/>
          </w:rPr>
          <w:t xml:space="preserve"> </w:t>
        </w:r>
      </w:hyperlink>
      <w:r w:rsidR="00AD19A4">
        <w:tab/>
      </w:r>
      <w:r w:rsidR="00AD19A4">
        <w:fldChar w:fldCharType="begin"/>
      </w:r>
      <w:r w:rsidR="00AD19A4">
        <w:instrText xml:space="preserve"> PAGEREF _Toc256000066 \h </w:instrText>
      </w:r>
      <w:r w:rsidR="00AD19A4">
        <w:fldChar w:fldCharType="separate"/>
      </w:r>
      <w:hyperlink w:anchor="_Toc256000066" w:history="1">
        <w:r w:rsidR="00AD19A4">
          <w:t>28</w:t>
        </w:r>
      </w:hyperlink>
      <w:r w:rsidR="00AD19A4">
        <w:fldChar w:fldCharType="end"/>
      </w:r>
    </w:p>
    <w:p w14:paraId="31A03667" w14:textId="77777777" w:rsidR="00FE6FD5" w:rsidRDefault="00183280">
      <w:pPr>
        <w:pStyle w:val="TOC4"/>
        <w:tabs>
          <w:tab w:val="right" w:leader="dot" w:pos="10240"/>
        </w:tabs>
        <w:rPr>
          <w:rFonts w:ascii="Calibri" w:hAnsi="Calibri"/>
          <w:sz w:val="22"/>
        </w:rPr>
      </w:pPr>
      <w:hyperlink w:anchor="_Toc256000067" w:history="1">
        <w:r w:rsidR="00A77B3E">
          <w:rPr>
            <w:rStyle w:val="Hyperlink"/>
          </w:rPr>
          <w:t xml:space="preserve">Таблица 4: Индикативно разпределение </w:t>
        </w:r>
      </w:hyperlink>
      <w:r w:rsidR="00AD19A4">
        <w:tab/>
      </w:r>
      <w:r w:rsidR="00AD19A4">
        <w:fldChar w:fldCharType="begin"/>
      </w:r>
      <w:r w:rsidR="00AD19A4">
        <w:instrText xml:space="preserve"> PAGEREF _Toc256000067 \h </w:instrText>
      </w:r>
      <w:r w:rsidR="00AD19A4">
        <w:fldChar w:fldCharType="separate"/>
      </w:r>
      <w:hyperlink w:anchor="_Toc256000067" w:history="1">
        <w:r w:rsidR="00AD19A4">
          <w:t>28</w:t>
        </w:r>
      </w:hyperlink>
      <w:r w:rsidR="00AD19A4">
        <w:fldChar w:fldCharType="end"/>
      </w:r>
    </w:p>
    <w:p w14:paraId="6A53DE1D" w14:textId="77777777" w:rsidR="00FE6FD5" w:rsidRDefault="00183280">
      <w:pPr>
        <w:pStyle w:val="TOC1"/>
        <w:tabs>
          <w:tab w:val="right" w:leader="dot" w:pos="10240"/>
        </w:tabs>
        <w:rPr>
          <w:rFonts w:ascii="Calibri" w:hAnsi="Calibri"/>
          <w:sz w:val="22"/>
        </w:rPr>
      </w:pPr>
      <w:hyperlink w:anchor="_Toc256000068" w:history="1">
        <w:r w:rsidR="00A77B3E">
          <w:rPr>
            <w:rStyle w:val="Hyperlink"/>
          </w:rPr>
          <w:t xml:space="preserve">3. План за финансиране </w:t>
        </w:r>
      </w:hyperlink>
      <w:r w:rsidR="00AD19A4">
        <w:tab/>
      </w:r>
      <w:r w:rsidR="00AD19A4">
        <w:fldChar w:fldCharType="begin"/>
      </w:r>
      <w:r w:rsidR="00AD19A4">
        <w:instrText xml:space="preserve"> PAGEREF _Toc256000068 \h </w:instrText>
      </w:r>
      <w:r w:rsidR="00AD19A4">
        <w:fldChar w:fldCharType="separate"/>
      </w:r>
      <w:hyperlink w:anchor="_Toc256000068" w:history="1">
        <w:r w:rsidR="00AD19A4">
          <w:t>29</w:t>
        </w:r>
      </w:hyperlink>
      <w:r w:rsidR="00AD19A4">
        <w:fldChar w:fldCharType="end"/>
      </w:r>
    </w:p>
    <w:p w14:paraId="2E7CF06D" w14:textId="77777777" w:rsidR="00FE6FD5" w:rsidRDefault="00183280">
      <w:pPr>
        <w:pStyle w:val="TOC2"/>
        <w:tabs>
          <w:tab w:val="right" w:leader="dot" w:pos="10240"/>
        </w:tabs>
        <w:rPr>
          <w:rFonts w:ascii="Calibri" w:hAnsi="Calibri"/>
          <w:sz w:val="22"/>
        </w:rPr>
      </w:pPr>
      <w:hyperlink w:anchor="_Toc256000069" w:history="1">
        <w:r w:rsidR="00A77B3E">
          <w:rPr>
            <w:rStyle w:val="Hyperlink"/>
            <w:rFonts w:ascii="TimesNewRoman" w:eastAsia="TimesNewRoman" w:hAnsi="TimesNewRoman" w:cs="TimesNewRoman"/>
          </w:rPr>
          <w:t xml:space="preserve">3.1. Финансови бюджетни кредити по </w:t>
        </w:r>
      </w:hyperlink>
      <w:r w:rsidR="00AD19A4">
        <w:tab/>
      </w:r>
      <w:r w:rsidR="00AD19A4">
        <w:fldChar w:fldCharType="begin"/>
      </w:r>
      <w:r w:rsidR="00AD19A4">
        <w:instrText xml:space="preserve"> PAGEREF _Toc256000069 \h </w:instrText>
      </w:r>
      <w:r w:rsidR="00AD19A4">
        <w:fldChar w:fldCharType="separate"/>
      </w:r>
      <w:hyperlink w:anchor="_Toc256000069" w:history="1">
        <w:r w:rsidR="00AD19A4">
          <w:t>29</w:t>
        </w:r>
      </w:hyperlink>
      <w:r w:rsidR="00AD19A4">
        <w:fldChar w:fldCharType="end"/>
      </w:r>
    </w:p>
    <w:p w14:paraId="0A206309" w14:textId="77777777" w:rsidR="00FE6FD5" w:rsidRDefault="00183280">
      <w:pPr>
        <w:pStyle w:val="TOC4"/>
        <w:tabs>
          <w:tab w:val="right" w:leader="dot" w:pos="10240"/>
        </w:tabs>
        <w:rPr>
          <w:rFonts w:ascii="Calibri" w:hAnsi="Calibri"/>
          <w:sz w:val="22"/>
        </w:rPr>
      </w:pPr>
      <w:hyperlink w:anchor="_Toc256000070" w:history="1">
        <w:r w:rsidR="00A77B3E">
          <w:rPr>
            <w:rStyle w:val="Hyperlink"/>
            <w:rFonts w:ascii="TimesNewRoman" w:eastAsia="TimesNewRoman" w:hAnsi="TimesNewRoman" w:cs="TimesNewRoman"/>
          </w:rPr>
          <w:t xml:space="preserve">Таблица 5: Финансови бюджетни кредити годишно </w:t>
        </w:r>
      </w:hyperlink>
      <w:r w:rsidR="00AD19A4">
        <w:tab/>
      </w:r>
      <w:r w:rsidR="00AD19A4">
        <w:fldChar w:fldCharType="begin"/>
      </w:r>
      <w:r w:rsidR="00AD19A4">
        <w:instrText xml:space="preserve"> PAGEREF _Toc256000070 \h </w:instrText>
      </w:r>
      <w:r w:rsidR="00AD19A4">
        <w:fldChar w:fldCharType="separate"/>
      </w:r>
      <w:hyperlink w:anchor="_Toc256000070" w:history="1">
        <w:r w:rsidR="00AD19A4">
          <w:t>29</w:t>
        </w:r>
      </w:hyperlink>
      <w:r w:rsidR="00AD19A4">
        <w:fldChar w:fldCharType="end"/>
      </w:r>
    </w:p>
    <w:p w14:paraId="17841728" w14:textId="77777777" w:rsidR="00FE6FD5" w:rsidRDefault="00183280">
      <w:pPr>
        <w:pStyle w:val="TOC2"/>
        <w:tabs>
          <w:tab w:val="right" w:leader="dot" w:pos="10240"/>
        </w:tabs>
        <w:rPr>
          <w:rFonts w:ascii="Calibri" w:hAnsi="Calibri"/>
          <w:sz w:val="22"/>
        </w:rPr>
      </w:pPr>
      <w:hyperlink w:anchor="_Toc256000071" w:history="1">
        <w:r w:rsidR="00A77B3E">
          <w:rPr>
            <w:rStyle w:val="Hyperlink"/>
            <w:rFonts w:ascii="TimesNewRoman" w:eastAsia="TimesNewRoman" w:hAnsi="TimesNewRoman" w:cs="TimesNewRoman"/>
          </w:rPr>
          <w:t xml:space="preserve">3.2. Общо финансови средства </w:t>
        </w:r>
      </w:hyperlink>
      <w:r w:rsidR="00AD19A4">
        <w:tab/>
      </w:r>
      <w:r w:rsidR="00AD19A4">
        <w:fldChar w:fldCharType="begin"/>
      </w:r>
      <w:r w:rsidR="00AD19A4">
        <w:instrText xml:space="preserve"> PAGEREF _Toc256000071 \h </w:instrText>
      </w:r>
      <w:r w:rsidR="00AD19A4">
        <w:fldChar w:fldCharType="separate"/>
      </w:r>
      <w:hyperlink w:anchor="_Toc256000071" w:history="1">
        <w:r w:rsidR="00AD19A4">
          <w:t>30</w:t>
        </w:r>
      </w:hyperlink>
      <w:r w:rsidR="00AD19A4">
        <w:fldChar w:fldCharType="end"/>
      </w:r>
    </w:p>
    <w:p w14:paraId="41790690" w14:textId="77777777" w:rsidR="00FE6FD5" w:rsidRDefault="00183280">
      <w:pPr>
        <w:pStyle w:val="TOC4"/>
        <w:tabs>
          <w:tab w:val="right" w:leader="dot" w:pos="10240"/>
        </w:tabs>
        <w:rPr>
          <w:rFonts w:ascii="Calibri" w:hAnsi="Calibri"/>
          <w:sz w:val="22"/>
        </w:rPr>
      </w:pPr>
      <w:hyperlink w:anchor="_Toc256000072" w:history="1">
        <w:r w:rsidR="00A77B3E">
          <w:rPr>
            <w:rStyle w:val="Hyperlink"/>
            <w:rFonts w:ascii="TimesNewRoman" w:eastAsia="TimesNewRoman" w:hAnsi="TimesNewRoman" w:cs="TimesNewRoman"/>
          </w:rPr>
          <w:t xml:space="preserve">Таблица 6: Общо финансови разпределения по фондове и национален принос </w:t>
        </w:r>
      </w:hyperlink>
      <w:r w:rsidR="00AD19A4">
        <w:tab/>
      </w:r>
      <w:r w:rsidR="00AD19A4">
        <w:fldChar w:fldCharType="begin"/>
      </w:r>
      <w:r w:rsidR="00AD19A4">
        <w:instrText xml:space="preserve"> PAGEREF _Toc256000072 \h </w:instrText>
      </w:r>
      <w:r w:rsidR="00AD19A4">
        <w:fldChar w:fldCharType="separate"/>
      </w:r>
      <w:hyperlink w:anchor="_Toc256000072" w:history="1">
        <w:r w:rsidR="00AD19A4">
          <w:t>30</w:t>
        </w:r>
      </w:hyperlink>
      <w:r w:rsidR="00AD19A4">
        <w:fldChar w:fldCharType="end"/>
      </w:r>
    </w:p>
    <w:p w14:paraId="5AFDA285" w14:textId="77777777" w:rsidR="00FE6FD5" w:rsidRDefault="00183280">
      <w:pPr>
        <w:pStyle w:val="TOC2"/>
        <w:tabs>
          <w:tab w:val="right" w:leader="dot" w:pos="10240"/>
        </w:tabs>
        <w:rPr>
          <w:rFonts w:ascii="Calibri" w:hAnsi="Calibri"/>
          <w:sz w:val="22"/>
        </w:rPr>
      </w:pPr>
      <w:hyperlink w:anchor="_Toc256000073" w:history="1">
        <w:r w:rsidR="00A77B3E">
          <w:rPr>
            <w:rStyle w:val="Hyperlink"/>
            <w:rFonts w:ascii="TimesNewRoman" w:eastAsia="TimesNewRoman" w:hAnsi="TimesNewRoman" w:cs="TimesNewRoman"/>
          </w:rPr>
          <w:t xml:space="preserve">3.3. Трансфери </w:t>
        </w:r>
      </w:hyperlink>
      <w:r w:rsidR="00AD19A4">
        <w:tab/>
      </w:r>
      <w:r w:rsidR="00AD19A4">
        <w:fldChar w:fldCharType="begin"/>
      </w:r>
      <w:r w:rsidR="00AD19A4">
        <w:instrText xml:space="preserve"> PAGEREF _Toc256000073 \h </w:instrText>
      </w:r>
      <w:r w:rsidR="00AD19A4">
        <w:fldChar w:fldCharType="separate"/>
      </w:r>
      <w:hyperlink w:anchor="_Toc256000073" w:history="1">
        <w:r w:rsidR="00AD19A4">
          <w:t>31</w:t>
        </w:r>
      </w:hyperlink>
      <w:r w:rsidR="00AD19A4">
        <w:fldChar w:fldCharType="end"/>
      </w:r>
    </w:p>
    <w:p w14:paraId="4F50AAD9" w14:textId="77777777" w:rsidR="00FE6FD5" w:rsidRDefault="00183280">
      <w:pPr>
        <w:pStyle w:val="TOC1"/>
        <w:tabs>
          <w:tab w:val="right" w:leader="dot" w:pos="10240"/>
        </w:tabs>
        <w:rPr>
          <w:rFonts w:ascii="Calibri" w:hAnsi="Calibri"/>
          <w:sz w:val="22"/>
        </w:rPr>
      </w:pPr>
      <w:hyperlink w:anchor="_Toc256000074" w:history="1">
        <w:r w:rsidR="00A77B3E">
          <w:rPr>
            <w:rStyle w:val="Hyperlink"/>
          </w:rPr>
          <w:t xml:space="preserve">4. Благоприятстващи условия </w:t>
        </w:r>
      </w:hyperlink>
      <w:r w:rsidR="00AD19A4">
        <w:tab/>
      </w:r>
      <w:r w:rsidR="00AD19A4">
        <w:fldChar w:fldCharType="begin"/>
      </w:r>
      <w:r w:rsidR="00AD19A4">
        <w:instrText xml:space="preserve"> PAGEREF _Toc256000074 \h </w:instrText>
      </w:r>
      <w:r w:rsidR="00AD19A4">
        <w:fldChar w:fldCharType="separate"/>
      </w:r>
      <w:hyperlink w:anchor="_Toc256000074" w:history="1">
        <w:r w:rsidR="00AD19A4">
          <w:t>33</w:t>
        </w:r>
      </w:hyperlink>
      <w:r w:rsidR="00AD19A4">
        <w:fldChar w:fldCharType="end"/>
      </w:r>
    </w:p>
    <w:p w14:paraId="64B71B33" w14:textId="77777777" w:rsidR="00FE6FD5" w:rsidRDefault="00183280">
      <w:pPr>
        <w:pStyle w:val="TOC2"/>
        <w:tabs>
          <w:tab w:val="right" w:leader="dot" w:pos="10240"/>
        </w:tabs>
        <w:rPr>
          <w:rFonts w:ascii="Calibri" w:hAnsi="Calibri"/>
          <w:sz w:val="22"/>
        </w:rPr>
      </w:pPr>
      <w:hyperlink w:anchor="_Toc256000075" w:history="1">
        <w:r w:rsidR="00A77B3E">
          <w:rPr>
            <w:rStyle w:val="Hyperlink"/>
          </w:rPr>
          <w:t xml:space="preserve">Таблица 9: Хоризонтални благоприятстващи условия </w:t>
        </w:r>
      </w:hyperlink>
      <w:r w:rsidR="00AD19A4">
        <w:tab/>
      </w:r>
      <w:r w:rsidR="00AD19A4">
        <w:fldChar w:fldCharType="begin"/>
      </w:r>
      <w:r w:rsidR="00AD19A4">
        <w:instrText xml:space="preserve"> PAGEREF _Toc256000075 \h </w:instrText>
      </w:r>
      <w:r w:rsidR="00AD19A4">
        <w:fldChar w:fldCharType="separate"/>
      </w:r>
      <w:hyperlink w:anchor="_Toc256000075" w:history="1">
        <w:r w:rsidR="00AD19A4">
          <w:t>33</w:t>
        </w:r>
      </w:hyperlink>
      <w:r w:rsidR="00AD19A4">
        <w:fldChar w:fldCharType="end"/>
      </w:r>
    </w:p>
    <w:p w14:paraId="5F9B6198" w14:textId="77777777" w:rsidR="00FE6FD5" w:rsidRDefault="00183280">
      <w:pPr>
        <w:pStyle w:val="TOC1"/>
        <w:tabs>
          <w:tab w:val="right" w:leader="dot" w:pos="10240"/>
        </w:tabs>
        <w:rPr>
          <w:rFonts w:ascii="Calibri" w:hAnsi="Calibri"/>
          <w:sz w:val="22"/>
        </w:rPr>
      </w:pPr>
      <w:hyperlink w:anchor="_Toc256000076" w:history="1">
        <w:r w:rsidR="00A77B3E">
          <w:rPr>
            <w:rStyle w:val="Hyperlink"/>
          </w:rPr>
          <w:t xml:space="preserve">5. Органи, отговарящи за програмата </w:t>
        </w:r>
      </w:hyperlink>
      <w:r w:rsidR="00AD19A4">
        <w:tab/>
      </w:r>
      <w:r w:rsidR="00AD19A4">
        <w:fldChar w:fldCharType="begin"/>
      </w:r>
      <w:r w:rsidR="00AD19A4">
        <w:instrText xml:space="preserve"> PAGEREF _Toc256000076 \h </w:instrText>
      </w:r>
      <w:r w:rsidR="00AD19A4">
        <w:fldChar w:fldCharType="separate"/>
      </w:r>
      <w:hyperlink w:anchor="_Toc256000076" w:history="1">
        <w:r w:rsidR="00AD19A4">
          <w:t>39</w:t>
        </w:r>
      </w:hyperlink>
      <w:r w:rsidR="00AD19A4">
        <w:fldChar w:fldCharType="end"/>
      </w:r>
    </w:p>
    <w:p w14:paraId="66FBFDE6" w14:textId="77777777" w:rsidR="00FE6FD5" w:rsidRDefault="00183280">
      <w:pPr>
        <w:pStyle w:val="TOC2"/>
        <w:tabs>
          <w:tab w:val="right" w:leader="dot" w:pos="10240"/>
        </w:tabs>
        <w:rPr>
          <w:rFonts w:ascii="Calibri" w:hAnsi="Calibri"/>
          <w:sz w:val="22"/>
        </w:rPr>
      </w:pPr>
      <w:hyperlink w:anchor="_Toc256000077" w:history="1">
        <w:r w:rsidR="00A77B3E">
          <w:rPr>
            <w:rStyle w:val="Hyperlink"/>
          </w:rPr>
          <w:t xml:space="preserve">Таблица 10: Органи, отговорни за програмата </w:t>
        </w:r>
      </w:hyperlink>
      <w:r w:rsidR="00AD19A4">
        <w:tab/>
      </w:r>
      <w:r w:rsidR="00AD19A4">
        <w:fldChar w:fldCharType="begin"/>
      </w:r>
      <w:r w:rsidR="00AD19A4">
        <w:instrText xml:space="preserve"> PAGEREF _Toc256000077 \h </w:instrText>
      </w:r>
      <w:r w:rsidR="00AD19A4">
        <w:fldChar w:fldCharType="separate"/>
      </w:r>
      <w:hyperlink w:anchor="_Toc256000077" w:history="1">
        <w:r w:rsidR="00AD19A4">
          <w:t>39</w:t>
        </w:r>
      </w:hyperlink>
      <w:r w:rsidR="00AD19A4">
        <w:fldChar w:fldCharType="end"/>
      </w:r>
    </w:p>
    <w:p w14:paraId="6C486028" w14:textId="77777777" w:rsidR="00FE6FD5" w:rsidRDefault="00183280">
      <w:pPr>
        <w:pStyle w:val="TOC1"/>
        <w:tabs>
          <w:tab w:val="right" w:leader="dot" w:pos="10240"/>
        </w:tabs>
        <w:rPr>
          <w:rFonts w:ascii="Calibri" w:hAnsi="Calibri"/>
          <w:sz w:val="22"/>
        </w:rPr>
      </w:pPr>
      <w:hyperlink w:anchor="_Toc256000078" w:history="1">
        <w:r w:rsidR="00A77B3E">
          <w:rPr>
            <w:rStyle w:val="Hyperlink"/>
          </w:rPr>
          <w:t xml:space="preserve">6. Партньорство </w:t>
        </w:r>
      </w:hyperlink>
      <w:r w:rsidR="00AD19A4">
        <w:tab/>
      </w:r>
      <w:r w:rsidR="00AD19A4">
        <w:fldChar w:fldCharType="begin"/>
      </w:r>
      <w:r w:rsidR="00AD19A4">
        <w:instrText xml:space="preserve"> PAGEREF _Toc256000078 \h </w:instrText>
      </w:r>
      <w:r w:rsidR="00AD19A4">
        <w:fldChar w:fldCharType="separate"/>
      </w:r>
      <w:hyperlink w:anchor="_Toc256000078" w:history="1">
        <w:r w:rsidR="00AD19A4">
          <w:t>40</w:t>
        </w:r>
      </w:hyperlink>
      <w:r w:rsidR="00AD19A4">
        <w:fldChar w:fldCharType="end"/>
      </w:r>
    </w:p>
    <w:p w14:paraId="2F9DC52F" w14:textId="77777777" w:rsidR="00FE6FD5" w:rsidRDefault="00183280">
      <w:pPr>
        <w:pStyle w:val="TOC1"/>
        <w:tabs>
          <w:tab w:val="right" w:leader="dot" w:pos="10240"/>
        </w:tabs>
        <w:rPr>
          <w:rFonts w:ascii="Calibri" w:hAnsi="Calibri"/>
          <w:sz w:val="22"/>
        </w:rPr>
      </w:pPr>
      <w:hyperlink w:anchor="_Toc256000079" w:history="1">
        <w:r w:rsidR="00A77B3E">
          <w:rPr>
            <w:rStyle w:val="Hyperlink"/>
          </w:rPr>
          <w:t xml:space="preserve">7. Комуникация и видимост </w:t>
        </w:r>
      </w:hyperlink>
      <w:r w:rsidR="00AD19A4">
        <w:tab/>
      </w:r>
      <w:r w:rsidR="00AD19A4">
        <w:fldChar w:fldCharType="begin"/>
      </w:r>
      <w:r w:rsidR="00AD19A4">
        <w:instrText xml:space="preserve"> PAGEREF _Toc256000079 \h </w:instrText>
      </w:r>
      <w:r w:rsidR="00AD19A4">
        <w:fldChar w:fldCharType="separate"/>
      </w:r>
      <w:hyperlink w:anchor="_Toc256000079" w:history="1">
        <w:r w:rsidR="00AD19A4">
          <w:t>43</w:t>
        </w:r>
      </w:hyperlink>
      <w:r w:rsidR="00AD19A4">
        <w:fldChar w:fldCharType="end"/>
      </w:r>
    </w:p>
    <w:p w14:paraId="52A27038" w14:textId="77777777" w:rsidR="00FE6FD5" w:rsidRDefault="00183280">
      <w:pPr>
        <w:pStyle w:val="TOC1"/>
        <w:tabs>
          <w:tab w:val="right" w:leader="dot" w:pos="10240"/>
        </w:tabs>
        <w:rPr>
          <w:rFonts w:ascii="Calibri" w:hAnsi="Calibri"/>
          <w:sz w:val="22"/>
        </w:rPr>
      </w:pPr>
      <w:hyperlink w:anchor="_Toc256000080" w:history="1">
        <w:r w:rsidR="00A77B3E">
          <w:rPr>
            <w:rStyle w:val="Hyperlink"/>
          </w:rPr>
          <w:t xml:space="preserve">8. Използване на единични разходи, еднократни суми, фиксирани ставки и финансиране, което не е свързано с разходите </w:t>
        </w:r>
      </w:hyperlink>
      <w:r w:rsidR="00AD19A4">
        <w:tab/>
      </w:r>
      <w:r w:rsidR="00AD19A4">
        <w:fldChar w:fldCharType="begin"/>
      </w:r>
      <w:r w:rsidR="00AD19A4">
        <w:instrText xml:space="preserve"> PAGEREF _Toc256000080 \h </w:instrText>
      </w:r>
      <w:r w:rsidR="00AD19A4">
        <w:fldChar w:fldCharType="separate"/>
      </w:r>
      <w:hyperlink w:anchor="_Toc256000080" w:history="1">
        <w:r w:rsidR="00AD19A4">
          <w:t>45</w:t>
        </w:r>
      </w:hyperlink>
      <w:r w:rsidR="00AD19A4">
        <w:fldChar w:fldCharType="end"/>
      </w:r>
    </w:p>
    <w:p w14:paraId="3CB7ED82" w14:textId="77777777" w:rsidR="00FE6FD5" w:rsidRDefault="00183280">
      <w:pPr>
        <w:pStyle w:val="TOC1"/>
        <w:tabs>
          <w:tab w:val="right" w:leader="dot" w:pos="10240"/>
        </w:tabs>
        <w:rPr>
          <w:rFonts w:ascii="Calibri" w:hAnsi="Calibri"/>
          <w:sz w:val="22"/>
        </w:rPr>
      </w:pPr>
      <w:hyperlink w:anchor="_Toc256000081" w:history="1">
        <w:r w:rsidR="00A77B3E">
          <w:rPr>
            <w:rStyle w:val="Hyperlink"/>
          </w:rPr>
          <w:t xml:space="preserve">Приложение 1: Принос на Съюза въз основа на единични разходи, еднократни суми и фиксирани ставки </w:t>
        </w:r>
      </w:hyperlink>
      <w:r w:rsidR="00AD19A4">
        <w:tab/>
      </w:r>
      <w:r w:rsidR="00AD19A4">
        <w:fldChar w:fldCharType="begin"/>
      </w:r>
      <w:r w:rsidR="00AD19A4">
        <w:instrText xml:space="preserve"> PAGEREF _Toc256000081 \h </w:instrText>
      </w:r>
      <w:r w:rsidR="00AD19A4">
        <w:fldChar w:fldCharType="separate"/>
      </w:r>
      <w:hyperlink w:anchor="_Toc256000081" w:history="1">
        <w:r w:rsidR="00AD19A4">
          <w:t>46</w:t>
        </w:r>
      </w:hyperlink>
      <w:r w:rsidR="00AD19A4">
        <w:fldChar w:fldCharType="end"/>
      </w:r>
    </w:p>
    <w:p w14:paraId="771F73E8" w14:textId="77777777" w:rsidR="00FE6FD5" w:rsidRDefault="00183280">
      <w:pPr>
        <w:pStyle w:val="TOC2"/>
        <w:tabs>
          <w:tab w:val="right" w:leader="dot" w:pos="10240"/>
        </w:tabs>
        <w:rPr>
          <w:rFonts w:ascii="Calibri" w:hAnsi="Calibri"/>
          <w:sz w:val="22"/>
        </w:rPr>
      </w:pPr>
      <w:hyperlink w:anchor="_Toc256000082" w:history="1">
        <w:r w:rsidR="00A77B3E">
          <w:rPr>
            <w:rStyle w:val="Hyperlink"/>
          </w:rPr>
          <w:t xml:space="preserve">А. Обобщение на основните елементи </w:t>
        </w:r>
      </w:hyperlink>
      <w:r w:rsidR="00AD19A4">
        <w:tab/>
      </w:r>
      <w:r w:rsidR="00AD19A4">
        <w:fldChar w:fldCharType="begin"/>
      </w:r>
      <w:r w:rsidR="00AD19A4">
        <w:instrText xml:space="preserve"> PAGEREF _Toc256000082 \h </w:instrText>
      </w:r>
      <w:r w:rsidR="00AD19A4">
        <w:fldChar w:fldCharType="separate"/>
      </w:r>
      <w:hyperlink w:anchor="_Toc256000082" w:history="1">
        <w:r w:rsidR="00AD19A4">
          <w:t>46</w:t>
        </w:r>
      </w:hyperlink>
      <w:r w:rsidR="00AD19A4">
        <w:fldChar w:fldCharType="end"/>
      </w:r>
    </w:p>
    <w:p w14:paraId="0CAE89C3" w14:textId="77777777" w:rsidR="00FE6FD5" w:rsidRDefault="00183280">
      <w:pPr>
        <w:pStyle w:val="TOC2"/>
        <w:tabs>
          <w:tab w:val="right" w:leader="dot" w:pos="10240"/>
        </w:tabs>
        <w:rPr>
          <w:rFonts w:ascii="Calibri" w:hAnsi="Calibri"/>
          <w:sz w:val="22"/>
        </w:rPr>
      </w:pPr>
      <w:hyperlink w:anchor="_Toc256000083" w:history="1">
        <w:r w:rsidR="00A77B3E">
          <w:rPr>
            <w:rStyle w:val="Hyperlink"/>
          </w:rPr>
          <w:t xml:space="preserve">Б. Подробности по вид операция </w:t>
        </w:r>
      </w:hyperlink>
      <w:r w:rsidR="00AD19A4">
        <w:tab/>
      </w:r>
      <w:r w:rsidR="00AD19A4">
        <w:fldChar w:fldCharType="begin"/>
      </w:r>
      <w:r w:rsidR="00AD19A4">
        <w:instrText xml:space="preserve"> PAGEREF _Toc256000083 \h </w:instrText>
      </w:r>
      <w:r w:rsidR="00AD19A4">
        <w:fldChar w:fldCharType="separate"/>
      </w:r>
      <w:hyperlink w:anchor="_Toc256000083" w:history="1">
        <w:r w:rsidR="00AD19A4">
          <w:t>47</w:t>
        </w:r>
      </w:hyperlink>
      <w:r w:rsidR="00AD19A4">
        <w:fldChar w:fldCharType="end"/>
      </w:r>
    </w:p>
    <w:p w14:paraId="1EE7C8B2" w14:textId="77777777" w:rsidR="00FE6FD5" w:rsidRDefault="00183280">
      <w:pPr>
        <w:pStyle w:val="TOC2"/>
        <w:tabs>
          <w:tab w:val="right" w:leader="dot" w:pos="10240"/>
        </w:tabs>
        <w:rPr>
          <w:rFonts w:ascii="Calibri" w:hAnsi="Calibri"/>
          <w:sz w:val="22"/>
        </w:rPr>
      </w:pPr>
      <w:hyperlink w:anchor="_Toc256000084" w:history="1">
        <w:r w:rsidR="00A77B3E">
          <w:rPr>
            <w:rStyle w:val="Hyperlink"/>
            <w:rFonts w:ascii="TimesNewRoman" w:eastAsia="TimesNewRoman" w:hAnsi="TimesNewRoman" w:cs="TimesNewRoman"/>
          </w:rPr>
          <w:t xml:space="preserve">В. Изчисляване на стандартната скала на единичните разходи, еднократните суми или фиксираните ставки </w:t>
        </w:r>
      </w:hyperlink>
      <w:r w:rsidR="00AD19A4">
        <w:tab/>
      </w:r>
      <w:r w:rsidR="00AD19A4">
        <w:fldChar w:fldCharType="begin"/>
      </w:r>
      <w:r w:rsidR="00AD19A4">
        <w:instrText xml:space="preserve"> PAGEREF _Toc256000084 \h </w:instrText>
      </w:r>
      <w:r w:rsidR="00AD19A4">
        <w:fldChar w:fldCharType="separate"/>
      </w:r>
      <w:hyperlink w:anchor="_Toc256000084" w:history="1">
        <w:r w:rsidR="00AD19A4">
          <w:t>48</w:t>
        </w:r>
      </w:hyperlink>
      <w:r w:rsidR="00AD19A4">
        <w:fldChar w:fldCharType="end"/>
      </w:r>
    </w:p>
    <w:p w14:paraId="3D0B19C0" w14:textId="77777777" w:rsidR="00FE6FD5" w:rsidRDefault="00183280">
      <w:pPr>
        <w:pStyle w:val="TOC4"/>
        <w:tabs>
          <w:tab w:val="right" w:leader="dot" w:pos="10240"/>
        </w:tabs>
        <w:rPr>
          <w:rFonts w:ascii="Calibri" w:hAnsi="Calibri"/>
          <w:sz w:val="22"/>
        </w:rPr>
      </w:pPr>
      <w:hyperlink w:anchor="_Toc256000085" w:history="1">
        <w:r w:rsidR="00A77B3E">
          <w:rPr>
            <w:rStyle w:val="Hyperlink"/>
            <w:rFonts w:ascii="TimesNewRoman" w:eastAsia="TimesNewRoman" w:hAnsi="TimesNewRoman" w:cs="TimesNewRoman"/>
          </w:rPr>
          <w:t xml:space="preserve">1. Източник на данни, използвани за изчисляване на стандартната скала на единичните разходи, еднократните суми или фиксираните ставки (кой е изготвил, събрал и записал данните, къде се съхраняват данните, крайни срокове, валидиране и др.) </w:t>
        </w:r>
      </w:hyperlink>
      <w:r w:rsidR="00AD19A4">
        <w:tab/>
      </w:r>
      <w:r w:rsidR="00AD19A4">
        <w:fldChar w:fldCharType="begin"/>
      </w:r>
      <w:r w:rsidR="00AD19A4">
        <w:instrText xml:space="preserve"> PAGEREF _Toc256000085 \h </w:instrText>
      </w:r>
      <w:r w:rsidR="00AD19A4">
        <w:fldChar w:fldCharType="separate"/>
      </w:r>
      <w:hyperlink w:anchor="_Toc256000085" w:history="1">
        <w:r w:rsidR="00AD19A4">
          <w:t>48</w:t>
        </w:r>
      </w:hyperlink>
      <w:r w:rsidR="00AD19A4">
        <w:fldChar w:fldCharType="end"/>
      </w:r>
    </w:p>
    <w:p w14:paraId="6DE7A05B" w14:textId="77777777" w:rsidR="00FE6FD5" w:rsidRDefault="00183280">
      <w:pPr>
        <w:pStyle w:val="TOC4"/>
        <w:tabs>
          <w:tab w:val="right" w:leader="dot" w:pos="10240"/>
        </w:tabs>
        <w:rPr>
          <w:rFonts w:ascii="Calibri" w:hAnsi="Calibri"/>
          <w:sz w:val="22"/>
        </w:rPr>
      </w:pPr>
      <w:hyperlink w:anchor="_Toc256000086" w:history="1">
        <w:r w:rsidR="00A77B3E">
          <w:rPr>
            <w:rStyle w:val="Hyperlink"/>
          </w:rPr>
          <w:t xml:space="preserve">2. Моля, уточнете защо предложеният метод и изчисление, основани на член 94(2) от </w:t>
        </w:r>
        <w:r w:rsidR="00A1192D">
          <w:rPr>
            <w:rStyle w:val="Hyperlink"/>
          </w:rPr>
          <w:t>РОР</w:t>
        </w:r>
        <w:r w:rsidR="00A77B3E">
          <w:rPr>
            <w:rStyle w:val="Hyperlink"/>
          </w:rPr>
          <w:t xml:space="preserve">, са от значение за вида операция. </w:t>
        </w:r>
      </w:hyperlink>
      <w:r w:rsidR="00AD19A4">
        <w:tab/>
      </w:r>
      <w:r w:rsidR="00AD19A4">
        <w:fldChar w:fldCharType="begin"/>
      </w:r>
      <w:r w:rsidR="00AD19A4">
        <w:instrText xml:space="preserve"> PAGEREF _Toc256000086 \h </w:instrText>
      </w:r>
      <w:r w:rsidR="00AD19A4">
        <w:fldChar w:fldCharType="separate"/>
      </w:r>
      <w:hyperlink w:anchor="_Toc256000086" w:history="1">
        <w:r w:rsidR="00AD19A4">
          <w:t>49</w:t>
        </w:r>
      </w:hyperlink>
      <w:r w:rsidR="00AD19A4">
        <w:fldChar w:fldCharType="end"/>
      </w:r>
    </w:p>
    <w:p w14:paraId="69FFB971" w14:textId="77777777" w:rsidR="00FE6FD5" w:rsidRDefault="00183280">
      <w:pPr>
        <w:pStyle w:val="TOC4"/>
        <w:tabs>
          <w:tab w:val="right" w:leader="dot" w:pos="10240"/>
        </w:tabs>
        <w:rPr>
          <w:rFonts w:ascii="Calibri" w:hAnsi="Calibri"/>
          <w:sz w:val="22"/>
        </w:rPr>
      </w:pPr>
      <w:hyperlink w:anchor="_Toc256000087" w:history="1">
        <w:r w:rsidR="00A77B3E">
          <w:rPr>
            <w:rStyle w:val="Hyperlink"/>
          </w:rPr>
          <w:t xml:space="preserve">3. Моля, уточнете как са направени изчисленията, по-специално включително всички направени допускания по отношение на качеството или количествата. Когато е уместно, следва да се използват статистически данни и референтни показатели и, ако бъде поискано, да се предоставят във формат, който може да се използва от Комисията. </w:t>
        </w:r>
      </w:hyperlink>
      <w:r w:rsidR="00AD19A4">
        <w:tab/>
      </w:r>
      <w:r w:rsidR="00AD19A4">
        <w:fldChar w:fldCharType="begin"/>
      </w:r>
      <w:r w:rsidR="00AD19A4">
        <w:instrText xml:space="preserve"> PAGEREF _Toc256000087 \h </w:instrText>
      </w:r>
      <w:r w:rsidR="00AD19A4">
        <w:fldChar w:fldCharType="separate"/>
      </w:r>
      <w:hyperlink w:anchor="_Toc256000087" w:history="1">
        <w:r w:rsidR="00AD19A4">
          <w:t>50</w:t>
        </w:r>
      </w:hyperlink>
      <w:r w:rsidR="00AD19A4">
        <w:fldChar w:fldCharType="end"/>
      </w:r>
    </w:p>
    <w:p w14:paraId="127A23F5" w14:textId="77777777" w:rsidR="00FE6FD5" w:rsidRDefault="00183280">
      <w:pPr>
        <w:pStyle w:val="TOC4"/>
        <w:tabs>
          <w:tab w:val="right" w:leader="dot" w:pos="10240"/>
        </w:tabs>
        <w:rPr>
          <w:rFonts w:ascii="Calibri" w:hAnsi="Calibri"/>
          <w:sz w:val="22"/>
        </w:rPr>
      </w:pPr>
      <w:hyperlink w:anchor="_Toc256000088" w:history="1">
        <w:r w:rsidR="00A77B3E">
          <w:rPr>
            <w:rStyle w:val="Hyperlink"/>
          </w:rPr>
          <w:t xml:space="preserve">4. Моля, обяснете как сте гарантирали, че само допустимите разходи са включени в изчисляването на стандартната скала за единични разходи, еднократната сума или фиксираната ставка. </w:t>
        </w:r>
      </w:hyperlink>
      <w:r w:rsidR="00AD19A4">
        <w:tab/>
      </w:r>
      <w:r w:rsidR="00AD19A4">
        <w:fldChar w:fldCharType="begin"/>
      </w:r>
      <w:r w:rsidR="00AD19A4">
        <w:instrText xml:space="preserve"> PAGEREF _Toc256000088 \h </w:instrText>
      </w:r>
      <w:r w:rsidR="00AD19A4">
        <w:fldChar w:fldCharType="separate"/>
      </w:r>
      <w:hyperlink w:anchor="_Toc256000088" w:history="1">
        <w:r w:rsidR="00AD19A4">
          <w:t>51</w:t>
        </w:r>
      </w:hyperlink>
      <w:r w:rsidR="00AD19A4">
        <w:fldChar w:fldCharType="end"/>
      </w:r>
    </w:p>
    <w:p w14:paraId="72C223CD" w14:textId="77777777" w:rsidR="00FE6FD5" w:rsidRDefault="00183280">
      <w:pPr>
        <w:pStyle w:val="TOC4"/>
        <w:tabs>
          <w:tab w:val="right" w:leader="dot" w:pos="10240"/>
        </w:tabs>
        <w:rPr>
          <w:rFonts w:ascii="Calibri" w:hAnsi="Calibri"/>
          <w:sz w:val="22"/>
        </w:rPr>
      </w:pPr>
      <w:hyperlink w:anchor="_Toc256000089" w:history="1">
        <w:r w:rsidR="00A77B3E">
          <w:rPr>
            <w:rStyle w:val="Hyperlink"/>
          </w:rPr>
          <w:t xml:space="preserve">5. Оценка на одитния(ите) орган(и) на методологията за изчисление и сумите, както и на мерките за осигуряване на проверката, качеството, събирането и съхранението на данните. </w:t>
        </w:r>
      </w:hyperlink>
      <w:r w:rsidR="00AD19A4">
        <w:tab/>
      </w:r>
      <w:r w:rsidR="00AD19A4">
        <w:fldChar w:fldCharType="begin"/>
      </w:r>
      <w:r w:rsidR="00AD19A4">
        <w:instrText xml:space="preserve"> PAGEREF _Toc256000089 \h </w:instrText>
      </w:r>
      <w:r w:rsidR="00AD19A4">
        <w:fldChar w:fldCharType="separate"/>
      </w:r>
      <w:hyperlink w:anchor="_Toc256000089" w:history="1">
        <w:r w:rsidR="00AD19A4">
          <w:t>52</w:t>
        </w:r>
      </w:hyperlink>
      <w:r w:rsidR="00AD19A4">
        <w:fldChar w:fldCharType="end"/>
      </w:r>
    </w:p>
    <w:p w14:paraId="1CE45959" w14:textId="77777777" w:rsidR="00FE6FD5" w:rsidRDefault="00183280">
      <w:pPr>
        <w:pStyle w:val="TOC1"/>
        <w:tabs>
          <w:tab w:val="right" w:leader="dot" w:pos="10240"/>
        </w:tabs>
        <w:rPr>
          <w:rFonts w:ascii="Calibri" w:hAnsi="Calibri"/>
          <w:sz w:val="22"/>
        </w:rPr>
      </w:pPr>
      <w:hyperlink w:anchor="_Toc256000090" w:history="1">
        <w:r w:rsidR="00A77B3E">
          <w:rPr>
            <w:rStyle w:val="Hyperlink"/>
          </w:rPr>
          <w:t xml:space="preserve">Приложение 2: Принос на Съюза въз основа на финансиране, което не е свързано с разходи </w:t>
        </w:r>
      </w:hyperlink>
      <w:r w:rsidR="00AD19A4">
        <w:tab/>
      </w:r>
      <w:r w:rsidR="00AD19A4">
        <w:fldChar w:fldCharType="begin"/>
      </w:r>
      <w:r w:rsidR="00AD19A4">
        <w:instrText xml:space="preserve"> PAGEREF _Toc256000090 \h </w:instrText>
      </w:r>
      <w:r w:rsidR="00AD19A4">
        <w:fldChar w:fldCharType="separate"/>
      </w:r>
      <w:hyperlink w:anchor="_Toc256000090" w:history="1">
        <w:r w:rsidR="00AD19A4">
          <w:t>53</w:t>
        </w:r>
      </w:hyperlink>
      <w:r w:rsidR="00AD19A4">
        <w:fldChar w:fldCharType="end"/>
      </w:r>
    </w:p>
    <w:p w14:paraId="7F447821" w14:textId="77777777" w:rsidR="00FE6FD5" w:rsidRDefault="00183280">
      <w:pPr>
        <w:pStyle w:val="TOC2"/>
        <w:tabs>
          <w:tab w:val="right" w:leader="dot" w:pos="10240"/>
        </w:tabs>
        <w:rPr>
          <w:rFonts w:ascii="Calibri" w:hAnsi="Calibri"/>
          <w:sz w:val="22"/>
        </w:rPr>
      </w:pPr>
      <w:hyperlink w:anchor="_Toc256000091" w:history="1">
        <w:r w:rsidR="00A77B3E">
          <w:rPr>
            <w:rStyle w:val="Hyperlink"/>
          </w:rPr>
          <w:t xml:space="preserve">А. Обобщение на основните елементи </w:t>
        </w:r>
      </w:hyperlink>
      <w:r w:rsidR="00AD19A4">
        <w:tab/>
      </w:r>
      <w:r w:rsidR="00AD19A4">
        <w:fldChar w:fldCharType="begin"/>
      </w:r>
      <w:r w:rsidR="00AD19A4">
        <w:instrText xml:space="preserve"> PAGEREF _Toc256000091 \h </w:instrText>
      </w:r>
      <w:r w:rsidR="00AD19A4">
        <w:fldChar w:fldCharType="separate"/>
      </w:r>
      <w:hyperlink w:anchor="_Toc256000091" w:history="1">
        <w:r w:rsidR="00AD19A4">
          <w:t>53</w:t>
        </w:r>
      </w:hyperlink>
      <w:r w:rsidR="00AD19A4">
        <w:fldChar w:fldCharType="end"/>
      </w:r>
    </w:p>
    <w:p w14:paraId="00C1912A" w14:textId="77777777" w:rsidR="00FE6FD5" w:rsidRDefault="00183280">
      <w:pPr>
        <w:pStyle w:val="TOC2"/>
        <w:tabs>
          <w:tab w:val="right" w:leader="dot" w:pos="10240"/>
        </w:tabs>
        <w:rPr>
          <w:rFonts w:ascii="Calibri" w:hAnsi="Calibri"/>
          <w:sz w:val="22"/>
        </w:rPr>
      </w:pPr>
      <w:hyperlink w:anchor="_Toc256000092" w:history="1">
        <w:r w:rsidR="00A77B3E">
          <w:rPr>
            <w:rStyle w:val="Hyperlink"/>
            <w:rFonts w:ascii="TimesNewRoman" w:eastAsia="TimesNewRoman" w:hAnsi="TimesNewRoman" w:cs="TimesNewRoman"/>
          </w:rPr>
          <w:t xml:space="preserve">Б. Подробности по вид операция </w:t>
        </w:r>
      </w:hyperlink>
      <w:r w:rsidR="00AD19A4">
        <w:tab/>
      </w:r>
      <w:r w:rsidR="00AD19A4">
        <w:fldChar w:fldCharType="begin"/>
      </w:r>
      <w:r w:rsidR="00AD19A4">
        <w:instrText xml:space="preserve"> PAGEREF _Toc256000092 \h </w:instrText>
      </w:r>
      <w:r w:rsidR="00AD19A4">
        <w:fldChar w:fldCharType="separate"/>
      </w:r>
      <w:hyperlink w:anchor="_Toc256000092" w:history="1">
        <w:r w:rsidR="00AD19A4">
          <w:t>54</w:t>
        </w:r>
      </w:hyperlink>
      <w:r w:rsidR="00AD19A4">
        <w:fldChar w:fldCharType="end"/>
      </w:r>
    </w:p>
    <w:p w14:paraId="1CEA9F73" w14:textId="77777777" w:rsidR="00FE6FD5" w:rsidRDefault="00183280">
      <w:pPr>
        <w:pStyle w:val="TOC1"/>
        <w:tabs>
          <w:tab w:val="right" w:leader="dot" w:pos="10240"/>
        </w:tabs>
        <w:rPr>
          <w:rFonts w:ascii="Calibri" w:hAnsi="Calibri"/>
          <w:sz w:val="22"/>
        </w:rPr>
      </w:pPr>
      <w:hyperlink w:anchor="_Toc256000093" w:history="1">
        <w:r w:rsidR="00A77B3E">
          <w:rPr>
            <w:rStyle w:val="Hyperlink"/>
            <w:rFonts w:ascii="TimesNewRoman" w:eastAsia="TimesNewRoman" w:hAnsi="TimesNewRoman" w:cs="TimesNewRoman"/>
          </w:rPr>
          <w:t xml:space="preserve">Приложение 3 </w:t>
        </w:r>
      </w:hyperlink>
      <w:r w:rsidR="00AD19A4">
        <w:tab/>
      </w:r>
      <w:r w:rsidR="00AD19A4">
        <w:fldChar w:fldCharType="begin"/>
      </w:r>
      <w:r w:rsidR="00AD19A4">
        <w:instrText xml:space="preserve"> PAGEREF _Toc256000093 \h </w:instrText>
      </w:r>
      <w:r w:rsidR="00AD19A4">
        <w:fldChar w:fldCharType="separate"/>
      </w:r>
      <w:hyperlink w:anchor="_Toc256000093" w:history="1">
        <w:r w:rsidR="00AD19A4">
          <w:t>55</w:t>
        </w:r>
      </w:hyperlink>
      <w:r w:rsidR="00AD19A4">
        <w:fldChar w:fldCharType="end"/>
      </w:r>
    </w:p>
    <w:p w14:paraId="6FF3B22D" w14:textId="77777777" w:rsidR="00FE6FD5" w:rsidRDefault="00183280">
      <w:pPr>
        <w:pStyle w:val="TOC2"/>
        <w:tabs>
          <w:tab w:val="right" w:leader="dot" w:pos="10240"/>
        </w:tabs>
        <w:rPr>
          <w:rFonts w:ascii="Calibri" w:hAnsi="Calibri"/>
          <w:sz w:val="22"/>
        </w:rPr>
      </w:pPr>
      <w:hyperlink w:anchor="_Toc256000094" w:history="1">
        <w:r w:rsidR="00A77B3E">
          <w:rPr>
            <w:rStyle w:val="Hyperlink"/>
            <w:rFonts w:ascii="TimesNewRoman" w:eastAsia="TimesNewRoman" w:hAnsi="TimesNewRoman" w:cs="TimesNewRoman"/>
          </w:rPr>
          <w:t xml:space="preserve">Тематичен механизъм (член 11 от Регламента за ФУМИ, член 8 от Регламента за </w:t>
        </w:r>
        <w:r w:rsidR="004B3C80">
          <w:rPr>
            <w:rStyle w:val="Hyperlink"/>
            <w:rFonts w:ascii="TimesNewRoman" w:eastAsia="TimesNewRoman" w:hAnsi="TimesNewRoman" w:cs="TimesNewRoman"/>
          </w:rPr>
          <w:t>ИГУВП</w:t>
        </w:r>
        <w:r w:rsidR="00A77B3E">
          <w:rPr>
            <w:rStyle w:val="Hyperlink"/>
            <w:rFonts w:ascii="TimesNewRoman" w:eastAsia="TimesNewRoman" w:hAnsi="TimesNewRoman" w:cs="TimesNewRoman"/>
          </w:rPr>
          <w:t xml:space="preserve">, член 8 от Регламента за ИСФ) </w:t>
        </w:r>
      </w:hyperlink>
      <w:r w:rsidR="00AD19A4">
        <w:tab/>
      </w:r>
      <w:r w:rsidR="00AD19A4">
        <w:fldChar w:fldCharType="begin"/>
      </w:r>
      <w:r w:rsidR="00AD19A4">
        <w:instrText xml:space="preserve"> PAGEREF _Toc256000094 \h </w:instrText>
      </w:r>
      <w:r w:rsidR="00AD19A4">
        <w:fldChar w:fldCharType="separate"/>
      </w:r>
      <w:hyperlink w:anchor="_Toc256000094" w:history="1">
        <w:r w:rsidR="00AD19A4">
          <w:t>55</w:t>
        </w:r>
      </w:hyperlink>
      <w:r w:rsidR="00AD19A4">
        <w:fldChar w:fldCharType="end"/>
      </w:r>
    </w:p>
    <w:p w14:paraId="730764EA" w14:textId="77777777" w:rsidR="00FE6FD5" w:rsidRDefault="00183280">
      <w:pPr>
        <w:pStyle w:val="TOC1"/>
        <w:tabs>
          <w:tab w:val="right" w:leader="dot" w:pos="10240"/>
        </w:tabs>
        <w:rPr>
          <w:rFonts w:ascii="Calibri" w:hAnsi="Calibri"/>
          <w:sz w:val="22"/>
        </w:rPr>
      </w:pPr>
      <w:hyperlink w:anchor="_Toc256000095" w:history="1">
        <w:r w:rsidR="00A77B3E">
          <w:rPr>
            <w:rStyle w:val="Hyperlink"/>
            <w:rFonts w:ascii="TimesNewRoman" w:eastAsia="TimesNewRoman" w:hAnsi="TimesNewRoman" w:cs="TimesNewRoman"/>
          </w:rPr>
          <w:t xml:space="preserve">ДОКУМЕНТИ </w:t>
        </w:r>
      </w:hyperlink>
      <w:r w:rsidR="00AD19A4">
        <w:tab/>
      </w:r>
      <w:r w:rsidR="00AD19A4">
        <w:fldChar w:fldCharType="begin"/>
      </w:r>
      <w:r w:rsidR="00AD19A4">
        <w:instrText xml:space="preserve"> PAGEREF _Toc256000095 \h </w:instrText>
      </w:r>
      <w:r w:rsidR="00AD19A4">
        <w:fldChar w:fldCharType="separate"/>
      </w:r>
      <w:hyperlink w:anchor="_Toc256000095" w:history="1">
        <w:r w:rsidR="00AD19A4">
          <w:t>60</w:t>
        </w:r>
      </w:hyperlink>
      <w:r w:rsidR="00AD19A4">
        <w:fldChar w:fldCharType="end"/>
      </w:r>
    </w:p>
    <w:p w14:paraId="7DB75147" w14:textId="77777777" w:rsidR="00A77B3E" w:rsidRDefault="00AD19A4">
      <w:pPr>
        <w:pStyle w:val="Heading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048"/>
      <w:r>
        <w:rPr>
          <w:rFonts w:ascii="Times New Roman" w:hAnsi="Times New Roman" w:cs="Times New Roman"/>
          <w:b w:val="0"/>
          <w:color w:val="000000"/>
          <w:sz w:val="24"/>
        </w:rPr>
        <w:lastRenderedPageBreak/>
        <w:t>1. Стратегия на програмата: основни предизвикателства и политически отговори</w:t>
      </w:r>
      <w:bookmarkEnd w:id="0"/>
    </w:p>
    <w:p w14:paraId="7CB5FCC3" w14:textId="77777777" w:rsidR="00A77B3E" w:rsidRDefault="00AD19A4">
      <w:pPr>
        <w:rPr>
          <w:color w:val="000000"/>
          <w:sz w:val="16"/>
        </w:rPr>
      </w:pPr>
      <w:r>
        <w:rPr>
          <w:color w:val="000000"/>
        </w:rPr>
        <w:t>Позоваване: букви (a)(iii), (iv), (v) и (ix) Член 22(3) от Регламент (ЕС) 2021/1060 (РОР)</w:t>
      </w:r>
    </w:p>
    <w:p w14:paraId="6CAEBB4D" w14:textId="77777777"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7242E25D" w14:textId="77777777">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14:paraId="0654598F" w14:textId="77777777" w:rsidR="00A77B3E" w:rsidRDefault="00A77B3E">
            <w:pPr>
              <w:rPr>
                <w:color w:val="000000"/>
                <w:sz w:val="0"/>
              </w:rPr>
            </w:pPr>
          </w:p>
          <w:p w14:paraId="6CFC7BAB" w14:textId="77777777" w:rsidR="00A77B3E" w:rsidRDefault="00AD19A4">
            <w:pPr>
              <w:rPr>
                <w:color w:val="000000"/>
              </w:rPr>
            </w:pPr>
            <w:r>
              <w:rPr>
                <w:b/>
                <w:bCs/>
                <w:color w:val="000000"/>
              </w:rPr>
              <w:t>Последно развитие и изходно състояние</w:t>
            </w:r>
          </w:p>
          <w:p w14:paraId="2D213C38" w14:textId="77777777" w:rsidR="00A77B3E" w:rsidRDefault="00AD19A4">
            <w:pPr>
              <w:rPr>
                <w:color w:val="000000"/>
              </w:rPr>
            </w:pPr>
            <w:r>
              <w:rPr>
                <w:color w:val="000000"/>
              </w:rPr>
              <w:t>България (БГ) е страна на първа линия с едни от най-чувствителните външни граници на ЕС. Това предопределя нейната мисия като държава членка, която поема големи отговорности за гарантиране на сигурността на ЕС и контрола на законното преминаване на външните граници на ЕС.</w:t>
            </w:r>
          </w:p>
          <w:p w14:paraId="6F0FF5CD" w14:textId="77777777" w:rsidR="00A77B3E" w:rsidRDefault="00AD19A4">
            <w:pPr>
              <w:rPr>
                <w:color w:val="000000"/>
              </w:rPr>
            </w:pPr>
            <w:r>
              <w:rPr>
                <w:color w:val="000000"/>
              </w:rPr>
              <w:t>През периода 2013-2016 г. България беше подложена на безпрецедентен миграционен натиск, тъй като бяха регистрирани десетки хиляди незаконни преминавания на държавната граница, както и граждани на трети страни, задържани без право на пребиваване на територията на България. С оглед на непропорционално високия миграционен натиск и в съответствие с принципа на солидарност, през 2016 г. България получи значителна спешна помощ, насочена към повишаване на ефективността на граничния контрол по външните граници на ЕС и по-специално за справяне с извънредната ситуация на границата между България и Турция (Турция). Благодарение на националните усилия и получената от ЕС подкрепа, България успешно се справи с извънредната ситуация.</w:t>
            </w:r>
          </w:p>
          <w:p w14:paraId="5255A1EC" w14:textId="77777777" w:rsidR="00A77B3E" w:rsidRDefault="00AD19A4">
            <w:pPr>
              <w:rPr>
                <w:color w:val="000000"/>
              </w:rPr>
            </w:pPr>
            <w:r>
              <w:rPr>
                <w:color w:val="000000"/>
              </w:rPr>
              <w:t>През 2017 г. са регистрирани общо 8 044 опита на граждани на трети страни (ГТС) да преминат държавната граница на България.</w:t>
            </w:r>
          </w:p>
          <w:p w14:paraId="3A31BCAB" w14:textId="77777777" w:rsidR="00A77B3E" w:rsidRDefault="00AD19A4">
            <w:pPr>
              <w:rPr>
                <w:color w:val="000000"/>
              </w:rPr>
            </w:pPr>
            <w:r>
              <w:rPr>
                <w:color w:val="000000"/>
              </w:rPr>
              <w:t>През 2018 г. 10 019 опита (увеличение с 25% спрямо 2017 г.)</w:t>
            </w:r>
          </w:p>
          <w:p w14:paraId="211FAF1C" w14:textId="77777777" w:rsidR="00A77B3E" w:rsidRDefault="00AD19A4">
            <w:pPr>
              <w:rPr>
                <w:color w:val="000000"/>
              </w:rPr>
            </w:pPr>
            <w:r>
              <w:rPr>
                <w:color w:val="000000"/>
              </w:rPr>
              <w:t>През 2019 г. 7422 опита (намаление с 26% спрямо 2018 г.)</w:t>
            </w:r>
          </w:p>
          <w:p w14:paraId="578D877B" w14:textId="77777777" w:rsidR="00A77B3E" w:rsidRDefault="00AD19A4">
            <w:pPr>
              <w:rPr>
                <w:color w:val="000000"/>
              </w:rPr>
            </w:pPr>
            <w:r>
              <w:rPr>
                <w:color w:val="000000"/>
              </w:rPr>
              <w:t>През 2020 г. 13 042 опита (увеличение от 76% спрямо 2019 г.)</w:t>
            </w:r>
          </w:p>
          <w:p w14:paraId="6B93705E" w14:textId="77777777" w:rsidR="00A77B3E" w:rsidRDefault="00AD19A4">
            <w:pPr>
              <w:rPr>
                <w:color w:val="000000"/>
              </w:rPr>
            </w:pPr>
            <w:r>
              <w:rPr>
                <w:color w:val="000000"/>
              </w:rPr>
              <w:t>През 2021 г. 55 012 опита (увеличение от 77% спрямо 2020 г.)</w:t>
            </w:r>
          </w:p>
          <w:p w14:paraId="124ABB90" w14:textId="77777777" w:rsidR="00A77B3E" w:rsidRDefault="00AD19A4">
            <w:pPr>
              <w:rPr>
                <w:color w:val="000000"/>
              </w:rPr>
            </w:pPr>
            <w:r>
              <w:rPr>
                <w:color w:val="000000"/>
              </w:rPr>
              <w:t>През 2022 г. 168 378 опита (увеличение с 68% спрямо 2021 г.)</w:t>
            </w:r>
          </w:p>
          <w:p w14:paraId="580A4F10" w14:textId="77777777" w:rsidR="00A77B3E" w:rsidRDefault="00AD19A4">
            <w:pPr>
              <w:rPr>
                <w:color w:val="000000"/>
              </w:rPr>
            </w:pPr>
            <w:r>
              <w:rPr>
                <w:color w:val="000000"/>
              </w:rPr>
              <w:t>През 2023 г. 181 117 опита (увеличение с 8% спрямо 2022 г.)</w:t>
            </w:r>
          </w:p>
          <w:p w14:paraId="1E880B28" w14:textId="77777777" w:rsidR="00A77B3E" w:rsidRDefault="00AD19A4">
            <w:pPr>
              <w:rPr>
                <w:color w:val="000000"/>
              </w:rPr>
            </w:pPr>
            <w:r>
              <w:rPr>
                <w:color w:val="000000"/>
              </w:rPr>
              <w:t>През 2024 г. 55 166 опита (намаление със 70% спрямо 2023 г.)</w:t>
            </w:r>
          </w:p>
          <w:p w14:paraId="6420B80C" w14:textId="77777777" w:rsidR="00A77B3E" w:rsidRDefault="00AD19A4">
            <w:pPr>
              <w:rPr>
                <w:color w:val="000000"/>
              </w:rPr>
            </w:pPr>
            <w:r>
              <w:rPr>
                <w:color w:val="000000"/>
              </w:rPr>
              <w:t>BG участва в разработването и прилагането на Интегрираното управление на границите (</w:t>
            </w:r>
            <w:r w:rsidR="004B3C80">
              <w:rPr>
                <w:color w:val="000000"/>
              </w:rPr>
              <w:t>ИГУ</w:t>
            </w:r>
            <w:r>
              <w:rPr>
                <w:color w:val="000000"/>
              </w:rPr>
              <w:t>), ръководейки се от принципа, че то е един от основните елементи за гарантиране на пространство на свобода, сигурност и правосъдие. Единното и хармонизирано прилагане на правилата и стандартите за граничен контрол е от съществено значение за ефективното управление на външните граници на ЕС, преодоляването на миграционните предизвикателства и допринасянето за сигурността на ЕС. Този принцип е залегнал в Националната стратегия за интегрирано управление на границите за периода 2020-2025 г.</w:t>
            </w:r>
          </w:p>
          <w:p w14:paraId="56419F3E" w14:textId="77777777" w:rsidR="00A77B3E" w:rsidRDefault="00AD19A4">
            <w:pPr>
              <w:rPr>
                <w:color w:val="000000"/>
              </w:rPr>
            </w:pPr>
            <w:r>
              <w:rPr>
                <w:color w:val="000000"/>
              </w:rPr>
              <w:t>Визовата политика, като част от имиграционната политика на ЕС, има за цел да допринесе за създаването на единно пространство на свобода, сигурност и правосъдие. Премахването на контрола по общите вътрешни граници изисква засилване на контрола по външните граници на ЕС.</w:t>
            </w:r>
          </w:p>
          <w:p w14:paraId="2E86E32B" w14:textId="77777777" w:rsidR="00A77B3E" w:rsidRDefault="00AD19A4">
            <w:pPr>
              <w:rPr>
                <w:color w:val="000000"/>
              </w:rPr>
            </w:pPr>
            <w:r>
              <w:rPr>
                <w:color w:val="000000"/>
              </w:rPr>
              <w:t>България участва активно в разработването и прилагането на визовата и миграционната политика на ЕС.</w:t>
            </w:r>
          </w:p>
          <w:p w14:paraId="07C5B3B4" w14:textId="77777777" w:rsidR="00A77B3E" w:rsidRDefault="00AD19A4">
            <w:pPr>
              <w:rPr>
                <w:color w:val="000000"/>
              </w:rPr>
            </w:pPr>
            <w:r>
              <w:rPr>
                <w:b/>
                <w:bCs/>
                <w:color w:val="000000"/>
              </w:rPr>
              <w:t>Основни национални стратегически предизвикателства и политически отговори</w:t>
            </w:r>
          </w:p>
          <w:p w14:paraId="468BB404" w14:textId="77777777" w:rsidR="00A77B3E" w:rsidRDefault="00AD19A4">
            <w:pPr>
              <w:rPr>
                <w:color w:val="000000"/>
              </w:rPr>
            </w:pPr>
            <w:r>
              <w:rPr>
                <w:color w:val="000000"/>
              </w:rPr>
              <w:t>Границата между България и Таджикистан е най-активната външна граница по отношение на миграционния натиск към страната, а мигрантите са предимно от политически и социално-икономически нестабилни страни от Близкия изток.</w:t>
            </w:r>
          </w:p>
          <w:p w14:paraId="7885DD0F" w14:textId="77777777" w:rsidR="00A77B3E" w:rsidRDefault="00AD19A4">
            <w:pPr>
              <w:rPr>
                <w:color w:val="000000"/>
              </w:rPr>
            </w:pPr>
            <w:r>
              <w:rPr>
                <w:color w:val="000000"/>
              </w:rPr>
              <w:t>Поради географското си местоположение и безвизовия режим с повече от 60 държави в Близкия изток и Африка, Търговски съюз продължава да бъде кръстопът на всички канали за нелегална миграция към ЕС, включително тези през България.</w:t>
            </w:r>
          </w:p>
          <w:p w14:paraId="427E7FF6" w14:textId="77777777" w:rsidR="00A77B3E" w:rsidRDefault="00AD19A4">
            <w:pPr>
              <w:rPr>
                <w:color w:val="000000"/>
              </w:rPr>
            </w:pPr>
            <w:r>
              <w:rPr>
                <w:color w:val="000000"/>
              </w:rPr>
              <w:t>Предвид съществуващата заплаха и риска от кризи, започна прилагането на набор от мерки, включително промени в законодателството и прилагане на съвместни мерки за сигурност между Главна дирекция „Гранична полиция“, други структури на Министерството на вътрешните работи и Министерството на отбраната на външната граница с Таджикистан.</w:t>
            </w:r>
          </w:p>
          <w:p w14:paraId="09FFCF6C" w14:textId="77777777" w:rsidR="00A77B3E" w:rsidRDefault="00AD19A4">
            <w:pPr>
              <w:rPr>
                <w:color w:val="000000"/>
              </w:rPr>
            </w:pPr>
            <w:r>
              <w:rPr>
                <w:color w:val="000000"/>
              </w:rPr>
              <w:t xml:space="preserve">Приложените мерки за граничен контрол и продължаващите усилия на България за предотвратяване на незаконно влизане на територията на страната, спазването от страна на Таджикистан на изявлението ЕС-Таджикистан, както и подкрепата на ЕС чрез финансиране на програмата, спешната помощ, предоставена на България по линия на </w:t>
            </w:r>
            <w:r w:rsidR="004B3C80">
              <w:rPr>
                <w:color w:val="000000"/>
                <w:lang w:val="bg-BG"/>
              </w:rPr>
              <w:t>ФВС-Граници и визи</w:t>
            </w:r>
            <w:r>
              <w:rPr>
                <w:color w:val="000000"/>
              </w:rPr>
              <w:t xml:space="preserve">, и сътрудничеството с Европейската агенция за гранична и брегова охрана (EBCGA), доведоха до </w:t>
            </w:r>
            <w:r>
              <w:rPr>
                <w:color w:val="000000"/>
              </w:rPr>
              <w:lastRenderedPageBreak/>
              <w:t>успешно управление и намаляване на нивата на миграционния натиск на границата между България и Таджикистан.</w:t>
            </w:r>
          </w:p>
          <w:p w14:paraId="35C5078D" w14:textId="77777777" w:rsidR="00A77B3E" w:rsidRDefault="00AD19A4">
            <w:pPr>
              <w:rPr>
                <w:color w:val="000000"/>
              </w:rPr>
            </w:pPr>
            <w:r>
              <w:rPr>
                <w:color w:val="000000"/>
              </w:rPr>
              <w:t>Българо-гръцката граница е другата основна входна точка за нелегална миграция. Тя е рискова граница поради евентуално внезапно усложняване на оперативната обстановка вследствие на предприетите мерки за затваряне на маршрута през Западните Балкани с цел намаляване на миграционния натиск от Търговия и натрупването на голям брой мигранти в Гърция. От началото на декември 2018 г. се провежда специализирана полицейска операция за противодействие на нелегалната миграция на тази граница.</w:t>
            </w:r>
          </w:p>
          <w:p w14:paraId="62BF713B" w14:textId="77777777" w:rsidR="00A77B3E" w:rsidRDefault="00AD19A4">
            <w:pPr>
              <w:rPr>
                <w:color w:val="000000"/>
              </w:rPr>
            </w:pPr>
            <w:r>
              <w:rPr>
                <w:color w:val="000000"/>
              </w:rPr>
              <w:t>Интегрирани системи за наблюдение (ИСН) са изградени и пуснати в експлоатация на границата между България и Таджикистан, по море и отчасти на границата между България и Сърбия. ИСН не са свързани с EUROSUR. Информацията за задържаните лица, събрана от ИСН, се въвежда ръчно от оператори на Националния център за наблюдение (NCC) за EUROSUR.</w:t>
            </w:r>
          </w:p>
          <w:p w14:paraId="6567C96F" w14:textId="77777777" w:rsidR="00A77B3E" w:rsidRDefault="00AD19A4">
            <w:pPr>
              <w:rPr>
                <w:color w:val="000000"/>
              </w:rPr>
            </w:pPr>
            <w:r>
              <w:rPr>
                <w:color w:val="000000"/>
              </w:rPr>
              <w:t>Както е посочено в „Анализ на социално-икономическото развитие на България 2007-2017 г. и за определяне на националните приоритети за периода 2021-2027 г.“, поради географското положение на страната, границите на България са и външни граници на ЕС, което неизбежно ги прави обект на множество транзитни, миграционни, контрабандни и криминални потоци. Според посочения документ, сигурността и миграцията са сред трите хоризонтални политики, по които България ще предприеме целенасочени действия през периода 2021-2027 г.</w:t>
            </w:r>
          </w:p>
          <w:p w14:paraId="59A7A1D5" w14:textId="77777777" w:rsidR="00A77B3E" w:rsidRDefault="00AD19A4">
            <w:pPr>
              <w:rPr>
                <w:color w:val="000000"/>
              </w:rPr>
            </w:pPr>
            <w:r>
              <w:rPr>
                <w:color w:val="000000"/>
              </w:rPr>
              <w:t xml:space="preserve">Анализът е фокусиран върху подкрепата за прилагането на общата политика на ЕС за управление на външните </w:t>
            </w:r>
            <w:r w:rsidR="004B3C80">
              <w:rPr>
                <w:color w:val="000000"/>
              </w:rPr>
              <w:t>Граници и визи</w:t>
            </w:r>
            <w:r>
              <w:rPr>
                <w:color w:val="000000"/>
              </w:rPr>
              <w:t>те чрез укрепване на европейското интегрирано управление на границите (IBG), закупуване на оборудване за управление на границите, което ще се използва от EBCGA, общата визова политика и съответните информационни системи.</w:t>
            </w:r>
          </w:p>
          <w:p w14:paraId="0EF8418C" w14:textId="77777777" w:rsidR="00A77B3E" w:rsidRDefault="00AD19A4">
            <w:pPr>
              <w:rPr>
                <w:color w:val="000000"/>
              </w:rPr>
            </w:pPr>
            <w:r>
              <w:rPr>
                <w:color w:val="000000"/>
              </w:rPr>
              <w:t>Съгласно Националната стратегия за интегрирано управление на границите 2020-2025 г., България споделя отговорността за осигуряване на нормалното функциониране на Шенгенското пространство с държавите членки на Шенген. Поддържа се мониторинг на оперативната и ситуационната картина; обменя се информация за потенциални заплахи и рискове; наблюдават се вторичните движения и се предприемат мерки за предотвратяване на незаконни преминавания при излизане на границите; поддържа се засилено сътрудничество със съседните държави, които не са членки на ЕС, с цел предотвратяване на незаконното влизане в България, както и връщането на граждани на трети страни.</w:t>
            </w:r>
          </w:p>
          <w:p w14:paraId="64F7512D" w14:textId="77777777" w:rsidR="00A77B3E" w:rsidRDefault="00AD19A4">
            <w:pPr>
              <w:rPr>
                <w:color w:val="000000"/>
              </w:rPr>
            </w:pPr>
            <w:r>
              <w:rPr>
                <w:color w:val="000000"/>
              </w:rPr>
              <w:t xml:space="preserve">С финансовата подкрепа на </w:t>
            </w:r>
            <w:r w:rsidR="004B3C80">
              <w:rPr>
                <w:color w:val="000000"/>
                <w:lang w:val="bg-BG"/>
              </w:rPr>
              <w:t>ФВС Граници и визи</w:t>
            </w:r>
            <w:r>
              <w:rPr>
                <w:color w:val="000000"/>
              </w:rPr>
              <w:t xml:space="preserve"> се модернизират съществуващите ИКТ технологии, технически системи и превозни средства, свързани с контрола на външните граници, назначават се и се командироват допълнителен брой полицейски и гранични служители, подобряват се условията в структурите за граничен контрол на външните граници.</w:t>
            </w:r>
          </w:p>
          <w:p w14:paraId="7EF229D3" w14:textId="77777777" w:rsidR="00A77B3E" w:rsidRDefault="00AD19A4">
            <w:pPr>
              <w:rPr>
                <w:color w:val="000000"/>
              </w:rPr>
            </w:pPr>
            <w:r>
              <w:rPr>
                <w:color w:val="000000"/>
              </w:rPr>
              <w:t>Фондът осигури финансови ресурси за разработването и поддръжката на информационни системи, свързани с граничния контрол, както и на ИСС на границата между България и Таджикистан.</w:t>
            </w:r>
          </w:p>
          <w:p w14:paraId="2B3B74DF" w14:textId="77777777" w:rsidR="00A77B3E" w:rsidRDefault="00AD19A4">
            <w:pPr>
              <w:rPr>
                <w:color w:val="000000"/>
              </w:rPr>
            </w:pPr>
            <w:r>
              <w:rPr>
                <w:color w:val="000000"/>
              </w:rPr>
              <w:t>В подкрепа на EBCGA се изпълняват две специфични действия за доставка на мобилна система за наблюдение и граничен патрулен кораб. Оборудването ще бъде предоставено на Агенцията в рамките на съвместни операции.</w:t>
            </w:r>
          </w:p>
          <w:p w14:paraId="22FF542C" w14:textId="77777777" w:rsidR="00A77B3E" w:rsidRDefault="00AD19A4">
            <w:pPr>
              <w:rPr>
                <w:color w:val="000000"/>
              </w:rPr>
            </w:pPr>
            <w:r>
              <w:rPr>
                <w:color w:val="000000"/>
              </w:rPr>
              <w:t>През 2018 г. на България беше предоставено допълнително финансиране за внедряването на Системата за влизане/излизане (EES) и създаването на Национален унифициран интерфейс (NUI) и интегрирането му към съществуващата национална гранична инфраструктура.</w:t>
            </w:r>
          </w:p>
          <w:p w14:paraId="384CE890" w14:textId="77777777" w:rsidR="00A77B3E" w:rsidRDefault="00AD19A4">
            <w:pPr>
              <w:rPr>
                <w:color w:val="000000"/>
              </w:rPr>
            </w:pPr>
            <w:r>
              <w:rPr>
                <w:color w:val="000000"/>
              </w:rPr>
              <w:t>С оглед на внедряването на Системата за влизане/излизане (EES) беше направена оценка на текущото състояние на граничните контролно-пропускателни пунктове и необходимостта от технически решения и мерки, свързани с интегрирането на EES в инфраструктурата на ГКПП. В резултат на това новите функционалности на EES ще бъдат интегрирани в настоящата Автоматизирана информационна система (AIS) за граничен контрол.</w:t>
            </w:r>
          </w:p>
          <w:p w14:paraId="7982A836" w14:textId="77777777" w:rsidR="00A77B3E" w:rsidRDefault="00AD19A4">
            <w:pPr>
              <w:rPr>
                <w:color w:val="000000"/>
              </w:rPr>
            </w:pPr>
            <w:r>
              <w:rPr>
                <w:color w:val="000000"/>
              </w:rPr>
              <w:t>Съгласно Решение за изпълнение (ЕС) № 2025/1544 от 30 юли 2025 г., с което се определя датата, от която Системата за влизане/излизане (EES) трябва да започне да функционира в съответствие с Регламент (ЕС) 2017/2226, Европейската комисия определи EES да започне да функционира на територията на всички държави членки на 12 октомври 2025 г.</w:t>
            </w:r>
          </w:p>
          <w:p w14:paraId="247C1FE5" w14:textId="77777777" w:rsidR="00A77B3E" w:rsidRDefault="00AD19A4">
            <w:pPr>
              <w:rPr>
                <w:color w:val="000000"/>
              </w:rPr>
            </w:pPr>
            <w:r>
              <w:rPr>
                <w:color w:val="000000"/>
              </w:rPr>
              <w:t xml:space="preserve">Във връзка с Регламент (ЕС) 2025/1534 на Европейския парламент и на Съвета от 18 юли 2025 г. относно временни дерогации от някои разпоредби на регламенти (ЕС) 2017/2226 и (ЕС) 2016/399 във връзка с постепенното внедряване на новата електронна система на ЕС - Системата за </w:t>
            </w:r>
            <w:r>
              <w:rPr>
                <w:color w:val="000000"/>
              </w:rPr>
              <w:lastRenderedPageBreak/>
              <w:t>влизане/излизане (EES), Главна дирекция „Гранична полиция“ е изготвила план за интегриране на EES на национално ниво, който ще бъде изпълнен до 9 април 2026 г.</w:t>
            </w:r>
          </w:p>
          <w:p w14:paraId="48E06CD5" w14:textId="77777777" w:rsidR="00A77B3E" w:rsidRDefault="00AD19A4">
            <w:pPr>
              <w:rPr>
                <w:color w:val="000000"/>
              </w:rPr>
            </w:pPr>
            <w:r>
              <w:rPr>
                <w:color w:val="000000"/>
              </w:rPr>
              <w:t>През 2019 г. на BG бяха отпуснати допълнителни средства за разработването и внедряването на ETIAS, както и за подкрепа на бързото и ефективно модернизиране на NSIS.</w:t>
            </w:r>
          </w:p>
          <w:p w14:paraId="64BBFCA5" w14:textId="77777777" w:rsidR="00A77B3E" w:rsidRDefault="00AD19A4">
            <w:pPr>
              <w:rPr>
                <w:color w:val="000000"/>
              </w:rPr>
            </w:pPr>
            <w:r>
              <w:rPr>
                <w:color w:val="000000"/>
              </w:rPr>
              <w:t>Бяха направени промени в съответната регулаторна рамка с оглед на създаването на Националното звено на ETIAS в рамките на Министерството на вътрешните работи (МВР).</w:t>
            </w:r>
          </w:p>
          <w:p w14:paraId="1AD83AE8" w14:textId="77777777" w:rsidR="00A77B3E" w:rsidRDefault="00AD19A4">
            <w:pPr>
              <w:rPr>
                <w:color w:val="000000"/>
              </w:rPr>
            </w:pPr>
            <w:r>
              <w:rPr>
                <w:color w:val="000000"/>
              </w:rPr>
              <w:t>Работна група по новата законодателна рамка за ШИС координира планираното техническо изграждане на новите функционалности на системата и подготовката на структурите за прилагането на новото законодателство за ШИС през 2022 г.</w:t>
            </w:r>
          </w:p>
          <w:p w14:paraId="74589E82" w14:textId="77777777" w:rsidR="00A77B3E" w:rsidRDefault="00AD19A4">
            <w:pPr>
              <w:rPr>
                <w:color w:val="000000"/>
              </w:rPr>
            </w:pPr>
            <w:r>
              <w:rPr>
                <w:color w:val="000000"/>
              </w:rPr>
              <w:t>Координацията на подготовката на Гражданската служба за внедряване на оперативна съвместимост на национално ниво се осъществява от Стратегическа работна група към Националния съвет по миграция, граници, убежище и интеграция, председателствана от заместник-министър на вътрешните работи и включваща представители на управленско ниво на всички заинтересовани страни, участващи в проекта.</w:t>
            </w:r>
          </w:p>
          <w:p w14:paraId="06C5E554" w14:textId="77777777" w:rsidR="00A77B3E" w:rsidRDefault="00AD19A4">
            <w:pPr>
              <w:rPr>
                <w:color w:val="000000"/>
              </w:rPr>
            </w:pPr>
            <w:r>
              <w:rPr>
                <w:color w:val="000000"/>
              </w:rPr>
              <w:t xml:space="preserve">В контекста на усилията за осигуряване на единен и висококачествен контрол на външните граници и за предотвратяване и борба с незаконната миграция, NVIS на България и нейната оперативна съвместимост с ВИС на ЕС и други широкомащабни информационни системи на ЕС непрекъснато се развиват и модернизират с подкрепата на </w:t>
            </w:r>
            <w:r w:rsidR="004B3C80">
              <w:rPr>
                <w:color w:val="000000"/>
                <w:lang w:val="bg-BG"/>
              </w:rPr>
              <w:t>ФВС Граници и визи</w:t>
            </w:r>
            <w:r>
              <w:rPr>
                <w:color w:val="000000"/>
              </w:rPr>
              <w:t xml:space="preserve">. Усилията за организиране, управление, експлоатация и поддръжка на </w:t>
            </w:r>
            <w:r w:rsidR="004B3C80">
              <w:rPr>
                <w:color w:val="000000"/>
                <w:lang w:val="bg-BG"/>
              </w:rPr>
              <w:t>НВИС</w:t>
            </w:r>
            <w:r>
              <w:rPr>
                <w:color w:val="000000"/>
              </w:rPr>
              <w:t xml:space="preserve"> са насочени и към подготовка на България за пълноценно участие в Шенгенското пространство и използване на визовата система в интерес на общата политика на ЕС за управление на външните граници.</w:t>
            </w:r>
          </w:p>
          <w:p w14:paraId="70FB83FB" w14:textId="77777777" w:rsidR="00A77B3E" w:rsidRDefault="00AD19A4">
            <w:pPr>
              <w:rPr>
                <w:color w:val="000000"/>
              </w:rPr>
            </w:pPr>
            <w:r>
              <w:rPr>
                <w:color w:val="000000"/>
              </w:rPr>
              <w:t xml:space="preserve">Гражданската отговорност ще осигури съгласуваност между инвестициите в </w:t>
            </w:r>
            <w:r w:rsidR="004B3C80">
              <w:rPr>
                <w:color w:val="000000"/>
              </w:rPr>
              <w:t>ИГУВП</w:t>
            </w:r>
            <w:r>
              <w:rPr>
                <w:color w:val="000000"/>
              </w:rPr>
              <w:t xml:space="preserve"> и развитието и планирането на способностите на EBCG, по-специално националния план за развитие на способностите (член 9(4) от Регламента за EBCG) и бъдещата пътна карта за способностите (член 9(8) от Регламента за EBCG).</w:t>
            </w:r>
          </w:p>
          <w:p w14:paraId="7C03246C" w14:textId="77777777" w:rsidR="00A77B3E" w:rsidRDefault="00AD19A4">
            <w:pPr>
              <w:rPr>
                <w:color w:val="000000"/>
              </w:rPr>
            </w:pPr>
            <w:r>
              <w:rPr>
                <w:color w:val="000000"/>
              </w:rPr>
              <w:t>Административният капацитет на компетентните органи и заинтересованите страни е от основно значение. През периода 2014-2020 г. са проведени редица обучения за повишаване на професионалната квалификация и е натрупан значителен опит от УО и бенефициентите. За периода 2021-2027 г. предизвикателство ще бъде включването на вътрешните фондове в РОР. Това ще бъде решено чрез специфични обучения за УО и бенефициентите. Всички национални документи и документи на ЕС са предоставени на заинтересованите страни.</w:t>
            </w:r>
          </w:p>
          <w:p w14:paraId="1F994756" w14:textId="77777777" w:rsidR="00A77B3E" w:rsidRDefault="00AD19A4">
            <w:pPr>
              <w:rPr>
                <w:color w:val="000000"/>
              </w:rPr>
            </w:pPr>
            <w:r>
              <w:rPr>
                <w:color w:val="000000"/>
              </w:rPr>
              <w:t xml:space="preserve">За да се справи с предизвикателството, свързано с административната тежест по </w:t>
            </w:r>
            <w:r w:rsidR="004B3C80">
              <w:rPr>
                <w:color w:val="000000"/>
              </w:rPr>
              <w:t>ФВС</w:t>
            </w:r>
            <w:r>
              <w:rPr>
                <w:color w:val="000000"/>
              </w:rPr>
              <w:t xml:space="preserve">-B&amp;V, процедурите за подбор бяха реорганизирани, за да се комбинират няколко действия в една процедура по повече от една конкретна цел. Тази практика ще се прилага по линия на </w:t>
            </w:r>
            <w:r w:rsidR="004B3C80">
              <w:rPr>
                <w:color w:val="000000"/>
              </w:rPr>
              <w:t>ИГУВП</w:t>
            </w:r>
            <w:r>
              <w:rPr>
                <w:color w:val="000000"/>
              </w:rPr>
              <w:t>.</w:t>
            </w:r>
          </w:p>
          <w:p w14:paraId="56526AB5" w14:textId="77777777" w:rsidR="00A77B3E" w:rsidRDefault="00AD19A4">
            <w:pPr>
              <w:rPr>
                <w:color w:val="000000"/>
              </w:rPr>
            </w:pPr>
            <w:r>
              <w:rPr>
                <w:color w:val="000000"/>
              </w:rPr>
              <w:t>Информационната система за управление и мониторинг на средствата от ЕС в BG 2020 ще продължи да се използва, включително за подаване на проектни предложения и отчитане на напредъка по изпълнението.</w:t>
            </w:r>
          </w:p>
          <w:p w14:paraId="32D491FF" w14:textId="77777777" w:rsidR="00A77B3E" w:rsidRDefault="00AD19A4">
            <w:pPr>
              <w:rPr>
                <w:color w:val="000000"/>
              </w:rPr>
            </w:pPr>
            <w:r>
              <w:rPr>
                <w:b/>
                <w:bCs/>
                <w:color w:val="000000"/>
              </w:rPr>
              <w:t>Извлечени поуки</w:t>
            </w:r>
          </w:p>
          <w:p w14:paraId="1FF1C139" w14:textId="77777777" w:rsidR="00A77B3E" w:rsidRDefault="00AD19A4">
            <w:pPr>
              <w:rPr>
                <w:color w:val="000000"/>
              </w:rPr>
            </w:pPr>
            <w:r>
              <w:rPr>
                <w:color w:val="000000"/>
              </w:rPr>
              <w:t xml:space="preserve">След прилагането на програмата </w:t>
            </w:r>
            <w:r w:rsidR="004B3C80">
              <w:rPr>
                <w:color w:val="000000"/>
              </w:rPr>
              <w:t>ФВС</w:t>
            </w:r>
            <w:r>
              <w:rPr>
                <w:color w:val="000000"/>
              </w:rPr>
              <w:t>-B&amp;V за периода 2014-2020 г. бяха направени някои важни съображения. Програмата е предназначена да осигури механизми за гъвкаво изпълнение на предвидените дейности, както и за пренасочване на финансирането, съобразно променящата се ситуация по време на многогодишния период на изпълнение. Миграционната криза от 2013 г. и ситуацията с COVID-19 показаха необходимостта от бързо въвеждане на нови мерки и дейности за адаптиране към променящите се обстоятелства.</w:t>
            </w:r>
          </w:p>
          <w:p w14:paraId="188E7C87" w14:textId="77777777" w:rsidR="00A77B3E" w:rsidRDefault="00AD19A4">
            <w:pPr>
              <w:rPr>
                <w:color w:val="000000"/>
              </w:rPr>
            </w:pPr>
            <w:r>
              <w:rPr>
                <w:color w:val="000000"/>
              </w:rPr>
              <w:t xml:space="preserve">През 2023 г. междинната оценка на програмата </w:t>
            </w:r>
            <w:r w:rsidR="004B3C80">
              <w:rPr>
                <w:color w:val="000000"/>
              </w:rPr>
              <w:t>ИУГВП</w:t>
            </w:r>
            <w:r>
              <w:rPr>
                <w:color w:val="000000"/>
              </w:rPr>
              <w:t xml:space="preserve"> беше извършена в съответствие с член 44, параграф 5 от Регламент (ЕС) 2021/1060 на Европейския парламент и на Съвета от 24 юни 2021 г.</w:t>
            </w:r>
          </w:p>
          <w:p w14:paraId="2D4C1233" w14:textId="77777777" w:rsidR="00A77B3E" w:rsidRDefault="00AD19A4">
            <w:pPr>
              <w:rPr>
                <w:color w:val="000000"/>
              </w:rPr>
            </w:pPr>
            <w:r>
              <w:rPr>
                <w:color w:val="000000"/>
              </w:rPr>
              <w:t xml:space="preserve">Основната цел на междинната оценка беше да се установи, че регулаторната рамка и одобрената програма по </w:t>
            </w:r>
            <w:r w:rsidR="004B3C80">
              <w:rPr>
                <w:color w:val="000000"/>
              </w:rPr>
              <w:t>ИГУВП</w:t>
            </w:r>
            <w:r>
              <w:rPr>
                <w:color w:val="000000"/>
              </w:rPr>
              <w:t xml:space="preserve"> са подходящи за целта и ще осигурят принос за постигане на поставените цели на разумна цена; подходяща подкрепа за справяне с променящите се нужди; и добавена стойност за ЕС в съответствие с други източници или начини на финансиране. Една от основните цели на междинната оценка е да се направят препоръки за това как да се подобри качеството на съдържанието и изпълнението на програмата </w:t>
            </w:r>
            <w:r w:rsidR="004B3C80">
              <w:rPr>
                <w:color w:val="000000"/>
              </w:rPr>
              <w:t>ИГУВП</w:t>
            </w:r>
            <w:r>
              <w:rPr>
                <w:color w:val="000000"/>
              </w:rPr>
              <w:t>. Разгледани са следните препоръки:</w:t>
            </w:r>
          </w:p>
          <w:p w14:paraId="5A62E91F" w14:textId="77777777" w:rsidR="00A77B3E" w:rsidRDefault="00AD19A4">
            <w:pPr>
              <w:rPr>
                <w:color w:val="000000"/>
              </w:rPr>
            </w:pPr>
            <w:r>
              <w:rPr>
                <w:color w:val="000000"/>
              </w:rPr>
              <w:lastRenderedPageBreak/>
              <w:t>Що се отнася до препоръката за съкращаване на сроковете за одобрение на конкретни дейности чрез законодателни промени в Закона за управление на европейските средства, за да се избегне необходимостта от повторно одобрение на проекти на бенефициенти по конкретни дейности, вече одобрени от ЕК - формулярите за самоуправление, одобрени от Европейската комисия, не съдържат всички необходими данни за сключване на договори с бенефициенти, например подробен бюджет, разходи, план за обществени поръчки и др.</w:t>
            </w:r>
          </w:p>
          <w:p w14:paraId="1F9625C0" w14:textId="77777777" w:rsidR="00A77B3E" w:rsidRDefault="00AD19A4">
            <w:pPr>
              <w:rPr>
                <w:color w:val="000000"/>
              </w:rPr>
            </w:pPr>
            <w:r>
              <w:rPr>
                <w:color w:val="000000"/>
              </w:rPr>
              <w:t>Що се отнася до препоръката за приемане на план, концепция или дори изменение на Националната стратегия за интегрирана система за наблюдение, за да се гарантира устойчивост в развитието и инвестициите в ИНС, както по турската граница, така и по външните граници като цяло, през 2024 г. Главна дирекция „Гранична полиция“ прие Концепция за осигуряване на технически средства за нуждите на ИНС.</w:t>
            </w:r>
          </w:p>
          <w:p w14:paraId="5E330845" w14:textId="77777777" w:rsidR="00A77B3E" w:rsidRDefault="00AD19A4">
            <w:pPr>
              <w:rPr>
                <w:color w:val="000000"/>
              </w:rPr>
            </w:pPr>
            <w:r>
              <w:rPr>
                <w:color w:val="000000"/>
              </w:rPr>
              <w:t xml:space="preserve">С оглед на препоръката за справяне с неотдавнашното премахване на граничния контрол на гръцко-румънската граница, по линия на Норвежкия финансов механизъм 2022-2028 г. ще бъде предложен проект, предложен от Главна дирекция „Гранична полиция“, насочен към въвеждане на компенсаторни мерки, свързани с предотвратяването и противодействието на трансграничната престъпност и незаконната миграция. Друга операция, свързана с развитието на капацитета за провеждане на трансгранично наблюдение, ще бъде финансирана след междинния преглед по програмата </w:t>
            </w:r>
            <w:r w:rsidR="004B3C80">
              <w:rPr>
                <w:color w:val="000000"/>
              </w:rPr>
              <w:t>ФВС</w:t>
            </w:r>
            <w:r>
              <w:rPr>
                <w:color w:val="000000"/>
              </w:rPr>
              <w:t>.</w:t>
            </w:r>
          </w:p>
          <w:p w14:paraId="66D130E1" w14:textId="77777777" w:rsidR="00A77B3E" w:rsidRDefault="00AD19A4">
            <w:pPr>
              <w:rPr>
                <w:color w:val="000000"/>
              </w:rPr>
            </w:pPr>
            <w:r>
              <w:rPr>
                <w:color w:val="000000"/>
              </w:rPr>
              <w:t xml:space="preserve">Относно препоръката за развитие на капацитета за прилагане на хоризонталните принципи, служителите на УО участват в специализирани обучения с външни специалисти-лектори, обмен на опит с други УО в България. Темата е обхваната и от обученията, организирани от УО, насочени към бенефициентите по програмата </w:t>
            </w:r>
            <w:r w:rsidR="004B3C80">
              <w:rPr>
                <w:color w:val="000000"/>
              </w:rPr>
              <w:t>ИГУ</w:t>
            </w:r>
            <w:r>
              <w:rPr>
                <w:color w:val="000000"/>
              </w:rPr>
              <w:t>В. Предвижда се промяна в системата за управление, контрол и контрол на труда (СУК) на УО в посока наемане на консултанти със специфичен опит.</w:t>
            </w:r>
          </w:p>
          <w:p w14:paraId="024D2493" w14:textId="77777777" w:rsidR="00A77B3E" w:rsidRDefault="00AD19A4">
            <w:pPr>
              <w:rPr>
                <w:color w:val="000000"/>
              </w:rPr>
            </w:pPr>
            <w:r>
              <w:rPr>
                <w:color w:val="000000"/>
              </w:rPr>
              <w:t>Относно препоръката за по-целенасочена и мащабна комуникация чрез социалните медии, бяха проведени четири обучения за бенефициентите, изготвени и съобщени са писмени инструкции до бенефициентите за спазване на изискванията за публичност и визуализация. УО е назначил лице, което работи изключително по тези теми. Освен това е нает външен изпълнител, който предоставя услуги, свързани с проектирането и изпълнението на информационни кампании във Facebook.</w:t>
            </w:r>
          </w:p>
          <w:p w14:paraId="6480C00A" w14:textId="77777777" w:rsidR="00A77B3E" w:rsidRDefault="00AD19A4">
            <w:pPr>
              <w:rPr>
                <w:color w:val="000000"/>
              </w:rPr>
            </w:pPr>
            <w:r>
              <w:rPr>
                <w:color w:val="000000"/>
              </w:rPr>
              <w:t xml:space="preserve">По отношение на мерките, предприети за намаляване на административната тежест и рисковете по време на проверката, се прилага базирана на риска проверка, разработена от Управляващия орган и съгласувана с Одитния орган. Други мерки, предприети в тази насока, са въвеждането на опростени варианти за разходите чрез набор от методологии за разходите за персонал по различните операции на </w:t>
            </w:r>
            <w:r w:rsidR="004B3C80">
              <w:rPr>
                <w:color w:val="000000"/>
              </w:rPr>
              <w:t>ИГУ</w:t>
            </w:r>
            <w:r>
              <w:rPr>
                <w:color w:val="000000"/>
              </w:rPr>
              <w:t>В, както и че разходите за управление на бенефициентите ще бъдат част от непреките разходи.</w:t>
            </w:r>
          </w:p>
          <w:p w14:paraId="3A543905" w14:textId="77777777" w:rsidR="00A77B3E" w:rsidRDefault="00AD19A4">
            <w:pPr>
              <w:rPr>
                <w:color w:val="000000"/>
              </w:rPr>
            </w:pPr>
            <w:r>
              <w:rPr>
                <w:color w:val="000000"/>
              </w:rPr>
              <w:t>Препоръката за ясни критерии за насрочване на срещите за наблюдение на напредъка е разгледана, тъй като срещите за наблюдение вече се провеждат само ако УО е установил проблеми по време на изпълнението на определена операция или по искане на бенефициент.</w:t>
            </w:r>
          </w:p>
          <w:p w14:paraId="4C1C492F" w14:textId="77777777" w:rsidR="00A77B3E" w:rsidRDefault="00AD19A4">
            <w:pPr>
              <w:rPr>
                <w:color w:val="000000"/>
              </w:rPr>
            </w:pPr>
            <w:r>
              <w:rPr>
                <w:b/>
                <w:bCs/>
                <w:color w:val="000000"/>
              </w:rPr>
              <w:t>Актуално състояние на прилагането на достиженията на правото на ЕС</w:t>
            </w:r>
          </w:p>
          <w:p w14:paraId="74307E24" w14:textId="77777777" w:rsidR="00A77B3E" w:rsidRDefault="00AD19A4">
            <w:pPr>
              <w:rPr>
                <w:color w:val="000000"/>
              </w:rPr>
            </w:pPr>
            <w:r>
              <w:rPr>
                <w:color w:val="000000"/>
              </w:rPr>
              <w:t>С оглед на прилагането на регламентите за EES и ETIAS, както и на техническите средства, които ще бъдат използвани за функционирането на тези системи, ще е необходимо да се разработи съответното национално законодателство. Въвеждането на правилата на двата регламента ще изисква разширяване на обхвата на условията за влизане, пребиваване и напускане на страната от граждани на трети страни, както и регулиране на дейностите, които ще се извършват от служителите на граничната полиция за целите на двете системи.</w:t>
            </w:r>
          </w:p>
          <w:p w14:paraId="036424C4" w14:textId="77777777" w:rsidR="00A77B3E" w:rsidRDefault="00AD19A4">
            <w:pPr>
              <w:rPr>
                <w:color w:val="000000"/>
              </w:rPr>
            </w:pPr>
            <w:r>
              <w:rPr>
                <w:color w:val="000000"/>
              </w:rPr>
              <w:t>Съгласно разпоредбите на Регламент (ЕС) 2019/817 следва да се установи оперативна съвместимост между информационните системи на ЕС, а именно Системата за влизане/излизане, Висшата информационна система (ВИС), ETIAS, Евродак и ШИС. На национално ниво са създадени няколко междуинституционални работни групи (РГ) за изпълнението на тези задачи – РГ за прилагане на преработения вариант на ШИС; Стратегическа РГ за прилагане на оперативна съвместимост и РГ за разработване на СВИ и ETIAS.</w:t>
            </w:r>
          </w:p>
          <w:p w14:paraId="33E32615" w14:textId="77777777" w:rsidR="00A77B3E" w:rsidRDefault="00AD19A4">
            <w:pPr>
              <w:rPr>
                <w:color w:val="000000"/>
              </w:rPr>
            </w:pPr>
            <w:r>
              <w:rPr>
                <w:color w:val="000000"/>
              </w:rPr>
              <w:t>През юни 2018 г. Съветът по правосъдие и вътрешни работи прие заключения, с които призовава EBCGA, в тясно сътрудничество с държавите членки и ЕК, да разработи техническа и оперативна стратегия за европейско интегрирано управление на границите (</w:t>
            </w:r>
            <w:r w:rsidR="004B3C80">
              <w:rPr>
                <w:color w:val="000000"/>
              </w:rPr>
              <w:t>ИГУ</w:t>
            </w:r>
            <w:r>
              <w:rPr>
                <w:color w:val="000000"/>
              </w:rPr>
              <w:t>).</w:t>
            </w:r>
          </w:p>
          <w:p w14:paraId="2C38B3EB" w14:textId="77777777" w:rsidR="00A77B3E" w:rsidRDefault="00AD19A4">
            <w:pPr>
              <w:rPr>
                <w:color w:val="000000"/>
              </w:rPr>
            </w:pPr>
            <w:r>
              <w:rPr>
                <w:color w:val="000000"/>
              </w:rPr>
              <w:lastRenderedPageBreak/>
              <w:t>На 27 март 2019 г. EBCGA одобри Техническата и оперативна стратегия за европейско интегрирано управление на границите (</w:t>
            </w:r>
            <w:r w:rsidR="004B3C80">
              <w:rPr>
                <w:color w:val="000000"/>
              </w:rPr>
              <w:t>ИГУ</w:t>
            </w:r>
            <w:r>
              <w:rPr>
                <w:color w:val="000000"/>
              </w:rPr>
              <w:t>) в съответствие с чл. 8 (5) от Регламент 2019/1896.</w:t>
            </w:r>
          </w:p>
          <w:p w14:paraId="165B125E" w14:textId="77777777" w:rsidR="00A77B3E" w:rsidRDefault="00AD19A4">
            <w:pPr>
              <w:rPr>
                <w:color w:val="000000"/>
              </w:rPr>
            </w:pPr>
            <w:r>
              <w:rPr>
                <w:color w:val="000000"/>
              </w:rPr>
              <w:t>След тези документи, на 30 октомври 2020 г. Министерският съвет на България прие Националната стратегия за интегрирано управление на границите (</w:t>
            </w:r>
            <w:r w:rsidR="004B3C80">
              <w:rPr>
                <w:color w:val="000000"/>
              </w:rPr>
              <w:t>ИГУ</w:t>
            </w:r>
            <w:r>
              <w:rPr>
                <w:color w:val="000000"/>
              </w:rPr>
              <w:t>) на България за периода 2020-2025 г. Стратегията беше разработена от Стратегическа работна група към Националния съвет по миграция, граници, убежище и интеграция.</w:t>
            </w:r>
          </w:p>
          <w:p w14:paraId="3EDC6B60" w14:textId="77777777" w:rsidR="00A77B3E" w:rsidRDefault="00AD19A4">
            <w:pPr>
              <w:rPr>
                <w:color w:val="000000"/>
              </w:rPr>
            </w:pPr>
            <w:r>
              <w:rPr>
                <w:color w:val="000000"/>
              </w:rPr>
              <w:t>Стратегията е изготвена в съответствие с Техническата и оперативна стратегия за европейско интегрирано управление на границите (</w:t>
            </w:r>
            <w:r w:rsidR="004B3C80">
              <w:rPr>
                <w:color w:val="000000"/>
              </w:rPr>
              <w:t>ИГУ</w:t>
            </w:r>
            <w:r>
              <w:rPr>
                <w:color w:val="000000"/>
              </w:rPr>
              <w:t xml:space="preserve">). Тя следва европейския четириетапен модел на </w:t>
            </w:r>
            <w:r w:rsidR="004B3C80">
              <w:rPr>
                <w:color w:val="000000"/>
              </w:rPr>
              <w:t>ИГУ</w:t>
            </w:r>
            <w:r>
              <w:rPr>
                <w:color w:val="000000"/>
              </w:rPr>
              <w:t xml:space="preserve"> за контрол на достъпа и стратегически компоненти. В допълнение към основните компоненти, стратегията обхваща и трите хоризонтални теми: основни права, образование и обучение и научни изследвания и иновации.</w:t>
            </w:r>
          </w:p>
          <w:p w14:paraId="291029CD" w14:textId="77777777" w:rsidR="00A77B3E" w:rsidRDefault="00AD19A4">
            <w:pPr>
              <w:rPr>
                <w:color w:val="000000"/>
              </w:rPr>
            </w:pPr>
            <w:r>
              <w:rPr>
                <w:color w:val="000000"/>
              </w:rPr>
              <w:t>Стратегията определя две основни стратегически цели относно техническото осигуряване на граничния контрол:</w:t>
            </w:r>
          </w:p>
          <w:p w14:paraId="6C2074D6" w14:textId="77777777" w:rsidR="00A77B3E" w:rsidRDefault="00AD19A4">
            <w:pPr>
              <w:rPr>
                <w:color w:val="000000"/>
              </w:rPr>
            </w:pPr>
            <w:r>
              <w:rPr>
                <w:color w:val="000000"/>
              </w:rPr>
              <w:t>- Модернизиране на наличните технически възможности за наблюдение на границите чрез изграждане и поддръжка на МКС, придобиване на ново и модернизиране на съществуващото техническо и оперативно оборудване, доразвиване на възможностите за въздушно наблюдение с помощта на пилотирани и безпилотни летателни апарати.</w:t>
            </w:r>
          </w:p>
          <w:p w14:paraId="342F2E01" w14:textId="77777777" w:rsidR="00A77B3E" w:rsidRDefault="00AD19A4">
            <w:pPr>
              <w:rPr>
                <w:color w:val="000000"/>
              </w:rPr>
            </w:pPr>
            <w:r>
              <w:rPr>
                <w:color w:val="000000"/>
              </w:rPr>
              <w:t>- Разработване, внедряване и ефикасно използване на технически решения и системи за постигане на надеждни и ефективни гранични проверки.</w:t>
            </w:r>
          </w:p>
          <w:p w14:paraId="1104A45F" w14:textId="77777777" w:rsidR="00A77B3E" w:rsidRDefault="00AD19A4">
            <w:pPr>
              <w:rPr>
                <w:color w:val="000000"/>
              </w:rPr>
            </w:pPr>
            <w:r>
              <w:rPr>
                <w:color w:val="000000"/>
              </w:rPr>
              <w:t>Изпълнението на Стратегията ще гарантира, че граничният контрол е в пълно съответствие с разпоредбите и изискванията на ЕС и достиженията на правото от Шенген, с цел гарантиране на сигурността не само на границите на България, но и допринасяне за сигурността на другите държави-членки на ЕС. България ще даде приоритет на мерките за управление на границите, като вземе предвид вероятното развитие на законодателната рамка, ако е приложимо.</w:t>
            </w:r>
          </w:p>
          <w:p w14:paraId="7A229957" w14:textId="77777777" w:rsidR="00A77B3E" w:rsidRDefault="00AD19A4">
            <w:pPr>
              <w:rPr>
                <w:color w:val="000000"/>
              </w:rPr>
            </w:pPr>
            <w:r>
              <w:rPr>
                <w:color w:val="000000"/>
              </w:rPr>
              <w:t>Според Националната стратегия за интегрирано управление на границите (</w:t>
            </w:r>
            <w:r w:rsidR="004B3C80">
              <w:rPr>
                <w:color w:val="000000"/>
              </w:rPr>
              <w:t>ИГУ</w:t>
            </w:r>
            <w:r>
              <w:rPr>
                <w:color w:val="000000"/>
              </w:rPr>
              <w:t>), осигуряването на защитата на основните права е основен принцип, залегнал в основата на управлението на границите и дейностите, извършвани от длъжностните лица на отговорните институции на национално ниво. Стратегията предвижда прилагането на правила за защита на данните при извършване на контрол по външните граници на ЕС, за да се предотврати незаконно влизане в страната и да се защити правото на убежище и принципът на забрана за връщане (членове 18 и 19 от Хартата на основните права на ЕС).</w:t>
            </w:r>
          </w:p>
          <w:p w14:paraId="1C618DBA" w14:textId="77777777" w:rsidR="00A77B3E" w:rsidRDefault="00AD19A4">
            <w:pPr>
              <w:rPr>
                <w:color w:val="000000"/>
              </w:rPr>
            </w:pPr>
            <w:r>
              <w:rPr>
                <w:color w:val="000000"/>
              </w:rPr>
              <w:t>След съобщението на Комисията от 14 март 2023 г. за установяване на многогодишната стратегическа политика, на 26 март 2025 г. Министерският съвет прие нова Национална стратегия за интегрирано управление на границите за периода 2024-2027 г.</w:t>
            </w:r>
          </w:p>
          <w:p w14:paraId="6586DA6E" w14:textId="77777777" w:rsidR="00A77B3E" w:rsidRDefault="00AD19A4">
            <w:pPr>
              <w:rPr>
                <w:color w:val="000000"/>
              </w:rPr>
            </w:pPr>
            <w:r>
              <w:rPr>
                <w:b/>
                <w:bCs/>
                <w:color w:val="000000"/>
              </w:rPr>
              <w:t>Стратегия 2021-2027</w:t>
            </w:r>
          </w:p>
          <w:p w14:paraId="0176A134" w14:textId="77777777" w:rsidR="00A77B3E" w:rsidRDefault="00AD19A4">
            <w:pPr>
              <w:rPr>
                <w:color w:val="000000"/>
              </w:rPr>
            </w:pPr>
            <w:r>
              <w:rPr>
                <w:color w:val="000000"/>
              </w:rPr>
              <w:t xml:space="preserve">Програмата </w:t>
            </w:r>
            <w:r w:rsidR="004B3C80">
              <w:rPr>
                <w:color w:val="000000"/>
              </w:rPr>
              <w:t>ИУГВП</w:t>
            </w:r>
            <w:r>
              <w:rPr>
                <w:color w:val="000000"/>
              </w:rPr>
              <w:t xml:space="preserve"> ще осигури подкрепа в рамките на двете СЦ.</w:t>
            </w:r>
          </w:p>
          <w:p w14:paraId="3F13094E" w14:textId="77777777" w:rsidR="00A77B3E" w:rsidRDefault="004B3C80">
            <w:pPr>
              <w:rPr>
                <w:color w:val="000000"/>
              </w:rPr>
            </w:pPr>
            <w:r>
              <w:rPr>
                <w:color w:val="000000"/>
              </w:rPr>
              <w:t>ИГУВП</w:t>
            </w:r>
            <w:r w:rsidR="00AD19A4">
              <w:rPr>
                <w:color w:val="000000"/>
              </w:rPr>
              <w:t xml:space="preserve"> ще предостави подкрепа за продължаване и по-нататъшно развитие на усилията за осигуряване на по-ефективна и ефикасна защита на външните граници. Ще бъдат подкрепяни и доразвивани мерки, свързани със систематични гранични проверки и въвеждането на широкомащабни и оперативно съвместими информационни системи, включително ШИС, Системата за влизане/излизане и ETIAS.</w:t>
            </w:r>
          </w:p>
          <w:p w14:paraId="5858BEC4" w14:textId="77777777" w:rsidR="00A77B3E" w:rsidRDefault="004B3C80">
            <w:pPr>
              <w:rPr>
                <w:color w:val="000000"/>
              </w:rPr>
            </w:pPr>
            <w:r>
              <w:rPr>
                <w:color w:val="000000"/>
              </w:rPr>
              <w:t>ИГУВП</w:t>
            </w:r>
            <w:r w:rsidR="00AD19A4">
              <w:rPr>
                <w:color w:val="000000"/>
              </w:rPr>
              <w:t xml:space="preserve"> ще допринесе за изпълнението на Националната стратегия за интегрирано управление на границите (ИГМ), като подкрепя мерки, свързани със СВС, технически и оперативни възможности за гранични проверки и наблюдение, инфраструктура за граничен контрол, широкомащабни ИКТ системи, обучение на персонал и др. Ще бъде инвестирано и национално финансиране.</w:t>
            </w:r>
          </w:p>
          <w:p w14:paraId="5F9B4ACE" w14:textId="77777777" w:rsidR="00A77B3E" w:rsidRDefault="00AD19A4">
            <w:pPr>
              <w:rPr>
                <w:color w:val="000000"/>
              </w:rPr>
            </w:pPr>
            <w:r>
              <w:rPr>
                <w:color w:val="000000"/>
              </w:rPr>
              <w:t xml:space="preserve">Инструментът ще осигури по-нататъшното развитие и модернизиране на визовата политика, като същевременно ще засили сигурността и ще намали рисковете от незаконна миграция. По отношение на NVIS финансирането от </w:t>
            </w:r>
            <w:r w:rsidR="004B3C80">
              <w:rPr>
                <w:color w:val="000000"/>
              </w:rPr>
              <w:t>ИУГВП</w:t>
            </w:r>
            <w:r>
              <w:rPr>
                <w:color w:val="000000"/>
              </w:rPr>
              <w:t xml:space="preserve"> ще бъде комбинирано със собствено национално финансиране, поради наличието на смесено използване на услуги, предоставяни чрез системата.</w:t>
            </w:r>
          </w:p>
          <w:p w14:paraId="6391A65D" w14:textId="77777777" w:rsidR="00A77B3E" w:rsidRDefault="00AD19A4">
            <w:pPr>
              <w:rPr>
                <w:color w:val="000000"/>
              </w:rPr>
            </w:pPr>
            <w:r>
              <w:rPr>
                <w:color w:val="000000"/>
              </w:rPr>
              <w:t xml:space="preserve">Изпълнението на всички основни приоритети на </w:t>
            </w:r>
            <w:r w:rsidR="004B3C80">
              <w:rPr>
                <w:color w:val="000000"/>
              </w:rPr>
              <w:t>ФВС</w:t>
            </w:r>
            <w:r>
              <w:rPr>
                <w:color w:val="000000"/>
              </w:rPr>
              <w:t>-</w:t>
            </w:r>
            <w:r w:rsidR="004B3C80">
              <w:rPr>
                <w:color w:val="000000"/>
              </w:rPr>
              <w:t>ГРАНИЦИ И ВИЗИ</w:t>
            </w:r>
            <w:r w:rsidR="004B3C80">
              <w:rPr>
                <w:color w:val="000000"/>
                <w:lang w:val="bg-BG"/>
              </w:rPr>
              <w:t xml:space="preserve"> </w:t>
            </w:r>
            <w:r>
              <w:rPr>
                <w:color w:val="000000"/>
              </w:rPr>
              <w:t xml:space="preserve">ще продължи в рамките на </w:t>
            </w:r>
            <w:r w:rsidR="004B3C80">
              <w:rPr>
                <w:color w:val="000000"/>
              </w:rPr>
              <w:t>ИГУВП</w:t>
            </w:r>
            <w:r>
              <w:rPr>
                <w:color w:val="000000"/>
              </w:rPr>
              <w:t>. Тези мерки са изпълнени успешно и тяхното продължаване се счита за необходимо за осигуряване на ефективен граничен контрол и визова политика.</w:t>
            </w:r>
          </w:p>
          <w:p w14:paraId="65A81C58" w14:textId="77777777" w:rsidR="00A77B3E" w:rsidRDefault="00AD19A4">
            <w:pPr>
              <w:rPr>
                <w:color w:val="000000"/>
              </w:rPr>
            </w:pPr>
            <w:r>
              <w:rPr>
                <w:color w:val="000000"/>
              </w:rPr>
              <w:t xml:space="preserve">Допълването и координацията с други инструменти за финансиране ще бъдат осигурени на национално ниво. ИГВМ ще бъде основният инструмент за предоставяне на подкрепа за </w:t>
            </w:r>
            <w:r>
              <w:rPr>
                <w:color w:val="000000"/>
              </w:rPr>
              <w:lastRenderedPageBreak/>
              <w:t>оперативното, ИТ оборудването и комуникационните системи, необходими за ефективен и сигурен граничен контрол. Ще се търсят синергии с Плана за възстановяване и устойчивост на България, програмите Interreg, ЕФРР и Инструмента за оборудване за митнически контрол (CCEI) по отношение на мерките, свързани с оборудването и инфраструктурата за граничен контрол.</w:t>
            </w:r>
          </w:p>
          <w:p w14:paraId="7D543EA5" w14:textId="77777777" w:rsidR="00A77B3E" w:rsidRDefault="00AD19A4">
            <w:pPr>
              <w:rPr>
                <w:color w:val="000000"/>
              </w:rPr>
            </w:pPr>
            <w:r>
              <w:rPr>
                <w:color w:val="000000"/>
              </w:rPr>
              <w:t xml:space="preserve">По-нататъшното развитие на NSIS, както и обучението на персонала за работа с новите продукти (софтуер и хардуер), ще бъдат финансирани по програмата </w:t>
            </w:r>
            <w:r w:rsidR="004B3C80">
              <w:rPr>
                <w:color w:val="000000"/>
              </w:rPr>
              <w:t>ИУГВП</w:t>
            </w:r>
            <w:r>
              <w:rPr>
                <w:color w:val="000000"/>
              </w:rPr>
              <w:t>.</w:t>
            </w:r>
          </w:p>
          <w:p w14:paraId="23F4489D" w14:textId="77777777" w:rsidR="00A77B3E" w:rsidRDefault="00AD19A4">
            <w:pPr>
              <w:rPr>
                <w:color w:val="000000"/>
              </w:rPr>
            </w:pPr>
            <w:r>
              <w:rPr>
                <w:color w:val="000000"/>
              </w:rPr>
              <w:t xml:space="preserve">Функционалностите и операциите на националните системи на Министерството на вътрешните работи, които осигуряват функционирането на НСИС, като например Национален полицейски регистър, Бюлетин на автоматизираната информационна система, Оперативен документ на автоматизираната информационна система, Оперативен анализ на автоматизираната информационна система, Автоматизирана информационна система EUROPOL BG, Географски информационни системи на МВР, ще бъдат допълнително развити и/или поддържани по програмата </w:t>
            </w:r>
            <w:r w:rsidR="004B3C80">
              <w:rPr>
                <w:color w:val="000000"/>
              </w:rPr>
              <w:t>ФВС</w:t>
            </w:r>
            <w:r>
              <w:rPr>
                <w:color w:val="000000"/>
              </w:rPr>
              <w:t>.</w:t>
            </w:r>
          </w:p>
          <w:p w14:paraId="6D926E7F" w14:textId="77777777" w:rsidR="00A77B3E" w:rsidRDefault="00AD19A4">
            <w:pPr>
              <w:rPr>
                <w:color w:val="000000"/>
              </w:rPr>
            </w:pPr>
            <w:r>
              <w:rPr>
                <w:color w:val="000000"/>
              </w:rPr>
              <w:t xml:space="preserve">България ще използва приноса от фондовете по двете специални цели на програмата </w:t>
            </w:r>
            <w:r w:rsidR="004B3C80">
              <w:rPr>
                <w:color w:val="000000"/>
              </w:rPr>
              <w:t>ИГУ</w:t>
            </w:r>
            <w:r>
              <w:rPr>
                <w:color w:val="000000"/>
              </w:rPr>
              <w:t>В, за да предостави подкрепа на бенефициентите под формата на безвъзмездни средства. Финансови инструменти и награди няма да бъдат използвани.</w:t>
            </w:r>
          </w:p>
          <w:p w14:paraId="25A5F892" w14:textId="77777777" w:rsidR="00A77B3E" w:rsidRDefault="00AD19A4">
            <w:pPr>
              <w:rPr>
                <w:color w:val="000000"/>
              </w:rPr>
            </w:pPr>
            <w:r>
              <w:rPr>
                <w:color w:val="000000"/>
              </w:rPr>
              <w:t xml:space="preserve">Партньорството е основен принцип и по отношение на подготовката на програмата </w:t>
            </w:r>
            <w:r w:rsidR="004B3C80">
              <w:rPr>
                <w:color w:val="000000"/>
              </w:rPr>
              <w:t>ИУГВП</w:t>
            </w:r>
            <w:r>
              <w:rPr>
                <w:color w:val="000000"/>
              </w:rPr>
              <w:t xml:space="preserve"> за периода 2021-2027 г. Освен заинтересованите страни, участващи в координацията и изпълнението на </w:t>
            </w:r>
            <w:r w:rsidR="004B3C80">
              <w:rPr>
                <w:color w:val="000000"/>
              </w:rPr>
              <w:t>ФВС</w:t>
            </w:r>
            <w:r>
              <w:rPr>
                <w:color w:val="000000"/>
              </w:rPr>
              <w:t xml:space="preserve"> 2014-2020 г., в процеса на подготовка на следващия програмен период бяха включени и нови, с цел постигане на най-добро представителство на съответните заинтересовани страни. Събрани бяха идеи за проекти и проведени широки дискусии с цел включване на адекватни отговори на националните предизвикателства в програмата </w:t>
            </w:r>
            <w:r w:rsidR="004B3C80">
              <w:rPr>
                <w:color w:val="000000"/>
              </w:rPr>
              <w:t>ИУГВП</w:t>
            </w:r>
            <w:r>
              <w:rPr>
                <w:color w:val="000000"/>
              </w:rPr>
              <w:t xml:space="preserve">. Проектопрограмата е консултирана с участващите заинтересовани страни на всички етапи от нейната подготовка и отразява насоките на ЕК. Това сътрудничество и взаимодействие ще продължи и по време на изпълнението на програмата </w:t>
            </w:r>
            <w:r w:rsidR="004B3C80">
              <w:rPr>
                <w:color w:val="000000"/>
              </w:rPr>
              <w:t>ИУГВП</w:t>
            </w:r>
            <w:r>
              <w:rPr>
                <w:color w:val="000000"/>
              </w:rPr>
              <w:t>.</w:t>
            </w:r>
          </w:p>
          <w:p w14:paraId="6B3DCB62" w14:textId="77777777" w:rsidR="00A77B3E" w:rsidRDefault="00AD19A4">
            <w:pPr>
              <w:rPr>
                <w:color w:val="000000"/>
              </w:rPr>
            </w:pPr>
            <w:r>
              <w:rPr>
                <w:color w:val="000000"/>
              </w:rPr>
              <w:t>Предвидените дейности са в съответствие със стандартите и приоритетите на Съюза в областта на климата и околната среда и не биха нанесли съществена вреда на екологичните цели по смисъла на член 17 от Регламент (ЕС) № 2020/852.</w:t>
            </w:r>
          </w:p>
          <w:p w14:paraId="3CB06058" w14:textId="77777777" w:rsidR="00A77B3E" w:rsidRDefault="00AD19A4">
            <w:pPr>
              <w:rPr>
                <w:color w:val="000000"/>
              </w:rPr>
            </w:pPr>
            <w:r>
              <w:rPr>
                <w:color w:val="000000"/>
              </w:rPr>
              <w:t xml:space="preserve">Програмата </w:t>
            </w:r>
            <w:r w:rsidR="004B3C80">
              <w:rPr>
                <w:color w:val="000000"/>
              </w:rPr>
              <w:t>ИУГВП</w:t>
            </w:r>
            <w:r>
              <w:rPr>
                <w:color w:val="000000"/>
              </w:rPr>
              <w:t xml:space="preserve"> дава приоритет на мерките, насочени към справяне с всички нерешени недостатъци, установени в препоръките на Оценката на уязвимостта/Sch-Eval.</w:t>
            </w:r>
          </w:p>
          <w:p w14:paraId="556CDF9E" w14:textId="77777777" w:rsidR="00A77B3E" w:rsidRDefault="00AD19A4">
            <w:pPr>
              <w:rPr>
                <w:color w:val="000000"/>
              </w:rPr>
            </w:pPr>
            <w:r>
              <w:rPr>
                <w:color w:val="000000"/>
              </w:rPr>
              <w:t>Мерки, свързани с дигитализацията на пътните документи в ЕС, изграждането и, където е уместно, модернизирането и функционирането на информационните системи на ЕС в областта на управлението на границите, ще бъдат финансирани по програмата.</w:t>
            </w:r>
          </w:p>
          <w:p w14:paraId="4CCB8D75" w14:textId="77777777" w:rsidR="00A77B3E" w:rsidRDefault="00AD19A4">
            <w:pPr>
              <w:rPr>
                <w:color w:val="000000"/>
              </w:rPr>
            </w:pPr>
            <w:r>
              <w:rPr>
                <w:color w:val="000000"/>
              </w:rPr>
              <w:t>Националният съвет по миграция, граници, убежище и интеграция е основният политически орган, отговорен за цялостното наблюдение и координация на дейностите, свързани с подготовката на България за прилагането на Пакта на ЕС за миграция и убежище. Като външна граница на ЕС, България е изправена пред необходимостта да създаде адекватен капацитет и да подобри съществуващата система за управление на миграцията, за да изпълни новите задачи, произтичащи от Пакта. Това включва мерки за развитие на капацитет и инфраструктура за скрининг на граждани на трети страни, както на границата, така и в страната, процедури за предоставяне на убежище и връщане на границата, както и за повишаване на ефективността и устойчивостта на връщанията, намаляване на стимулите за незаконна миграция, адаптиране на националната система за идентификация на пръстови отпечатъци EURODAC към настоящите изисквания на законодателството на ЕС и др. Необходими са допълнителни мерки за предоставяне на правни консултации по чл. 21 от AMMR и чл. 16 от APR, както и за надграждане на съществуващите механизми за наблюдение на спазването на основните права до независим механизъм за наблюдение по Регламента за скрининг с водеща роля на омбудсмана. България е поела ангажимент да работи за подобряване на своята политика за интеграция. Всички заинтересовани страни ще бъдат поканени да поемат по-силен ангажимент и да разработят по-добра обща рамка за мерки за интеграция, свързани с прилагането на Пакта.</w:t>
            </w:r>
          </w:p>
          <w:p w14:paraId="37FEB246" w14:textId="77777777" w:rsidR="00A77B3E" w:rsidRDefault="00AD19A4">
            <w:pPr>
              <w:rPr>
                <w:color w:val="000000"/>
              </w:rPr>
            </w:pPr>
            <w:r>
              <w:rPr>
                <w:color w:val="000000"/>
              </w:rPr>
              <w:t xml:space="preserve">Разходите, предвидени за подготовката и прилагането на Пакта, са в съответствие с нуждите/приоритетите, определени в Националния план за изпълнение (НИП). Нуждите, включени в НИП, са приоритизирани от компетентните български органи. Най-спешните/важни разходи са предвидени в рамките на Специфичното действие. Те включват мерки по BB1 до BB2 </w:t>
            </w:r>
            <w:r>
              <w:rPr>
                <w:color w:val="000000"/>
              </w:rPr>
              <w:lastRenderedPageBreak/>
              <w:t xml:space="preserve">от Плана. Управляващият орган на България за ФУМИ и </w:t>
            </w:r>
            <w:r w:rsidR="004B3C80">
              <w:rPr>
                <w:color w:val="000000"/>
              </w:rPr>
              <w:t>ИГУВП</w:t>
            </w:r>
            <w:r>
              <w:rPr>
                <w:color w:val="000000"/>
              </w:rPr>
              <w:t xml:space="preserve"> (Интегрирания парламент, домове, интеграции и информационни технологии) предостави подкрепа за обобщаване на предложенията за финансиране, проверка спрямо мерките от Плана и определяне на правилния източник на финансиране, съответния вид интервенция и др. Тъй като финансирането, отпуснато на България по Специфичното действие, не е достатъчно, за да покрие всички нужди по НИП, ще се търси друго финансиране, включително национално, за да се покрие част от мерките. Такива мерки са разходи за персонал, обучение, устен превод и др. Национално финансиране ще се търси и за допълнителни задължения, свързани с правни консултации и независимия механизъм за наблюдение. С Решение на Народното събрание от 18 юли 2025 г. беше избран омбудсман на Република България. Ще бъдат разгледани допълнителни действия за създаване на независим механизъм за наблюдение на основните права при прилагането на Пакта на ЕС за миграция и убежище, както и изменения в Закона за омбудсмана.</w:t>
            </w:r>
          </w:p>
          <w:p w14:paraId="4109E911" w14:textId="77777777" w:rsidR="00A77B3E" w:rsidRDefault="00A77B3E">
            <w:pPr>
              <w:rPr>
                <w:color w:val="000000"/>
                <w:sz w:val="6"/>
              </w:rPr>
            </w:pPr>
          </w:p>
          <w:p w14:paraId="343F0F83" w14:textId="77777777" w:rsidR="00A77B3E" w:rsidRDefault="00A77B3E">
            <w:pPr>
              <w:rPr>
                <w:color w:val="000000"/>
                <w:sz w:val="6"/>
              </w:rPr>
            </w:pPr>
          </w:p>
        </w:tc>
      </w:tr>
    </w:tbl>
    <w:p w14:paraId="0AF2F875" w14:textId="77777777" w:rsidR="00A77B3E" w:rsidRDefault="00A77B3E">
      <w:pPr>
        <w:rPr>
          <w:color w:val="000000"/>
        </w:rPr>
        <w:sectPr w:rsidR="00A77B3E">
          <w:headerReference w:type="even" r:id="rId8"/>
          <w:headerReference w:type="default" r:id="rId9"/>
          <w:footerReference w:type="even" r:id="rId10"/>
          <w:footerReference w:type="default" r:id="rId11"/>
          <w:headerReference w:type="first" r:id="rId12"/>
          <w:footerReference w:type="first" r:id="rId13"/>
          <w:pgSz w:w="11906" w:h="16838"/>
          <w:pgMar w:top="720" w:right="936" w:bottom="864" w:left="720" w:header="0" w:footer="72" w:gutter="0"/>
          <w:cols w:space="720"/>
          <w:noEndnote/>
          <w:docGrid w:linePitch="360"/>
        </w:sectPr>
      </w:pPr>
    </w:p>
    <w:p w14:paraId="26325EEC" w14:textId="77777777" w:rsidR="00A77B3E" w:rsidRDefault="00AD19A4">
      <w:pPr>
        <w:pStyle w:val="Heading1"/>
        <w:spacing w:before="100" w:after="0"/>
        <w:rPr>
          <w:rFonts w:ascii="Times New Roman" w:hAnsi="Times New Roman" w:cs="Times New Roman"/>
          <w:b w:val="0"/>
          <w:color w:val="000000"/>
          <w:sz w:val="24"/>
        </w:rPr>
      </w:pPr>
      <w:bookmarkStart w:id="1" w:name="_Toc256000049"/>
      <w:r>
        <w:rPr>
          <w:rFonts w:ascii="Times New Roman" w:hAnsi="Times New Roman" w:cs="Times New Roman"/>
          <w:b w:val="0"/>
          <w:color w:val="000000"/>
          <w:sz w:val="24"/>
        </w:rPr>
        <w:lastRenderedPageBreak/>
        <w:t>2. Специфични цели и техническа помощ</w:t>
      </w:r>
      <w:bookmarkEnd w:id="1"/>
    </w:p>
    <w:p w14:paraId="757042F9" w14:textId="77777777" w:rsidR="00A77B3E" w:rsidRDefault="00A77B3E">
      <w:pPr>
        <w:spacing w:before="100"/>
        <w:rPr>
          <w:color w:val="000000"/>
          <w:sz w:val="0"/>
        </w:rPr>
      </w:pPr>
    </w:p>
    <w:p w14:paraId="6EC62FFB" w14:textId="77777777" w:rsidR="00A77B3E" w:rsidRDefault="00AD19A4">
      <w:pPr>
        <w:spacing w:before="100"/>
        <w:rPr>
          <w:color w:val="000000"/>
          <w:sz w:val="12"/>
        </w:rPr>
      </w:pPr>
      <w:r>
        <w:rPr>
          <w:color w:val="000000"/>
        </w:rPr>
        <w:t>Позоваване: Член 22(2) и (4) от РОР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120"/>
        <w:gridCol w:w="2560"/>
      </w:tblGrid>
      <w:tr w:rsidR="00FE6FD5" w14:paraId="13C87C68" w14:textId="77777777">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2BB52E" w14:textId="77777777" w:rsidR="00A77B3E" w:rsidRDefault="00AD19A4">
            <w:pPr>
              <w:spacing w:before="100"/>
              <w:jc w:val="center"/>
              <w:rPr>
                <w:color w:val="000000"/>
              </w:rPr>
            </w:pPr>
            <w:r>
              <w:rPr>
                <w:color w:val="000000"/>
              </w:rPr>
              <w:t>Избрано</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D28F6F" w14:textId="77777777" w:rsidR="00A77B3E" w:rsidRDefault="00AD19A4">
            <w:pPr>
              <w:spacing w:before="100"/>
              <w:jc w:val="center"/>
              <w:rPr>
                <w:color w:val="000000"/>
              </w:rPr>
            </w:pPr>
            <w:r>
              <w:rPr>
                <w:color w:val="000000"/>
              </w:rPr>
              <w:t>Специфична цел или техническа помощ</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57A7A" w14:textId="77777777" w:rsidR="00A77B3E" w:rsidRDefault="00AD19A4">
            <w:pPr>
              <w:spacing w:before="100"/>
              <w:jc w:val="center"/>
              <w:rPr>
                <w:color w:val="000000"/>
              </w:rPr>
            </w:pPr>
            <w:r>
              <w:rPr>
                <w:color w:val="000000"/>
              </w:rPr>
              <w:t>Вид действие</w:t>
            </w:r>
          </w:p>
        </w:tc>
      </w:tr>
      <w:tr w:rsidR="00FE6FD5" w14:paraId="38742DC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94C58"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2860A"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CFEB4" w14:textId="77777777" w:rsidR="00A77B3E" w:rsidRDefault="00AD19A4">
            <w:pPr>
              <w:spacing w:before="100"/>
              <w:rPr>
                <w:color w:val="000000"/>
              </w:rPr>
            </w:pPr>
            <w:r>
              <w:rPr>
                <w:color w:val="000000"/>
              </w:rPr>
              <w:t>Редовни действия</w:t>
            </w:r>
          </w:p>
        </w:tc>
      </w:tr>
      <w:tr w:rsidR="00FE6FD5" w14:paraId="524A27F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0C5AAB"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F413D"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76A950" w14:textId="77777777" w:rsidR="00A77B3E" w:rsidRDefault="00AD19A4">
            <w:pPr>
              <w:spacing w:before="100"/>
              <w:rPr>
                <w:color w:val="000000"/>
              </w:rPr>
            </w:pPr>
            <w:r>
              <w:rPr>
                <w:color w:val="000000"/>
              </w:rPr>
              <w:t>Конкретни действия</w:t>
            </w:r>
          </w:p>
        </w:tc>
      </w:tr>
      <w:tr w:rsidR="00FE6FD5" w14:paraId="6249762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C40FF"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61954"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86892E" w14:textId="77777777" w:rsidR="00A77B3E" w:rsidRDefault="00AD19A4">
            <w:pPr>
              <w:spacing w:before="100"/>
              <w:rPr>
                <w:color w:val="000000"/>
              </w:rPr>
            </w:pPr>
            <w:r>
              <w:rPr>
                <w:color w:val="000000"/>
              </w:rPr>
              <w:t>Действия по приложение IV</w:t>
            </w:r>
          </w:p>
        </w:tc>
      </w:tr>
      <w:tr w:rsidR="00FE6FD5" w14:paraId="3FEFD8C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46010B"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A2E528"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3DE10E" w14:textId="77777777" w:rsidR="00A77B3E" w:rsidRDefault="00AD19A4">
            <w:pPr>
              <w:spacing w:before="100"/>
              <w:rPr>
                <w:color w:val="000000"/>
              </w:rPr>
            </w:pPr>
            <w:r>
              <w:rPr>
                <w:color w:val="000000"/>
              </w:rPr>
              <w:t>Оперативна поддръжка</w:t>
            </w:r>
          </w:p>
        </w:tc>
      </w:tr>
      <w:tr w:rsidR="00FE6FD5" w14:paraId="0B5B8A0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B8249" w14:textId="77777777" w:rsidR="00A77B3E" w:rsidRDefault="00AD19A4">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2155F"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A91E2" w14:textId="77777777" w:rsidR="00A77B3E" w:rsidRDefault="00AD19A4">
            <w:pPr>
              <w:spacing w:before="100"/>
              <w:rPr>
                <w:color w:val="000000"/>
              </w:rPr>
            </w:pPr>
            <w:r>
              <w:rPr>
                <w:color w:val="000000"/>
              </w:rPr>
              <w:t>СТС</w:t>
            </w:r>
          </w:p>
        </w:tc>
      </w:tr>
      <w:tr w:rsidR="00FE6FD5" w14:paraId="31C7BE96"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CB235B" w14:textId="77777777" w:rsidR="00A77B3E" w:rsidRDefault="00AD19A4">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183AB7"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16476" w14:textId="77777777" w:rsidR="00A77B3E" w:rsidRDefault="00AD19A4">
            <w:pPr>
              <w:spacing w:before="100"/>
              <w:rPr>
                <w:color w:val="000000"/>
              </w:rPr>
            </w:pPr>
            <w:r>
              <w:rPr>
                <w:color w:val="000000"/>
              </w:rPr>
              <w:t>Спешна помощ</w:t>
            </w:r>
          </w:p>
        </w:tc>
      </w:tr>
      <w:tr w:rsidR="00FE6FD5" w14:paraId="2EDA1F2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7516A"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B2FF2"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B01A0" w14:textId="77777777" w:rsidR="00A77B3E" w:rsidRDefault="00AD19A4">
            <w:pPr>
              <w:spacing w:before="100"/>
              <w:rPr>
                <w:color w:val="000000"/>
              </w:rPr>
            </w:pPr>
            <w:r>
              <w:rPr>
                <w:color w:val="000000"/>
              </w:rPr>
              <w:t>Член 85(2) от Регламента за ETIAS</w:t>
            </w:r>
          </w:p>
        </w:tc>
      </w:tr>
      <w:tr w:rsidR="00FE6FD5" w14:paraId="3785A94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93B30"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906021"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4949A" w14:textId="77777777" w:rsidR="00A77B3E" w:rsidRDefault="00AD19A4">
            <w:pPr>
              <w:spacing w:before="100"/>
              <w:rPr>
                <w:color w:val="000000"/>
              </w:rPr>
            </w:pPr>
            <w:r>
              <w:rPr>
                <w:color w:val="000000"/>
              </w:rPr>
              <w:t>Член 85(3) от Регламента за ETIAS</w:t>
            </w:r>
          </w:p>
        </w:tc>
      </w:tr>
      <w:tr w:rsidR="00FE6FD5" w14:paraId="02ACAE5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BFC56"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C262A" w14:textId="77777777" w:rsidR="00A77B3E" w:rsidRDefault="00AD19A4">
            <w:pPr>
              <w:spacing w:before="100"/>
              <w:rPr>
                <w:color w:val="000000"/>
              </w:rPr>
            </w:pPr>
            <w:r>
              <w:rPr>
                <w:color w:val="000000"/>
              </w:rPr>
              <w:t>1. Европейско интегрирано управление на границите</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E0F891" w14:textId="77777777" w:rsidR="00A77B3E" w:rsidRDefault="00AD19A4">
            <w:pPr>
              <w:spacing w:before="100"/>
              <w:rPr>
                <w:color w:val="000000"/>
              </w:rPr>
            </w:pPr>
            <w:r>
              <w:rPr>
                <w:color w:val="000000"/>
              </w:rPr>
              <w:t>Специфични действия по Пакта</w:t>
            </w:r>
          </w:p>
        </w:tc>
      </w:tr>
      <w:tr w:rsidR="00FE6FD5" w14:paraId="1DBCEB9E"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81286"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B61E5" w14:textId="77777777" w:rsidR="00A77B3E" w:rsidRDefault="00AD19A4">
            <w:pPr>
              <w:spacing w:before="100"/>
              <w:rPr>
                <w:color w:val="000000"/>
              </w:rPr>
            </w:pPr>
            <w:r>
              <w:rPr>
                <w:color w:val="000000"/>
              </w:rPr>
              <w:t>2. Обща визова политика</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47560B" w14:textId="77777777" w:rsidR="00A77B3E" w:rsidRDefault="00AD19A4">
            <w:pPr>
              <w:spacing w:before="100"/>
              <w:rPr>
                <w:color w:val="000000"/>
              </w:rPr>
            </w:pPr>
            <w:r>
              <w:rPr>
                <w:color w:val="000000"/>
              </w:rPr>
              <w:t>Редовни действия</w:t>
            </w:r>
          </w:p>
        </w:tc>
      </w:tr>
      <w:tr w:rsidR="00FE6FD5" w14:paraId="660CCB03"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7DD8B" w14:textId="77777777" w:rsidR="00A77B3E" w:rsidRDefault="00AD19A4">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EB12D6" w14:textId="77777777" w:rsidR="00A77B3E" w:rsidRDefault="00AD19A4">
            <w:pPr>
              <w:spacing w:before="100"/>
              <w:rPr>
                <w:color w:val="000000"/>
              </w:rPr>
            </w:pPr>
            <w:r>
              <w:rPr>
                <w:color w:val="000000"/>
              </w:rPr>
              <w:t>2. Обща визова политика</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3E609B" w14:textId="77777777" w:rsidR="00A77B3E" w:rsidRDefault="00AD19A4">
            <w:pPr>
              <w:spacing w:before="100"/>
              <w:rPr>
                <w:color w:val="000000"/>
              </w:rPr>
            </w:pPr>
            <w:r>
              <w:rPr>
                <w:color w:val="000000"/>
              </w:rPr>
              <w:t>Конкретни действия</w:t>
            </w:r>
          </w:p>
        </w:tc>
      </w:tr>
      <w:tr w:rsidR="00FE6FD5" w14:paraId="17F50E38"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D50E7B"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936BC" w14:textId="77777777" w:rsidR="00A77B3E" w:rsidRDefault="00AD19A4">
            <w:pPr>
              <w:spacing w:before="100"/>
              <w:rPr>
                <w:color w:val="000000"/>
              </w:rPr>
            </w:pPr>
            <w:r>
              <w:rPr>
                <w:color w:val="000000"/>
              </w:rPr>
              <w:t>2. Обща визова политика</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D5B106" w14:textId="77777777" w:rsidR="00A77B3E" w:rsidRDefault="00AD19A4">
            <w:pPr>
              <w:spacing w:before="100"/>
              <w:rPr>
                <w:color w:val="000000"/>
              </w:rPr>
            </w:pPr>
            <w:r>
              <w:rPr>
                <w:color w:val="000000"/>
              </w:rPr>
              <w:t>Действия по приложение IV</w:t>
            </w:r>
          </w:p>
        </w:tc>
      </w:tr>
      <w:tr w:rsidR="00FE6FD5" w14:paraId="4CCE68AF"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F486C"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A150D" w14:textId="77777777" w:rsidR="00A77B3E" w:rsidRDefault="00AD19A4">
            <w:pPr>
              <w:spacing w:before="100"/>
              <w:rPr>
                <w:color w:val="000000"/>
              </w:rPr>
            </w:pPr>
            <w:r>
              <w:rPr>
                <w:color w:val="000000"/>
              </w:rPr>
              <w:t>2. Обща визова политика</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0667F1" w14:textId="77777777" w:rsidR="00A77B3E" w:rsidRDefault="00AD19A4">
            <w:pPr>
              <w:spacing w:before="100"/>
              <w:rPr>
                <w:color w:val="000000"/>
              </w:rPr>
            </w:pPr>
            <w:r>
              <w:rPr>
                <w:color w:val="000000"/>
              </w:rPr>
              <w:t>Оперативна поддръжка</w:t>
            </w:r>
          </w:p>
        </w:tc>
      </w:tr>
      <w:tr w:rsidR="00FE6FD5" w14:paraId="6CFBD989"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2DD37" w14:textId="77777777" w:rsidR="00A77B3E" w:rsidRDefault="00AD19A4">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D4014" w14:textId="77777777" w:rsidR="00A77B3E" w:rsidRDefault="00AD19A4">
            <w:pPr>
              <w:spacing w:before="100"/>
              <w:rPr>
                <w:color w:val="000000"/>
              </w:rPr>
            </w:pPr>
            <w:r>
              <w:rPr>
                <w:color w:val="000000"/>
              </w:rPr>
              <w:t>2. Обща визова политика</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D0027A" w14:textId="77777777" w:rsidR="00A77B3E" w:rsidRDefault="00AD19A4">
            <w:pPr>
              <w:spacing w:before="100"/>
              <w:rPr>
                <w:color w:val="000000"/>
              </w:rPr>
            </w:pPr>
            <w:r>
              <w:rPr>
                <w:color w:val="000000"/>
              </w:rPr>
              <w:t>Спешна помощ</w:t>
            </w:r>
          </w:p>
        </w:tc>
      </w:tr>
      <w:tr w:rsidR="00FE6FD5" w14:paraId="67708325"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D54719" w14:textId="77777777" w:rsidR="00A77B3E" w:rsidRDefault="00AD19A4">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1533F7" w14:textId="77777777" w:rsidR="00A77B3E" w:rsidRDefault="00AD19A4">
            <w:pPr>
              <w:spacing w:before="100"/>
              <w:rPr>
                <w:color w:val="000000"/>
              </w:rPr>
            </w:pPr>
            <w:r>
              <w:rPr>
                <w:color w:val="000000"/>
              </w:rPr>
              <w:t xml:space="preserve">TA.36(5). Техническа помощ - фиксирана ставка (чл. 36(5) от </w:t>
            </w:r>
            <w:r w:rsidR="00A1192D">
              <w:rPr>
                <w:color w:val="000000"/>
              </w:rPr>
              <w:t>РОР</w:t>
            </w:r>
            <w:r>
              <w:rPr>
                <w:color w:val="000000"/>
              </w:rPr>
              <w: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77792D" w14:textId="77777777" w:rsidR="00A77B3E" w:rsidRDefault="00A77B3E">
            <w:pPr>
              <w:spacing w:before="100"/>
              <w:rPr>
                <w:color w:val="000000"/>
              </w:rPr>
            </w:pPr>
          </w:p>
        </w:tc>
      </w:tr>
      <w:tr w:rsidR="00FE6FD5" w14:paraId="21D52771" w14:textId="77777777">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640D70" w14:textId="77777777" w:rsidR="00A77B3E" w:rsidRDefault="00AD19A4">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183280">
              <w:rPr>
                <w:color w:val="000000"/>
              </w:rPr>
            </w:r>
            <w:r w:rsidR="00183280">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646A37" w14:textId="77777777" w:rsidR="00A77B3E" w:rsidRDefault="00AD19A4">
            <w:pPr>
              <w:spacing w:before="100"/>
              <w:rPr>
                <w:color w:val="000000"/>
              </w:rPr>
            </w:pPr>
            <w:r>
              <w:rPr>
                <w:color w:val="000000"/>
              </w:rPr>
              <w:t xml:space="preserve">TA.37. Техническа помощ - не е свързана с разходи (чл. 37 от </w:t>
            </w:r>
            <w:r w:rsidR="00A1192D">
              <w:rPr>
                <w:color w:val="000000"/>
              </w:rPr>
              <w:t>РОР</w:t>
            </w:r>
            <w:r>
              <w:rPr>
                <w:color w:val="000000"/>
              </w:rPr>
              <w: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4B825E" w14:textId="77777777" w:rsidR="00A77B3E" w:rsidRDefault="00A77B3E">
            <w:pPr>
              <w:spacing w:before="100"/>
              <w:rPr>
                <w:color w:val="000000"/>
              </w:rPr>
            </w:pPr>
          </w:p>
        </w:tc>
      </w:tr>
    </w:tbl>
    <w:p w14:paraId="0956E4FC" w14:textId="77777777" w:rsidR="00A77B3E" w:rsidRDefault="00A77B3E">
      <w:pPr>
        <w:spacing w:before="100"/>
        <w:jc w:val="center"/>
        <w:rPr>
          <w:color w:val="000000"/>
        </w:rPr>
        <w:sectPr w:rsidR="00A77B3E">
          <w:headerReference w:type="even" r:id="rId14"/>
          <w:headerReference w:type="default" r:id="rId15"/>
          <w:footerReference w:type="even" r:id="rId16"/>
          <w:footerReference w:type="default" r:id="rId17"/>
          <w:headerReference w:type="first" r:id="rId18"/>
          <w:footerReference w:type="first" r:id="rId19"/>
          <w:pgSz w:w="11906" w:h="16838"/>
          <w:pgMar w:top="720" w:right="936" w:bottom="864" w:left="720" w:header="0" w:footer="72" w:gutter="0"/>
          <w:cols w:space="720"/>
          <w:noEndnote/>
          <w:docGrid w:linePitch="360"/>
        </w:sectPr>
      </w:pPr>
    </w:p>
    <w:p w14:paraId="659B3D3C" w14:textId="77777777" w:rsidR="00A77B3E" w:rsidRDefault="00AD19A4">
      <w:pPr>
        <w:pStyle w:val="Heading2"/>
        <w:spacing w:before="100" w:after="0"/>
        <w:rPr>
          <w:rFonts w:ascii="TimesNewRoman" w:eastAsia="TimesNewRoman" w:hAnsi="TimesNewRoman" w:cs="TimesNewRoman"/>
          <w:b w:val="0"/>
          <w:i w:val="0"/>
          <w:color w:val="000000"/>
          <w:sz w:val="24"/>
        </w:rPr>
      </w:pPr>
      <w:bookmarkStart w:id="2" w:name="_Toc256000050"/>
      <w:r>
        <w:rPr>
          <w:rFonts w:ascii="TimesNewRoman" w:eastAsia="TimesNewRoman" w:hAnsi="TimesNewRoman" w:cs="TimesNewRoman"/>
          <w:b w:val="0"/>
          <w:i w:val="0"/>
          <w:color w:val="000000"/>
          <w:sz w:val="24"/>
        </w:rPr>
        <w:lastRenderedPageBreak/>
        <w:t>2.1. Специфична цел: 1. Европейско интегрирано управление на границите</w:t>
      </w:r>
      <w:bookmarkEnd w:id="2"/>
    </w:p>
    <w:p w14:paraId="0F890EA7" w14:textId="77777777" w:rsidR="00A77B3E" w:rsidRDefault="00A77B3E">
      <w:pPr>
        <w:spacing w:before="100"/>
        <w:rPr>
          <w:rFonts w:ascii="TimesNewRoman" w:eastAsia="TimesNewRoman" w:hAnsi="TimesNewRoman" w:cs="TimesNewRoman"/>
          <w:color w:val="000000"/>
          <w:sz w:val="0"/>
        </w:rPr>
      </w:pPr>
    </w:p>
    <w:p w14:paraId="1803C6B5" w14:textId="77777777" w:rsidR="00A77B3E" w:rsidRDefault="00AD19A4">
      <w:pPr>
        <w:pStyle w:val="Heading3"/>
        <w:spacing w:before="100" w:after="0"/>
        <w:rPr>
          <w:rFonts w:ascii="TimesNewRoman" w:eastAsia="TimesNewRoman" w:hAnsi="TimesNewRoman" w:cs="TimesNewRoman"/>
          <w:b w:val="0"/>
          <w:color w:val="000000"/>
          <w:sz w:val="24"/>
        </w:rPr>
      </w:pPr>
      <w:bookmarkStart w:id="3" w:name="_Toc256000051"/>
      <w:r>
        <w:rPr>
          <w:rFonts w:ascii="TimesNewRoman" w:eastAsia="TimesNewRoman" w:hAnsi="TimesNewRoman" w:cs="TimesNewRoman"/>
          <w:b w:val="0"/>
          <w:color w:val="000000"/>
          <w:sz w:val="24"/>
        </w:rPr>
        <w:t>2.1.1. Описание на специфичната цел</w:t>
      </w:r>
      <w:bookmarkEnd w:id="3"/>
    </w:p>
    <w:p w14:paraId="63EABD68"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6633D2B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712CB4" w14:textId="77777777" w:rsidR="00A77B3E" w:rsidRDefault="00A77B3E">
            <w:pPr>
              <w:spacing w:before="100"/>
              <w:rPr>
                <w:rFonts w:ascii="TimesNewRoman" w:eastAsia="TimesNewRoman" w:hAnsi="TimesNewRoman" w:cs="TimesNewRoman"/>
                <w:color w:val="000000"/>
                <w:sz w:val="0"/>
              </w:rPr>
            </w:pPr>
          </w:p>
          <w:p w14:paraId="73CCBAC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 Изходно положение</w:t>
            </w:r>
          </w:p>
          <w:p w14:paraId="10261F6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Общата дължина на границите на България е 2368 км, 1345 сухоземни, 412 морски и 611 река Дунав. Външни граници на ЕС - 1225 км. Вътрешни - 1143.</w:t>
            </w:r>
          </w:p>
          <w:p w14:paraId="218FE520"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Границите между България и Таджикистан и България и Гърция са най-уязвимите и активни по отношение на незаконните преминавания. От 2018 г. насам се наблюдава тенденция на засилен миграционен натиск на границата между България и Гръцката държава за сметка на намален натиск на границата между България и Таджикистан.</w:t>
            </w:r>
          </w:p>
          <w:p w14:paraId="2855B84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За периода 2017-2024 г. са задържани общо 66 839 граждани на трети страни. 10 461 на влизане на държавната граница, 9 887 на излизане и 46 491 във вътрешността на страната.</w:t>
            </w:r>
          </w:p>
          <w:p w14:paraId="7B8AF90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EBCGA е основният партньор на BG в дейности, свързани със защитата на външните граници. Сътрудничеството с Агенцията се основава на взаимна подкрепа и координация на текущите задачи, както и на прилагането на европейските стандарти за управление на границите.</w:t>
            </w:r>
          </w:p>
          <w:p w14:paraId="1D80195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Въз основа на оценката на уязвимостта на граничната служба, извършена от EBCGA, беше установено, че граничният контрол се осъществява от недостатъчен брой гранични служители. През октомври 2020 г. започна изпълнението на проект „Осигуряване на допълнителен персонал за участие в специализирани полицейски операции“ по </w:t>
            </w:r>
            <w:r w:rsidR="004B3C80">
              <w:rPr>
                <w:rFonts w:ascii="TimesNewRoman" w:eastAsia="TimesNewRoman" w:hAnsi="TimesNewRoman" w:cs="TimesNewRoman"/>
                <w:color w:val="000000"/>
              </w:rPr>
              <w:t>ФВС</w:t>
            </w:r>
            <w:r>
              <w:rPr>
                <w:rFonts w:ascii="TimesNewRoman" w:eastAsia="TimesNewRoman" w:hAnsi="TimesNewRoman" w:cs="TimesNewRoman"/>
                <w:color w:val="000000"/>
              </w:rPr>
              <w:t>-</w:t>
            </w:r>
            <w:r w:rsidR="004B3C80">
              <w:rPr>
                <w:rFonts w:ascii="TimesNewRoman" w:eastAsia="TimesNewRoman" w:hAnsi="TimesNewRoman" w:cs="TimesNewRoman"/>
                <w:color w:val="000000"/>
              </w:rPr>
              <w:t>ГРАНИЦИ И ВИЗИ</w:t>
            </w:r>
            <w:r>
              <w:rPr>
                <w:rFonts w:ascii="TimesNewRoman" w:eastAsia="TimesNewRoman" w:hAnsi="TimesNewRoman" w:cs="TimesNewRoman"/>
                <w:color w:val="000000"/>
              </w:rPr>
              <w:t>с продължителност 18 месеца.</w:t>
            </w:r>
          </w:p>
          <w:p w14:paraId="565A225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България предприема всички мерки, за да гарантира управлението на външните граници на ЕС в тясно сътрудничество с EBCGA, в свой собствен интерес и в общ интерес на всички държави членки, при пълно спазване на правото на Съюза, включително зачитане на основните права, и в съответствие с многогодишния стратегически политически цикъл за EIBM съгласно член 8 от Регламент (ЕС) 2019/1896.</w:t>
            </w:r>
          </w:p>
          <w:p w14:paraId="5AE4FCE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Националната система за разполагане на ресурси в съвместни операции, координирана с Агенцията, включва професионално обучен персонал, подбран на национално ниво за участие в съвместни операции. Създаден е национален резерв от служители на МВР, който се актуализира ежегодно, за бързо разполагане и участие в съвместни операции на EBCGA.</w:t>
            </w:r>
          </w:p>
          <w:p w14:paraId="1DC665A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 резултат на създаването на Постоянния корпус на EBCGA функциите на Националната точка за контакт на FRONTEX ще бъдат разширени като част от управлението на националния резерв от длъжностни лица, които ще бъдат включени в Постоянния корпус.</w:t>
            </w:r>
          </w:p>
          <w:p w14:paraId="5F36CC0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Развитието на сътрудничеството в областта на бреговата охрана се подкрепя чрез многоцелеви морски операции, организирани и координирани от EBCGA. BG засилва защитата на външните граници, като изпраща технически средства за участие в оперативни дейности. Корабите на граничната полиция участват активно в морските операции.</w:t>
            </w:r>
          </w:p>
          <w:p w14:paraId="543DF4E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Компетентният орган, отговорен за граничния контрол, е Главна дирекция „Гранична полиция“ (ГДГП). Прилага се тристепенна система за управление на принципа „една дирекция – една граница“.</w:t>
            </w:r>
          </w:p>
          <w:p w14:paraId="67E8D28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Гранични проверки се извършват на 38 ГКПП, 20 от които са на външните граници на България с Търговия, Сърбия, Северна Македония, на международни летища и морски пристанища, а 18 са на вътрешните граници на България с Гърция и Румъния.</w:t>
            </w:r>
          </w:p>
          <w:p w14:paraId="69E2517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Граничното наблюдение се осъществява на сухопътните и морските държавни граници от служители на граничната полиция, интегрирани системи за наблюдение, мобилни системи за наблюдение, сухопътно, морско и въздушно оперативно оборудване.</w:t>
            </w:r>
          </w:p>
          <w:p w14:paraId="2A5D730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Сухопътният компонент на МКС обхваща цялата дължина на границата между България и Таджикистан. Морският компонент е предназначен за гранично наблюдение на морската държавна граница и контрол на движението на плавателни съдове в морските зони на България.</w:t>
            </w:r>
          </w:p>
          <w:p w14:paraId="5E12404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Автоматизираната система за наблюдение, създадена на българо-сръбската граница, също допринася за повишаване на ефективността на граничното наблюдение.</w:t>
            </w:r>
          </w:p>
          <w:p w14:paraId="7D39169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БГ разполага с 3 кораба с водоизместимост над 100 бруто тона, които осигуряват дейностите по гранично наблюдение на морската граница. Два от тях са произведени през 1969-1970 г. и срокът им на експлоатация е изтекъл.</w:t>
            </w:r>
          </w:p>
          <w:p w14:paraId="1223C80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Още три кораба на граничната полиция бяха доставени в периода 2003-2005 г. Срокът на експлоатация на корабите ще изтече в края на новата многогодишна финансова рамка.</w:t>
            </w:r>
          </w:p>
          <w:p w14:paraId="01BD075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Основното средство за въздушно наблюдение на държавната граница на България са хеликоптери, закупени през 2010 г.</w:t>
            </w:r>
          </w:p>
          <w:p w14:paraId="4BD0405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Геоинформационната дейност позволява разработването на нова съвременна гранична документация за държавната граница, описания и координатни списъци с координатите на граничните знаци. Натрупаната географска информация се използва широко при проектирането и изграждането на междинни гранични системи (МГС) на границите между България и Таджикистан и България и Сърбия.</w:t>
            </w:r>
          </w:p>
          <w:p w14:paraId="0F4052D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В момента се използват 76 микробуса и 594 автомобила. Повечето от тях са доставени до 2009 г. и са с изтекъл технически ресурс. По линия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w:t>
            </w:r>
            <w:r w:rsidR="004B3C80">
              <w:rPr>
                <w:rFonts w:ascii="TimesNewRoman" w:eastAsia="TimesNewRoman" w:hAnsi="TimesNewRoman" w:cs="TimesNewRoman"/>
                <w:color w:val="000000"/>
              </w:rPr>
              <w:t>ГРАНИЦИ И ВИЗИ</w:t>
            </w:r>
            <w:r>
              <w:rPr>
                <w:rFonts w:ascii="TimesNewRoman" w:eastAsia="TimesNewRoman" w:hAnsi="TimesNewRoman" w:cs="TimesNewRoman"/>
                <w:color w:val="000000"/>
              </w:rPr>
              <w:t xml:space="preserve">са доставени 121 автомобила, 15 микробуса и 2 автобуса. В рамките на спешната помощ, предоставена на BG по линия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-B&amp;V, са доставени 70 автомобила, 4 микробуса, 2 автобуса, 10 патрулни превозни средства за висока проходимост и 2 специализирани превозни средства за транспорт на задържани. По споразумение с Чехия са доставени още 11 автомобила. С национално финансиране са доставени 8 патрулни превозни средства за висока проходимост.</w:t>
            </w:r>
          </w:p>
          <w:p w14:paraId="31B71D2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Националната система „ЕВРОДАК“ е предназначена за обработка на пръстови отпечатъци на кандидати за международна закрила, които преминават незаконно границата и пребивават незаконно на територията на България. С помощта на системата са проверени пръстовите отпечатъци на 112 721 кандидати за международна закрила, лица, преминали незаконно държавната граница, и лица, пребиваващи незаконно на територията на България, и са идентифицирани 6 019 кандидати за закрила в други държави-членки на ЕС. През 2019 г. с подкрепата на спешната помощ по ФУМИ, Националната система за идентификация на пръстови отпечатъци беше разширена с модул, позволяващ проверката на пръстовите отпечатъци на лица, задържани на границата, в базата данни SIS II AFIS.</w:t>
            </w:r>
          </w:p>
          <w:p w14:paraId="58E5741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За 2019 г. на централно и национално ниво са приложени 2 подверсии на NSIS 2, отнасящи се до нови кодови таблици и/или нови категории данни. Същевременно, през изминалата година, BG е допринесла за защитата на Шенгенското пространство и осъществяването на адекватен граничен контрол на националните граници, като е въвела 1 500 402 сигнала в ШИС, от които 2 564 в категорията „издирвани лица“. Общо са направени 112 827 978 сигнала, от които над 18 000 са получили съответстващ отговор. Броят на автоматичните запитвания, извършени в NSIS 2-109 789 677, също се увеличава, което ясно показва, че все повече нови системи на ЕС и национални системи установяват адекватност и пълнота на данните в базата данни на ШИС. За 2019 г. е постигната наличност на системата от 99,99% по отношение на отчети, въвеждане, актуализиране и изтриване на сигнали.</w:t>
            </w:r>
          </w:p>
          <w:p w14:paraId="75A2C4C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Радиокомуникациите на външните граници на ЕС се осигуряват от системата TETRA на МВР. Съставът ѝ на външните граници включва над 100 обекта, разположени в труднодостъпни и ограничени зони. Разширяването на обхвата и поддръжката на системата за периода 2014-2020 г. бяха подкрепени по линия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w:t>
            </w:r>
            <w:r w:rsidR="004B3C80">
              <w:rPr>
                <w:rFonts w:ascii="TimesNewRoman" w:eastAsia="TimesNewRoman" w:hAnsi="TimesNewRoman" w:cs="TimesNewRoman"/>
                <w:color w:val="000000"/>
              </w:rPr>
              <w:t>ГРАНИЦИ И ВИЗИ</w:t>
            </w:r>
            <w:r>
              <w:rPr>
                <w:rFonts w:ascii="TimesNewRoman" w:eastAsia="TimesNewRoman" w:hAnsi="TimesNewRoman" w:cs="TimesNewRoman"/>
                <w:color w:val="000000"/>
              </w:rPr>
              <w:t>и Норвежкия финансов механизъм.</w:t>
            </w:r>
          </w:p>
          <w:p w14:paraId="006327B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II. Специфични предизвикателства и пропуски</w:t>
            </w:r>
          </w:p>
          <w:p w14:paraId="76F8287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Съгласно стратегическите цели, определени в Националната стратегия за интегрирано управление на границите (</w:t>
            </w:r>
            <w:r w:rsidR="004B3C80">
              <w:rPr>
                <w:rFonts w:ascii="TimesNewRoman" w:eastAsia="TimesNewRoman" w:hAnsi="TimesNewRoman" w:cs="TimesNewRoman"/>
                <w:color w:val="000000"/>
              </w:rPr>
              <w:t>ИГУ</w:t>
            </w:r>
            <w:r>
              <w:rPr>
                <w:rFonts w:ascii="TimesNewRoman" w:eastAsia="TimesNewRoman" w:hAnsi="TimesNewRoman" w:cs="TimesNewRoman"/>
                <w:color w:val="000000"/>
              </w:rPr>
              <w:t xml:space="preserve">), наличните технически възможности за наблюдение на границите ще бъдат подобрени чрез изграждане и поддръжка на ИСС (системна гранична система), придобиване на ново техническо и оперативно оборудване и по-нататъшно развитие на </w:t>
            </w:r>
            <w:r>
              <w:rPr>
                <w:rFonts w:ascii="TimesNewRoman" w:eastAsia="TimesNewRoman" w:hAnsi="TimesNewRoman" w:cs="TimesNewRoman"/>
                <w:color w:val="000000"/>
              </w:rPr>
              <w:lastRenderedPageBreak/>
              <w:t>възможностите за наблюдение на въздушния транспорт. Ще бъде осигурена и поддръжка на системите и оборудването.</w:t>
            </w:r>
          </w:p>
          <w:p w14:paraId="29346C6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Модернизацията на инфраструктурата на граничната полиция е необходима за осъществяване на граничния контрол и за организирането и осъществяването на гранично наблюдение между ГКПП на външните граници.</w:t>
            </w:r>
          </w:p>
          <w:p w14:paraId="5B2F0B6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Чрез EUROSUR се обменя информация в реално време със Ситуационния център на EBCGA и Националните координационни центрове на държавите-членки. С оглед на увеличаване на капацитета за обработка и обобщаване на статистическа информация, както и за извличане и визуализиране на агрегирани данни, EUROSUR се нуждае от доразвиване. Необходими са ново оборудване и обновяване на съществуващото по отношение на геоинформационната дейност на МВР.</w:t>
            </w:r>
          </w:p>
          <w:p w14:paraId="36D618E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Всички мерки, насочени към повишаване на капацитета за наблюдение на границите, ще се изпълняват в съответствие с общите минимални стандарти за наблюдение на границите, разработени с приноса на EBCGA в съответствие с Регламент 2019/1896. Закупеното оборудване ще отговаря на техническите стандарти, определени от Frontex, а мащабното оперативно оборудване за управление на границите ще бъде регистрирано във фонда от техническо оборудване на Агенцията.</w:t>
            </w:r>
          </w:p>
          <w:p w14:paraId="4E87557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За да се осигури функционирането на информационните системи, поддържащи дейностите на персонала по външните граници на ЕС, както и тяхната оперативност, оперативна съвместимост и сигурност, е необходимо да се осигури тяхната пълна и всеобхватна поддръжка и обновяване. Необходимо е по-нататъшно развитие на системите за видеонаблюдение, използвани по външните граници на ЕС, за да се подобри тяхната оперативност и ефективност.</w:t>
            </w:r>
          </w:p>
          <w:p w14:paraId="38E6FC3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 оглед на приетите изменения в законодателството на ЕС е необходимо разширяване на възможностите и функционалностите на NSIS 2 на национално ниво. За да се постигне съответствие с изискванията на централната система и да се подпомогне работата на потребителите на системата, е необходимо да се създадат условия за повишаване на оперативността, бързината и стабилността при натоварване и активно използване на системата и осигуряване на гарантиран и сигурен обмен на информация с партньорските структури.</w:t>
            </w:r>
          </w:p>
          <w:p w14:paraId="1065B99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През 2022 г. EES ще бъде въведена в експлоатация на ГКПП. Оперативното въвеждане в експлоатация на системата изисква допълнителни финансови, технически и инфраструктурни ресурси, както и допълнителен и подходящо обучен персонал.</w:t>
            </w:r>
          </w:p>
          <w:p w14:paraId="298DD53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Периодичните промени в правната рамка, Регламента за създаване на ETIAS, въвеждането на оперативна съвместимост и др. водят до необходимостта от непрекъснато повишаване на квалификацията на персонала на Звеното чрез обучения и стажове.</w:t>
            </w:r>
          </w:p>
          <w:p w14:paraId="413A308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 приемането на регламенти (ЕС) 2019/817 и (ЕС) 2019/818 за оперативна съвместимост между информационните системи на ЕС, а именно EES, VIS, ETIAS, EURODAC и ШИС, националните системи трябва да бъдат адаптирани към промените, предвидени в законодателството. Като част от централната система EURODAC, националната система за идентификация на пръстови отпечатъци EURODAC следва да бъде адаптирана в тази насока.</w:t>
            </w:r>
          </w:p>
          <w:p w14:paraId="706524D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Осигуряването на поддръжката на системата TETRA ще осигури непрекъсната и надеждна комуникация и обмен на информация между компетентните структури на външните граници на ЕС, подобрявайки оперативното сътрудничество и капацитета за предотвратяване и борба с всички форми на престъпност и незаконна миграция, подобрявайки и улеснявайки контрола и законното преминаване.</w:t>
            </w:r>
          </w:p>
          <w:p w14:paraId="7343AFA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Необходимо е да се създадат необходимите условия за удостоверяване на автентичността на издадени документи и публикуването им в директорията с публични ключове (PKD) на Международната организация за гражданско въздухоплаване (ICAO), предназначена за обмен между държавите-членки в съответствие с техническите спецификации и политики на ICAO, чрез заплащане на необходимите такси на ICAO.</w:t>
            </w:r>
          </w:p>
          <w:p w14:paraId="06B6D8F7"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За да се изпълнят изискванията, произтичащи от съответните достижения на правото на ЕС, е необходимо да се повиши административният капацитет на структурите на граничната полиция за целите на ефективен граничен контрол чрез обучения. Това ще предостави и възможност за участието им в Постоянния корпус на EBCGA.</w:t>
            </w:r>
          </w:p>
          <w:p w14:paraId="2FAE24D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Безпроблемната приемственост на приоритетите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w:t>
            </w:r>
            <w:r w:rsidR="004B3C80">
              <w:rPr>
                <w:rFonts w:ascii="TimesNewRoman" w:eastAsia="TimesNewRoman" w:hAnsi="TimesNewRoman" w:cs="TimesNewRoman"/>
                <w:color w:val="000000"/>
              </w:rPr>
              <w:t>ГРАНИЦИ И ВИЗИ</w:t>
            </w:r>
            <w:r>
              <w:rPr>
                <w:rFonts w:ascii="TimesNewRoman" w:eastAsia="TimesNewRoman" w:hAnsi="TimesNewRoman" w:cs="TimesNewRoman"/>
                <w:color w:val="000000"/>
              </w:rPr>
              <w:t xml:space="preserve">ще бъде осигурена по линия на </w:t>
            </w:r>
            <w:r w:rsidR="004B3C80">
              <w:rPr>
                <w:rFonts w:ascii="TimesNewRoman" w:eastAsia="TimesNewRoman" w:hAnsi="TimesNewRoman" w:cs="TimesNewRoman"/>
                <w:color w:val="000000"/>
              </w:rPr>
              <w:t>ИГУВП</w:t>
            </w:r>
            <w:r>
              <w:rPr>
                <w:rFonts w:ascii="TimesNewRoman" w:eastAsia="TimesNewRoman" w:hAnsi="TimesNewRoman" w:cs="TimesNewRoman"/>
                <w:color w:val="000000"/>
              </w:rPr>
              <w:t xml:space="preserve"> чрез подкрепа на подобни действия, надграждащи предишни резултати, опит и добри практики, като например доставката и поддръжката на техническо и оперативно оборудване; ремонт и поддръжка на инфраструктура; поддръжка на </w:t>
            </w:r>
            <w:r w:rsidR="004B3C80">
              <w:rPr>
                <w:rFonts w:ascii="TimesNewRoman" w:eastAsia="TimesNewRoman" w:hAnsi="TimesNewRoman" w:cs="TimesNewRoman"/>
                <w:color w:val="000000"/>
              </w:rPr>
              <w:t>ИГУВП</w:t>
            </w:r>
            <w:r>
              <w:rPr>
                <w:rFonts w:ascii="TimesNewRoman" w:eastAsia="TimesNewRoman" w:hAnsi="TimesNewRoman" w:cs="TimesNewRoman"/>
                <w:color w:val="000000"/>
              </w:rPr>
              <w:t xml:space="preserve"> и по-нататъшно развитие и поддръжка на широкомащабни ИКТ системи; по-нататъшно развитие на системи за видеонаблюдение; осигуряване на сигурността на документите; дигитализация на документите за пътуване; оборудване на граничните контролно-пропускателни пунктове с техническия капацитет, необходим за проверка на биометричните данни за пръстови отпечатъци, кодирани в електронните документи за пътуване, спрямо притежателя на документа; обучение на персонала и др.</w:t>
            </w:r>
          </w:p>
          <w:p w14:paraId="46C927C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 допълнение към развитието на съответните достижения на правото на ЕС и стратегическите приоритети, в програмата ще бъдат включени нови действия с оглед на по-нататъшното развитие и поддръжка на широкомащабни ИТ системи; осигуряване на надеждна и непрекъсната работа на съответните национални компоненти на АИС, които обменят данни с широкомащабни ИТ системи.</w:t>
            </w:r>
          </w:p>
          <w:p w14:paraId="2E07A99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III. Мерки за прилагане</w:t>
            </w:r>
          </w:p>
          <w:p w14:paraId="770153A7"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Подкрепата по линия на </w:t>
            </w:r>
            <w:r w:rsidR="004B3C80">
              <w:rPr>
                <w:rFonts w:ascii="TimesNewRoman" w:eastAsia="TimesNewRoman" w:hAnsi="TimesNewRoman" w:cs="TimesNewRoman"/>
                <w:color w:val="000000"/>
              </w:rPr>
              <w:t>ИГУВП</w:t>
            </w:r>
            <w:r>
              <w:rPr>
                <w:rFonts w:ascii="TimesNewRoman" w:eastAsia="TimesNewRoman" w:hAnsi="TimesNewRoman" w:cs="TimesNewRoman"/>
                <w:color w:val="000000"/>
              </w:rPr>
              <w:t xml:space="preserve"> ще допринесе за постигането на специфичната цел, посочена в буква а) от член 3, параграф 2, като се съсредоточи върху следните мерки за изпълнение:</w:t>
            </w:r>
          </w:p>
          <w:p w14:paraId="08F3130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 Укрепване на капацитета за извършване на проверки и наблюдение на външните граници</w:t>
            </w:r>
          </w:p>
          <w:p w14:paraId="702E840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438CFEF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1.1. Системи и услуги за гранични проверки и наблюдение</w:t>
            </w:r>
          </w:p>
          <w:p w14:paraId="131E9A4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18109CD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Модернизация на националните компоненти на EUROSUR и ELBGSUR, включително внедряване на CIRAM 2.0; изграждане на системи за видеонаблюдение/детектиране за напълно автоматично идентифициране на заплахи или промени в предаването на превозни средства на ГКПП; разширяване и модернизация на МПС на границата между България и Таджикистан; разширяване на МПС „Синя граница“</w:t>
            </w:r>
          </w:p>
          <w:p w14:paraId="505E7751" w14:textId="77777777" w:rsidR="00A77B3E" w:rsidRDefault="004B3C80">
            <w:pPr>
              <w:numPr>
                <w:ilvl w:val="0"/>
                <w:numId w:val="1"/>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/2023/SA/1.1.2/002 Подкрепа за държавите членки за укрепване на капацитета за граничен контрол</w:t>
            </w:r>
          </w:p>
          <w:p w14:paraId="53143EA2" w14:textId="77777777" w:rsidR="00A77B3E" w:rsidRDefault="004B3C80">
            <w:pPr>
              <w:numPr>
                <w:ilvl w:val="0"/>
                <w:numId w:val="1"/>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/2023/SA/1.1.4/06 Електронно наблюдение</w:t>
            </w:r>
          </w:p>
          <w:p w14:paraId="4AB3AF62" w14:textId="77777777" w:rsidR="00A77B3E" w:rsidRDefault="004B3C80">
            <w:pPr>
              <w:numPr>
                <w:ilvl w:val="0"/>
                <w:numId w:val="1"/>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/2024/SA/1.1.7/04 Модернизация на ISS Blue Border. Тъй като бюджетът е намален от ЕК, ние изчисляваме, че могат да бъдат придобити 11 радара и 11 термовизионни камери. Бенефициентът на проекта подготвя допълнителна информация относно цената на необходимото оборудване.</w:t>
            </w:r>
          </w:p>
          <w:p w14:paraId="6A5C16F8" w14:textId="77777777" w:rsidR="00A77B3E" w:rsidRDefault="004B3C80">
            <w:pPr>
              <w:numPr>
                <w:ilvl w:val="0"/>
                <w:numId w:val="1"/>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/2024/SA/1.1.6/04 Модернизация и разширение на МКС и доставка на 6 SMSS</w:t>
            </w:r>
          </w:p>
          <w:p w14:paraId="69EA1629" w14:textId="77777777" w:rsidR="00A77B3E" w:rsidRDefault="004B3C80">
            <w:pPr>
              <w:numPr>
                <w:ilvl w:val="0"/>
                <w:numId w:val="1"/>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/2025/SA/Pact „Специфични действия в подкрепа на държавите членки при прилагането на Пакта за миграция и убежище“</w:t>
            </w:r>
          </w:p>
          <w:p w14:paraId="54611C9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2C92330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·Подобрен обмен на ситуационни картини на ниво ЕС и на национално ниво</w:t>
            </w:r>
          </w:p>
          <w:p w14:paraId="7FBB940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·Прилагат се по-ефективни мерки за граничен контрол</w:t>
            </w:r>
          </w:p>
          <w:p w14:paraId="5A2A317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·Установен капацитет за скрининг на национално ниво</w:t>
            </w:r>
          </w:p>
          <w:p w14:paraId="1FB7D41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1.2. Работно оборудване, включително транспортни средства, и ИКТ системи, необходими за ефективен и сигурен граничен контрол</w:t>
            </w:r>
          </w:p>
          <w:p w14:paraId="6A4FF22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Предвижда се изпълнението на следните индикативни действия/проекти:</w:t>
            </w:r>
          </w:p>
          <w:p w14:paraId="1809E22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Доставка на кораби, превозни средства и технически средства за граничен контрол (оборудване за ежедневно наблюдение, преносими термовизионни камери, мобилни системи за наблюдение, както и специализирано оборудване за гранични проверки); модернизация на пунктове за контрол на границата (ABC); разработване на геопортал за поддържане, обработка и анализ на географска информация по държавните граници и прилежащите територии); по-нататъшно развитие на системата за видеоконферентна връзка на GDBPs.</w:t>
            </w:r>
          </w:p>
          <w:p w14:paraId="4E355159" w14:textId="77777777" w:rsidR="00A77B3E" w:rsidRDefault="004B3C80">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/2023-2024/SA/1.2.2/07 Оборудване за гранична и брегова охрана, което ще бъде предоставено на разположение на Frontex</w:t>
            </w:r>
          </w:p>
          <w:p w14:paraId="6E7EAE1A" w14:textId="77777777" w:rsidR="00A77B3E" w:rsidRDefault="004B3C80">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/2023/SA/1.1.3/004 Интегрирани решения за гранично преминаване</w:t>
            </w:r>
          </w:p>
          <w:p w14:paraId="0CEA156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0B44EBB7"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·Подобрени технически и оперативни възможности за граничен контрол</w:t>
            </w:r>
          </w:p>
          <w:p w14:paraId="6E137B4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2. Развитие на Европейската гранична и брегова охрана чрез предоставяне на подкрепа на националните органи, отговорни за управлението на границите</w:t>
            </w:r>
          </w:p>
          <w:p w14:paraId="7C6D750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0E2ED7A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2.1. Обмен на най-добри практики и експертен опит с цел развитие на европейско интегрирано управление на границите</w:t>
            </w:r>
          </w:p>
          <w:p w14:paraId="3614A46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50F3986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·Обмен на най-добри практики и експертен опит в областта на интегрираното управление на границите</w:t>
            </w:r>
          </w:p>
          <w:p w14:paraId="2C2A5580" w14:textId="77777777" w:rsidR="00A77B3E" w:rsidRDefault="004B3C80">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/2023-2025/SA/1.3.1/12 EIBM</w:t>
            </w:r>
          </w:p>
          <w:p w14:paraId="6F1EDE2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0E3E338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·Изпълнение на задачите на граничните служители в съответствие с европейското законодателство и стандарти</w:t>
            </w:r>
          </w:p>
          <w:p w14:paraId="034C5B8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3. Създаване, експлоатация и поддръжка на широкомащабни ИТ системи в областта на управлението на границите, включително оперативната съвместимост на тези ИТ системи и тяхната комуникационна инфраструктура</w:t>
            </w:r>
          </w:p>
          <w:p w14:paraId="2360F3F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597BDFA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3.1. Разработване и модернизация на широкомащабни ИТ системи</w:t>
            </w:r>
          </w:p>
          <w:p w14:paraId="003F54B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18A0FA6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Разработване на националните компоненти за интеграция със Системата за влизане/излизане (EES) на сухопътни, морски, речни и въздушни гранични контролно-пропускателни пунктове (доставка, инсталиране и интегриране на мрежово оборудване, биометрични модули и др.); по-нататъшно развитие на NSIS (внедряване на всички технологични изисквания, произтичащи от съответните достижения на правото на ЕС); повишаване на нивата на сигурност, комуникационни и информационни системи, използвани от Националното звено на ETIAS; по-нататъшно развитие на Националната система за идентификация на пръстови отпечатъци EURODAC; разработване на национални компоненти на широкомащабни ИТ системи и осигуряване на тяхната оперативна съвместимост.</w:t>
            </w:r>
          </w:p>
          <w:p w14:paraId="72B2C457" w14:textId="77777777" w:rsidR="00A77B3E" w:rsidRDefault="004B3C80">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/2021/SA/1.5.4/003 Оперативна съвместимост</w:t>
            </w:r>
          </w:p>
          <w:p w14:paraId="4F232909" w14:textId="77777777" w:rsidR="00A77B3E" w:rsidRDefault="004B3C80">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/2024/SA/1.5.1/013 Интелигентни граници</w:t>
            </w:r>
          </w:p>
          <w:p w14:paraId="12EA0BD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37D4510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·Осигурен по-ефективен обмен на информация между компетентните органи на ниво ЕС и на национално ниво</w:t>
            </w:r>
          </w:p>
          <w:p w14:paraId="673650C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·Осигурено е високо ниво на надеждност и непрекъснатост в работата на широкомащабни ИТ системи на ниво ЕС и национално ниво</w:t>
            </w:r>
          </w:p>
          <w:p w14:paraId="29C632E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3.2. Оборудване и комуникационни системи, необходими за осигуряване на правилното функциониране на широкомащабни ИТ системи</w:t>
            </w:r>
          </w:p>
          <w:p w14:paraId="339B490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674DFA4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·Доставка на ИТ оборудване за структурите на граничната полиция (компютри, принтери, сървъри и др.); защита от инциденти, свързани с информационната сигурност на крайните потребители на външните граници</w:t>
            </w:r>
          </w:p>
          <w:p w14:paraId="358709A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188A045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Подобряване на техническите възможности за ефективен граничен контрол</w:t>
            </w:r>
          </w:p>
          <w:p w14:paraId="01D4573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4. Оперативна поддръжка</w:t>
            </w:r>
          </w:p>
          <w:p w14:paraId="4A21BC6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Оперативна подкрепа ще бъде предоставена на следните публични органи, отговорни за изпълнението на задачи и услуги, които представляват обществена услуга за Съюза:</w:t>
            </w:r>
          </w:p>
          <w:p w14:paraId="0B44BD5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·Главна дирекция „Гранична полиция“ – МВР – гранични проверки и наблюдение, противодействие на незаконната миграция, контрабандата и трафика на хора;</w:t>
            </w:r>
          </w:p>
          <w:p w14:paraId="671FA25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„Комуникационни и информационни системи“ (ДКИС) – МВР – изграждане, поддръжка и развитие на ИТ системи, свързани с осъществяването на основните дейности на МВР;</w:t>
            </w:r>
          </w:p>
          <w:p w14:paraId="43A4D71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Дирекция „Международно оперативно сътрудничество“ (IOCD-MoI) – точка за контакт за ETIAS на национално ниво;</w:t>
            </w:r>
          </w:p>
          <w:p w14:paraId="25DCC9F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„Документи за самоличност“ – МВР – издаване, отказ за издаване, отнемане, изземване и обявяване за невалидни и унищожени документи за самоличност при условията и по реда, определени от закона.</w:t>
            </w:r>
          </w:p>
          <w:p w14:paraId="223C506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7EE4A90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4.1. Оперативна подкрепа за интегрирано управление на границите</w:t>
            </w:r>
          </w:p>
          <w:p w14:paraId="25353AD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061E7D0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Поддръжка на СИС на границата между България и Сърбия, Автоматизирана система за наблюдение на границата между България и Сърбия, СИС Синя граница и системите за периметърно наблюдение; поддръжка на ABC портали и ИТ оборудване на структурите на граничната полиция (компютри, принтери, сървъри и др.); ремонт и поддръжка на технически средства за граничен контрол (мобилни системи за наблюдение, оборудване за нощно виждане и др.), както и на кораби, хеликоптери и превозни средства; доставка на гориво и консумативи за превозни средства, кораби и хеликоптери, включително застраховка на хеликоптери и персонал; ремонт и поддръжка на инфраструктурата на следните гранични пунктове: Елхово, Бургас, Кюстендил, Драгоман, Летища; поддръжка на видеоконферентна система на ГДГП; обучение на гранични полицаи в областта на интегрираното управление на границите; обновяване, маркиране и поддръжка на граничните знаци и граничната линия; назначаване на допълнителен временен персонал и командироване на гранични полицаи.</w:t>
            </w:r>
          </w:p>
          <w:p w14:paraId="5AAE6CB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4.2. Оперативна поддръжка за внедряване на широкомащабни ИТ системи</w:t>
            </w:r>
          </w:p>
          <w:p w14:paraId="708DDB7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0D29FB9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Поддръжка на НСИС, национални компоненти на широкомащабни ИТ системи и TETRA система на МВР (диагностика и ремонт на повредено оборудване, актуализация на софтуер и др.); осигуряване на надеждна и непрекъсната работа на националните компоненти на АИС, обменящи данни с широкомащабни ИТ системи на ЕС; поддръжка на лицензи за Oracle СУБД, платформа за виртуализация, системен софтуер и операционни системи; заплащане на годишни такси за достъп до PKD на ICAO; обучение на персонала на Националното звено за ETIAS</w:t>
            </w:r>
          </w:p>
          <w:p w14:paraId="1EA4A326" w14:textId="77777777" w:rsidR="00A77B3E" w:rsidRDefault="00A77B3E">
            <w:pPr>
              <w:spacing w:before="100"/>
              <w:rPr>
                <w:rFonts w:ascii="TimesNewRoman" w:eastAsia="TimesNewRoman" w:hAnsi="TimesNewRoman" w:cs="TimesNewRoman"/>
                <w:color w:val="000000"/>
                <w:sz w:val="6"/>
              </w:rPr>
            </w:pPr>
          </w:p>
          <w:p w14:paraId="2D13A87F" w14:textId="77777777" w:rsidR="00A77B3E" w:rsidRDefault="00A77B3E">
            <w:pPr>
              <w:spacing w:before="100"/>
              <w:rPr>
                <w:rFonts w:ascii="TimesNewRoman" w:eastAsia="TimesNewRoman" w:hAnsi="TimesNewRoman" w:cs="TimesNewRoman"/>
                <w:color w:val="000000"/>
                <w:sz w:val="6"/>
              </w:rPr>
            </w:pPr>
          </w:p>
        </w:tc>
      </w:tr>
    </w:tbl>
    <w:p w14:paraId="6D28D595" w14:textId="77777777" w:rsidR="00A77B3E" w:rsidRDefault="00A77B3E">
      <w:pPr>
        <w:spacing w:before="100"/>
        <w:rPr>
          <w:rFonts w:ascii="TimesNewRoman" w:eastAsia="TimesNewRoman" w:hAnsi="TimesNewRoman" w:cs="TimesNewRoman"/>
          <w:color w:val="000000"/>
        </w:rPr>
        <w:sectPr w:rsidR="00A77B3E">
          <w:headerReference w:type="even" r:id="rId20"/>
          <w:headerReference w:type="default" r:id="rId21"/>
          <w:footerReference w:type="even" r:id="rId22"/>
          <w:footerReference w:type="default" r:id="rId23"/>
          <w:headerReference w:type="first" r:id="rId24"/>
          <w:footerReference w:type="first" r:id="rId25"/>
          <w:pgSz w:w="11906" w:h="16838"/>
          <w:pgMar w:top="720" w:right="936" w:bottom="864" w:left="720" w:header="0" w:footer="72" w:gutter="0"/>
          <w:cols w:space="720"/>
          <w:noEndnote/>
          <w:docGrid w:linePitch="360"/>
        </w:sectPr>
      </w:pPr>
    </w:p>
    <w:p w14:paraId="52969A0E" w14:textId="77777777" w:rsidR="00A77B3E" w:rsidRDefault="00AD19A4">
      <w:pPr>
        <w:spacing w:before="100"/>
        <w:rPr>
          <w:color w:val="000000"/>
        </w:rPr>
      </w:pPr>
      <w:r>
        <w:rPr>
          <w:color w:val="000000"/>
        </w:rPr>
        <w:lastRenderedPageBreak/>
        <w:t>2.1. Специфична цел 1. Европейско интегрирано управление на границите</w:t>
      </w:r>
    </w:p>
    <w:p w14:paraId="76A0FEB3" w14:textId="77777777" w:rsidR="00A77B3E" w:rsidRDefault="00AD19A4">
      <w:pPr>
        <w:pStyle w:val="Heading3"/>
        <w:spacing w:before="100" w:after="0"/>
        <w:rPr>
          <w:rFonts w:ascii="Times New Roman" w:hAnsi="Times New Roman" w:cs="Times New Roman"/>
          <w:b w:val="0"/>
          <w:color w:val="000000"/>
          <w:sz w:val="24"/>
        </w:rPr>
      </w:pPr>
      <w:bookmarkStart w:id="4" w:name="_Toc256000052"/>
      <w:r>
        <w:rPr>
          <w:rFonts w:ascii="Times New Roman" w:hAnsi="Times New Roman" w:cs="Times New Roman"/>
          <w:b w:val="0"/>
          <w:color w:val="000000"/>
          <w:sz w:val="24"/>
        </w:rPr>
        <w:t>2.1.2. Индикатори</w:t>
      </w:r>
      <w:bookmarkEnd w:id="4"/>
    </w:p>
    <w:p w14:paraId="1957FD49" w14:textId="77777777" w:rsidR="00A77B3E" w:rsidRDefault="00AD19A4">
      <w:pPr>
        <w:spacing w:before="100"/>
        <w:rPr>
          <w:color w:val="000000"/>
          <w:sz w:val="12"/>
        </w:rPr>
      </w:pPr>
      <w:r>
        <w:rPr>
          <w:color w:val="000000"/>
        </w:rPr>
        <w:t>Позоваване: член 22, параграф 4, буква д) от РОР</w:t>
      </w:r>
    </w:p>
    <w:p w14:paraId="5F9C8E7E" w14:textId="77777777" w:rsidR="00A77B3E" w:rsidRDefault="00AD19A4">
      <w:pPr>
        <w:pStyle w:val="Heading4"/>
        <w:spacing w:before="100" w:after="0"/>
        <w:rPr>
          <w:b w:val="0"/>
          <w:color w:val="000000"/>
          <w:sz w:val="24"/>
        </w:rPr>
      </w:pPr>
      <w:bookmarkStart w:id="5" w:name="_Toc256000053"/>
      <w:r>
        <w:rPr>
          <w:b w:val="0"/>
          <w:color w:val="000000"/>
          <w:sz w:val="24"/>
        </w:rPr>
        <w:t>Таблица 1: Показатели за резултатите</w:t>
      </w:r>
      <w:bookmarkEnd w:id="5"/>
    </w:p>
    <w:p w14:paraId="141361B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5688"/>
        <w:gridCol w:w="1997"/>
        <w:gridCol w:w="1578"/>
        <w:gridCol w:w="1578"/>
      </w:tblGrid>
      <w:tr w:rsidR="00FE6FD5" w14:paraId="234A5BAE"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98C9E7" w14:textId="77777777" w:rsidR="00A77B3E" w:rsidRDefault="00AD19A4">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8678A2" w14:textId="77777777" w:rsidR="00A77B3E" w:rsidRDefault="00AD19A4">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CED743" w14:textId="77777777" w:rsidR="00A77B3E" w:rsidRDefault="00AD19A4">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24FB49" w14:textId="77777777" w:rsidR="00A77B3E" w:rsidRDefault="00AD19A4">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C8E01C" w14:textId="77777777" w:rsidR="00A77B3E" w:rsidRDefault="00AD19A4">
            <w:pPr>
              <w:spacing w:before="100"/>
              <w:jc w:val="center"/>
              <w:rPr>
                <w:color w:val="000000"/>
                <w:sz w:val="20"/>
              </w:rPr>
            </w:pPr>
            <w:r>
              <w:rPr>
                <w:color w:val="000000"/>
                <w:sz w:val="20"/>
              </w:rPr>
              <w:t>Цел (2029)</w:t>
            </w:r>
          </w:p>
        </w:tc>
      </w:tr>
      <w:tr w:rsidR="00FE6FD5" w14:paraId="4B09B3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ABDCF4" w14:textId="77777777" w:rsidR="00A77B3E" w:rsidRDefault="00AD19A4">
            <w:pPr>
              <w:spacing w:before="100"/>
              <w:rPr>
                <w:color w:val="000000"/>
                <w:sz w:val="20"/>
              </w:rPr>
            </w:pPr>
            <w:r>
              <w:rPr>
                <w:color w:val="000000"/>
                <w:sz w:val="20"/>
              </w:rPr>
              <w:t>О.1.1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486611" w14:textId="77777777" w:rsidR="00A77B3E" w:rsidRDefault="00AD19A4">
            <w:pPr>
              <w:spacing w:before="100"/>
              <w:rPr>
                <w:color w:val="000000"/>
                <w:sz w:val="20"/>
              </w:rPr>
            </w:pPr>
            <w:r>
              <w:rPr>
                <w:color w:val="000000"/>
                <w:sz w:val="20"/>
              </w:rPr>
              <w:t>Брой закупено оборудване за гранично-пропускателни пунктове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806389"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772B95" w14:textId="77777777" w:rsidR="00A77B3E" w:rsidRDefault="00AD19A4">
            <w:pPr>
              <w:spacing w:before="100"/>
              <w:jc w:val="right"/>
              <w:rPr>
                <w:color w:val="000000"/>
                <w:sz w:val="20"/>
              </w:rPr>
            </w:pPr>
            <w:r>
              <w:rPr>
                <w:color w:val="000000"/>
                <w:sz w:val="20"/>
              </w:rPr>
              <w:t>1647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CF9812" w14:textId="77777777" w:rsidR="00A77B3E" w:rsidRDefault="00AD19A4">
            <w:pPr>
              <w:spacing w:before="100"/>
              <w:jc w:val="right"/>
              <w:rPr>
                <w:color w:val="000000"/>
                <w:sz w:val="20"/>
              </w:rPr>
            </w:pPr>
            <w:r>
              <w:rPr>
                <w:color w:val="000000"/>
                <w:sz w:val="20"/>
              </w:rPr>
              <w:t>5 562</w:t>
            </w:r>
          </w:p>
        </w:tc>
      </w:tr>
      <w:tr w:rsidR="00FE6FD5" w14:paraId="3201A2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278CC9" w14:textId="77777777" w:rsidR="00A77B3E" w:rsidRDefault="00AD19A4">
            <w:pPr>
              <w:spacing w:before="100"/>
              <w:rPr>
                <w:color w:val="000000"/>
                <w:sz w:val="20"/>
              </w:rPr>
            </w:pPr>
            <w:r>
              <w:rPr>
                <w:color w:val="000000"/>
                <w:sz w:val="20"/>
              </w:rPr>
              <w:t>О.1.1.1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50CD4A" w14:textId="77777777" w:rsidR="00A77B3E" w:rsidRDefault="00AD19A4">
            <w:pPr>
              <w:spacing w:before="100"/>
              <w:rPr>
                <w:color w:val="000000"/>
                <w:sz w:val="20"/>
              </w:rPr>
            </w:pPr>
            <w:r>
              <w:rPr>
                <w:color w:val="000000"/>
                <w:sz w:val="20"/>
              </w:rPr>
              <w:t>от които брой закупени автоматизирани гранични пунктове / системи за самообслужване / електронни пунктове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E07AA7"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CE52A7"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59F6B" w14:textId="77777777" w:rsidR="00A77B3E" w:rsidRDefault="00AD19A4">
            <w:pPr>
              <w:spacing w:before="100"/>
              <w:jc w:val="right"/>
              <w:rPr>
                <w:color w:val="000000"/>
                <w:sz w:val="20"/>
              </w:rPr>
            </w:pPr>
            <w:r>
              <w:rPr>
                <w:color w:val="000000"/>
                <w:sz w:val="20"/>
              </w:rPr>
              <w:t>12</w:t>
            </w:r>
          </w:p>
        </w:tc>
      </w:tr>
      <w:tr w:rsidR="00FE6FD5" w14:paraId="75354F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B22F21" w14:textId="77777777" w:rsidR="00A77B3E" w:rsidRDefault="00AD19A4">
            <w:pPr>
              <w:spacing w:before="100"/>
              <w:rPr>
                <w:color w:val="000000"/>
                <w:sz w:val="20"/>
              </w:rPr>
            </w:pPr>
            <w:r>
              <w:rPr>
                <w:color w:val="000000"/>
                <w:sz w:val="20"/>
              </w:rPr>
              <w:t>О.1.2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C6C221" w14:textId="77777777" w:rsidR="00A77B3E" w:rsidRDefault="00AD19A4">
            <w:pPr>
              <w:spacing w:before="100"/>
              <w:rPr>
                <w:color w:val="000000"/>
                <w:sz w:val="20"/>
              </w:rPr>
            </w:pPr>
            <w:r>
              <w:rPr>
                <w:color w:val="000000"/>
                <w:sz w:val="20"/>
              </w:rPr>
              <w:t>Брой поддържани/ремонтирани инфраструктурни обекти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124E39"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4F9933" w14:textId="77777777" w:rsidR="00A77B3E" w:rsidRDefault="00AD19A4">
            <w:pPr>
              <w:spacing w:before="100"/>
              <w:jc w:val="right"/>
              <w:rPr>
                <w:color w:val="000000"/>
                <w:sz w:val="20"/>
              </w:rPr>
            </w:pPr>
            <w:r>
              <w:rPr>
                <w:color w:val="000000"/>
                <w:sz w:val="20"/>
              </w:rPr>
              <w:t>102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B53814" w14:textId="77777777" w:rsidR="00A77B3E" w:rsidRDefault="00AD19A4">
            <w:pPr>
              <w:spacing w:before="100"/>
              <w:jc w:val="right"/>
              <w:rPr>
                <w:color w:val="000000"/>
                <w:sz w:val="20"/>
              </w:rPr>
            </w:pPr>
            <w:r>
              <w:rPr>
                <w:color w:val="000000"/>
                <w:sz w:val="20"/>
              </w:rPr>
              <w:t>115</w:t>
            </w:r>
          </w:p>
        </w:tc>
      </w:tr>
      <w:tr w:rsidR="00FE6FD5" w14:paraId="0FDA82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38B5FA" w14:textId="77777777" w:rsidR="00A77B3E" w:rsidRDefault="00AD19A4">
            <w:pPr>
              <w:spacing w:before="100"/>
              <w:rPr>
                <w:color w:val="000000"/>
                <w:sz w:val="20"/>
              </w:rPr>
            </w:pPr>
            <w:r>
              <w:rPr>
                <w:color w:val="000000"/>
                <w:sz w:val="20"/>
              </w:rPr>
              <w:t>О.1.3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A9F9AF" w14:textId="77777777" w:rsidR="00A77B3E" w:rsidRDefault="00AD19A4">
            <w:pPr>
              <w:spacing w:before="100"/>
              <w:rPr>
                <w:color w:val="000000"/>
                <w:sz w:val="20"/>
              </w:rPr>
            </w:pPr>
            <w:r>
              <w:rPr>
                <w:color w:val="000000"/>
                <w:sz w:val="20"/>
              </w:rPr>
              <w:t>Брой поддържани горещи точки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DC7B74"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78D28D"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325B03" w14:textId="77777777" w:rsidR="00A77B3E" w:rsidRDefault="00AD19A4">
            <w:pPr>
              <w:spacing w:before="100"/>
              <w:jc w:val="right"/>
              <w:rPr>
                <w:color w:val="000000"/>
                <w:sz w:val="20"/>
              </w:rPr>
            </w:pPr>
            <w:r>
              <w:rPr>
                <w:color w:val="000000"/>
                <w:sz w:val="20"/>
              </w:rPr>
              <w:t>0</w:t>
            </w:r>
          </w:p>
        </w:tc>
      </w:tr>
      <w:tr w:rsidR="00FE6FD5" w14:paraId="6D6EC1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D0C87A" w14:textId="77777777" w:rsidR="00A77B3E" w:rsidRDefault="00AD19A4">
            <w:pPr>
              <w:spacing w:before="100"/>
              <w:rPr>
                <w:color w:val="000000"/>
                <w:sz w:val="20"/>
              </w:rPr>
            </w:pPr>
            <w:r>
              <w:rPr>
                <w:color w:val="000000"/>
                <w:sz w:val="20"/>
              </w:rPr>
              <w:t>О.1.4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A7C033" w14:textId="77777777" w:rsidR="00A77B3E" w:rsidRDefault="00AD19A4">
            <w:pPr>
              <w:spacing w:before="100"/>
              <w:rPr>
                <w:color w:val="000000"/>
                <w:sz w:val="20"/>
              </w:rPr>
            </w:pPr>
            <w:r>
              <w:rPr>
                <w:color w:val="000000"/>
                <w:sz w:val="20"/>
              </w:rPr>
              <w:t>Брой изградени/модернизирани съоръжения за гранично-пропускателни пунктове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8509C4"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D4889D" w14:textId="77777777" w:rsidR="00A77B3E" w:rsidRDefault="00AD19A4">
            <w:pPr>
              <w:spacing w:before="100"/>
              <w:jc w:val="right"/>
              <w:rPr>
                <w:color w:val="000000"/>
                <w:sz w:val="20"/>
              </w:rPr>
            </w:pPr>
            <w:r>
              <w:rPr>
                <w:color w:val="000000"/>
                <w:sz w:val="20"/>
              </w:rPr>
              <w:t>186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8996E6" w14:textId="77777777" w:rsidR="00A77B3E" w:rsidRDefault="00AD19A4">
            <w:pPr>
              <w:spacing w:before="100"/>
              <w:jc w:val="right"/>
              <w:rPr>
                <w:color w:val="000000"/>
                <w:sz w:val="20"/>
              </w:rPr>
            </w:pPr>
            <w:r>
              <w:rPr>
                <w:color w:val="000000"/>
                <w:sz w:val="20"/>
              </w:rPr>
              <w:t>187</w:t>
            </w:r>
          </w:p>
        </w:tc>
      </w:tr>
      <w:tr w:rsidR="00FE6FD5" w14:paraId="49A4EAC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FABFAD" w14:textId="77777777" w:rsidR="00A77B3E" w:rsidRDefault="00AD19A4">
            <w:pPr>
              <w:spacing w:before="100"/>
              <w:rPr>
                <w:color w:val="000000"/>
                <w:sz w:val="20"/>
              </w:rPr>
            </w:pPr>
            <w:r>
              <w:rPr>
                <w:color w:val="000000"/>
                <w:sz w:val="20"/>
              </w:rPr>
              <w:t>О.1.5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9830E1" w14:textId="77777777" w:rsidR="00A77B3E" w:rsidRDefault="00AD19A4">
            <w:pPr>
              <w:spacing w:before="100"/>
              <w:rPr>
                <w:color w:val="000000"/>
                <w:sz w:val="20"/>
              </w:rPr>
            </w:pPr>
            <w:r>
              <w:rPr>
                <w:color w:val="000000"/>
                <w:sz w:val="20"/>
              </w:rPr>
              <w:t>Брой закупени летателни апарати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980A32"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BED91"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659F82" w14:textId="77777777" w:rsidR="00A77B3E" w:rsidRDefault="00AD19A4">
            <w:pPr>
              <w:spacing w:before="100"/>
              <w:jc w:val="right"/>
              <w:rPr>
                <w:color w:val="000000"/>
                <w:sz w:val="20"/>
              </w:rPr>
            </w:pPr>
            <w:r>
              <w:rPr>
                <w:color w:val="000000"/>
                <w:sz w:val="20"/>
              </w:rPr>
              <w:t>3</w:t>
            </w:r>
          </w:p>
        </w:tc>
      </w:tr>
      <w:tr w:rsidR="00FE6FD5" w14:paraId="285FD4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D0E3F6" w14:textId="77777777" w:rsidR="00A77B3E" w:rsidRDefault="00AD19A4">
            <w:pPr>
              <w:spacing w:before="100"/>
              <w:rPr>
                <w:color w:val="000000"/>
                <w:sz w:val="20"/>
              </w:rPr>
            </w:pPr>
            <w:r>
              <w:rPr>
                <w:color w:val="000000"/>
                <w:sz w:val="20"/>
              </w:rPr>
              <w:t>О.1.5.1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C62943" w14:textId="77777777" w:rsidR="00A77B3E" w:rsidRDefault="00AD19A4">
            <w:pPr>
              <w:spacing w:before="100"/>
              <w:rPr>
                <w:color w:val="000000"/>
                <w:sz w:val="20"/>
              </w:rPr>
            </w:pPr>
            <w:r>
              <w:rPr>
                <w:color w:val="000000"/>
                <w:sz w:val="20"/>
              </w:rPr>
              <w:t>от които брой закупени безпилотни летателни апарати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29C177"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EFA8B4"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27DD41" w14:textId="77777777" w:rsidR="00A77B3E" w:rsidRDefault="00AD19A4">
            <w:pPr>
              <w:spacing w:before="100"/>
              <w:jc w:val="right"/>
              <w:rPr>
                <w:color w:val="000000"/>
                <w:sz w:val="20"/>
              </w:rPr>
            </w:pPr>
            <w:r>
              <w:rPr>
                <w:color w:val="000000"/>
                <w:sz w:val="20"/>
              </w:rPr>
              <w:t>3</w:t>
            </w:r>
          </w:p>
        </w:tc>
      </w:tr>
      <w:tr w:rsidR="00FE6FD5" w14:paraId="0A9935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6C683E" w14:textId="77777777" w:rsidR="00A77B3E" w:rsidRDefault="00AD19A4">
            <w:pPr>
              <w:spacing w:before="100"/>
              <w:rPr>
                <w:color w:val="000000"/>
                <w:sz w:val="20"/>
              </w:rPr>
            </w:pPr>
            <w:r>
              <w:rPr>
                <w:color w:val="000000"/>
                <w:sz w:val="20"/>
              </w:rPr>
              <w:t>О.1.6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E81139" w14:textId="77777777" w:rsidR="00A77B3E" w:rsidRDefault="00AD19A4">
            <w:pPr>
              <w:spacing w:before="100"/>
              <w:rPr>
                <w:color w:val="000000"/>
                <w:sz w:val="20"/>
              </w:rPr>
            </w:pPr>
            <w:r>
              <w:rPr>
                <w:color w:val="000000"/>
                <w:sz w:val="20"/>
              </w:rPr>
              <w:t>Брой закупени средства за морски транспорт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E9BDE7"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272D0C"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F7EF03" w14:textId="77777777" w:rsidR="00A77B3E" w:rsidRDefault="00AD19A4">
            <w:pPr>
              <w:spacing w:before="100"/>
              <w:jc w:val="right"/>
              <w:rPr>
                <w:color w:val="000000"/>
                <w:sz w:val="20"/>
              </w:rPr>
            </w:pPr>
            <w:r>
              <w:rPr>
                <w:color w:val="000000"/>
                <w:sz w:val="20"/>
              </w:rPr>
              <w:t>5</w:t>
            </w:r>
          </w:p>
        </w:tc>
      </w:tr>
      <w:tr w:rsidR="00FE6FD5" w14:paraId="6D4EF2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983A89" w14:textId="77777777" w:rsidR="00A77B3E" w:rsidRDefault="00AD19A4">
            <w:pPr>
              <w:spacing w:before="100"/>
              <w:rPr>
                <w:color w:val="000000"/>
                <w:sz w:val="20"/>
              </w:rPr>
            </w:pPr>
            <w:r>
              <w:rPr>
                <w:color w:val="000000"/>
                <w:sz w:val="20"/>
              </w:rPr>
              <w:t>О.1.7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0A63CD" w14:textId="77777777" w:rsidR="00A77B3E" w:rsidRDefault="00AD19A4">
            <w:pPr>
              <w:spacing w:before="100"/>
              <w:rPr>
                <w:color w:val="000000"/>
                <w:sz w:val="20"/>
              </w:rPr>
            </w:pPr>
            <w:r>
              <w:rPr>
                <w:color w:val="000000"/>
                <w:sz w:val="20"/>
              </w:rPr>
              <w:t>Брой закупени сухопътни транспортни средства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A374A2"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BE376D" w14:textId="77777777" w:rsidR="00A77B3E" w:rsidRDefault="00AD19A4">
            <w:pPr>
              <w:spacing w:before="100"/>
              <w:jc w:val="right"/>
              <w:rPr>
                <w:color w:val="000000"/>
                <w:sz w:val="20"/>
              </w:rPr>
            </w:pPr>
            <w:r>
              <w:rPr>
                <w:color w:val="000000"/>
                <w:sz w:val="20"/>
              </w:rPr>
              <w:t>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6142DD" w14:textId="77777777" w:rsidR="00A77B3E" w:rsidRDefault="00AD19A4">
            <w:pPr>
              <w:spacing w:before="100"/>
              <w:jc w:val="right"/>
              <w:rPr>
                <w:color w:val="000000"/>
                <w:sz w:val="20"/>
              </w:rPr>
            </w:pPr>
            <w:r>
              <w:rPr>
                <w:color w:val="000000"/>
                <w:sz w:val="20"/>
              </w:rPr>
              <w:t>764</w:t>
            </w:r>
          </w:p>
        </w:tc>
      </w:tr>
      <w:tr w:rsidR="00FE6FD5" w14:paraId="3E0C2D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1470B" w14:textId="77777777" w:rsidR="00A77B3E" w:rsidRDefault="00AD19A4">
            <w:pPr>
              <w:spacing w:before="100"/>
              <w:rPr>
                <w:color w:val="000000"/>
                <w:sz w:val="20"/>
              </w:rPr>
            </w:pPr>
            <w:r>
              <w:rPr>
                <w:color w:val="000000"/>
                <w:sz w:val="20"/>
              </w:rPr>
              <w:t>О.1.8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FF1BC8" w14:textId="77777777" w:rsidR="00A77B3E" w:rsidRDefault="00AD19A4">
            <w:pPr>
              <w:spacing w:before="100"/>
              <w:rPr>
                <w:color w:val="000000"/>
                <w:sz w:val="20"/>
              </w:rPr>
            </w:pPr>
            <w:r>
              <w:rPr>
                <w:color w:val="000000"/>
                <w:sz w:val="20"/>
              </w:rPr>
              <w:t>Брой подкрепени участници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D996A2"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748991" w14:textId="77777777" w:rsidR="00A77B3E" w:rsidRDefault="00AD19A4">
            <w:pPr>
              <w:spacing w:before="100"/>
              <w:jc w:val="right"/>
              <w:rPr>
                <w:color w:val="000000"/>
                <w:sz w:val="20"/>
              </w:rPr>
            </w:pPr>
            <w:r>
              <w:rPr>
                <w:color w:val="000000"/>
                <w:sz w:val="20"/>
              </w:rPr>
              <w:t>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CE2271" w14:textId="77777777" w:rsidR="00A77B3E" w:rsidRDefault="00AD19A4">
            <w:pPr>
              <w:spacing w:before="100"/>
              <w:jc w:val="right"/>
              <w:rPr>
                <w:color w:val="000000"/>
                <w:sz w:val="20"/>
              </w:rPr>
            </w:pPr>
            <w:r>
              <w:rPr>
                <w:color w:val="000000"/>
                <w:sz w:val="20"/>
              </w:rPr>
              <w:t>491</w:t>
            </w:r>
          </w:p>
        </w:tc>
      </w:tr>
      <w:tr w:rsidR="00FE6FD5" w14:paraId="761E03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415AE1" w14:textId="77777777" w:rsidR="00A77B3E" w:rsidRDefault="00AD19A4">
            <w:pPr>
              <w:spacing w:before="100"/>
              <w:rPr>
                <w:color w:val="000000"/>
                <w:sz w:val="20"/>
              </w:rPr>
            </w:pPr>
            <w:r>
              <w:rPr>
                <w:color w:val="000000"/>
                <w:sz w:val="20"/>
              </w:rPr>
              <w:t>О.1.8.1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484E72" w14:textId="77777777" w:rsidR="00A77B3E" w:rsidRDefault="00AD19A4">
            <w:pPr>
              <w:spacing w:before="100"/>
              <w:rPr>
                <w:color w:val="000000"/>
                <w:sz w:val="20"/>
              </w:rPr>
            </w:pPr>
            <w:r>
              <w:rPr>
                <w:color w:val="000000"/>
                <w:sz w:val="20"/>
              </w:rPr>
              <w:t>от които брой участници в обучителни дейности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623B0"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C3DA3A" w14:textId="77777777" w:rsidR="00A77B3E" w:rsidRDefault="00AD19A4">
            <w:pPr>
              <w:spacing w:before="100"/>
              <w:jc w:val="right"/>
              <w:rPr>
                <w:color w:val="000000"/>
                <w:sz w:val="20"/>
              </w:rPr>
            </w:pPr>
            <w:r>
              <w:rPr>
                <w:color w:val="000000"/>
                <w:sz w:val="20"/>
              </w:rPr>
              <w:t>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979AE3" w14:textId="77777777" w:rsidR="00A77B3E" w:rsidRDefault="00AD19A4">
            <w:pPr>
              <w:spacing w:before="100"/>
              <w:jc w:val="right"/>
              <w:rPr>
                <w:color w:val="000000"/>
                <w:sz w:val="20"/>
              </w:rPr>
            </w:pPr>
            <w:r>
              <w:rPr>
                <w:color w:val="000000"/>
                <w:sz w:val="20"/>
              </w:rPr>
              <w:t>491</w:t>
            </w:r>
          </w:p>
        </w:tc>
      </w:tr>
      <w:tr w:rsidR="00FE6FD5" w14:paraId="564F1B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671A73" w14:textId="77777777" w:rsidR="00A77B3E" w:rsidRDefault="00AD19A4">
            <w:pPr>
              <w:spacing w:before="100"/>
              <w:rPr>
                <w:color w:val="000000"/>
                <w:sz w:val="20"/>
              </w:rPr>
            </w:pPr>
            <w:r>
              <w:rPr>
                <w:color w:val="000000"/>
                <w:sz w:val="20"/>
              </w:rPr>
              <w:t>О.1.9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6EB82C" w14:textId="77777777" w:rsidR="00A77B3E" w:rsidRDefault="00AD19A4">
            <w:pPr>
              <w:spacing w:before="100"/>
              <w:rPr>
                <w:color w:val="000000"/>
                <w:sz w:val="20"/>
              </w:rPr>
            </w:pPr>
            <w:r>
              <w:rPr>
                <w:color w:val="000000"/>
                <w:sz w:val="20"/>
              </w:rPr>
              <w:t>Брой служители за връзка по въпросите на имиграцията, разположени в трети държави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9C3659"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DD96F4"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F4BEF8" w14:textId="77777777" w:rsidR="00A77B3E" w:rsidRDefault="00AD19A4">
            <w:pPr>
              <w:spacing w:before="100"/>
              <w:jc w:val="right"/>
              <w:rPr>
                <w:color w:val="000000"/>
                <w:sz w:val="20"/>
              </w:rPr>
            </w:pPr>
            <w:r>
              <w:rPr>
                <w:color w:val="000000"/>
                <w:sz w:val="20"/>
              </w:rPr>
              <w:t>0</w:t>
            </w:r>
          </w:p>
        </w:tc>
      </w:tr>
      <w:tr w:rsidR="00FE6FD5" w14:paraId="2C38DD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DECB34" w14:textId="77777777" w:rsidR="00A77B3E" w:rsidRDefault="00AD19A4">
            <w:pPr>
              <w:spacing w:before="100"/>
              <w:rPr>
                <w:color w:val="000000"/>
                <w:sz w:val="20"/>
              </w:rPr>
            </w:pPr>
            <w:r>
              <w:rPr>
                <w:color w:val="000000"/>
                <w:sz w:val="20"/>
              </w:rPr>
              <w:t>О.1.10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264B3B" w14:textId="77777777" w:rsidR="00A77B3E" w:rsidRDefault="00AD19A4">
            <w:pPr>
              <w:spacing w:before="100"/>
              <w:rPr>
                <w:color w:val="000000"/>
                <w:sz w:val="20"/>
              </w:rPr>
            </w:pPr>
            <w:r>
              <w:rPr>
                <w:color w:val="000000"/>
                <w:sz w:val="20"/>
              </w:rPr>
              <w:t>Брой разработени / поддържани / надградени ИТ функционалности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20D8E6"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2DA773" w14:textId="77777777" w:rsidR="00A77B3E" w:rsidRDefault="00AD19A4">
            <w:pPr>
              <w:spacing w:before="100"/>
              <w:jc w:val="right"/>
              <w:rPr>
                <w:color w:val="000000"/>
                <w:sz w:val="20"/>
              </w:rPr>
            </w:pPr>
            <w:r>
              <w:rPr>
                <w:color w:val="000000"/>
                <w:sz w:val="20"/>
              </w:rPr>
              <w:t>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7DD3F3" w14:textId="77777777" w:rsidR="00A77B3E" w:rsidRDefault="00AD19A4">
            <w:pPr>
              <w:spacing w:before="100"/>
              <w:jc w:val="right"/>
              <w:rPr>
                <w:color w:val="000000"/>
                <w:sz w:val="20"/>
              </w:rPr>
            </w:pPr>
            <w:r>
              <w:rPr>
                <w:color w:val="000000"/>
                <w:sz w:val="20"/>
              </w:rPr>
              <w:t>19</w:t>
            </w:r>
          </w:p>
        </w:tc>
      </w:tr>
      <w:tr w:rsidR="00FE6FD5" w14:paraId="3692C2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A10698" w14:textId="77777777" w:rsidR="00A77B3E" w:rsidRDefault="00AD19A4">
            <w:pPr>
              <w:spacing w:before="100"/>
              <w:rPr>
                <w:color w:val="000000"/>
                <w:sz w:val="20"/>
              </w:rPr>
            </w:pPr>
            <w:r>
              <w:rPr>
                <w:color w:val="000000"/>
                <w:sz w:val="20"/>
              </w:rPr>
              <w:t>О.1.11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86ACE3" w14:textId="77777777" w:rsidR="00A77B3E" w:rsidRDefault="00AD19A4">
            <w:pPr>
              <w:spacing w:before="100"/>
              <w:rPr>
                <w:color w:val="000000"/>
                <w:sz w:val="20"/>
              </w:rPr>
            </w:pPr>
            <w:r>
              <w:rPr>
                <w:color w:val="000000"/>
                <w:sz w:val="20"/>
              </w:rPr>
              <w:t>Брой разработени / поддържани / обновени мащабни ИТ системи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A37F19"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F9482" w14:textId="77777777" w:rsidR="00A77B3E" w:rsidRDefault="00AD19A4">
            <w:pPr>
              <w:spacing w:before="100"/>
              <w:jc w:val="right"/>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01226F" w14:textId="77777777" w:rsidR="00A77B3E" w:rsidRDefault="00AD19A4">
            <w:pPr>
              <w:spacing w:before="100"/>
              <w:jc w:val="right"/>
              <w:rPr>
                <w:color w:val="000000"/>
                <w:sz w:val="20"/>
              </w:rPr>
            </w:pPr>
            <w:r>
              <w:rPr>
                <w:color w:val="000000"/>
                <w:sz w:val="20"/>
              </w:rPr>
              <w:t>2</w:t>
            </w:r>
          </w:p>
        </w:tc>
      </w:tr>
      <w:tr w:rsidR="00FE6FD5" w14:paraId="08EAEA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437C8E" w14:textId="77777777" w:rsidR="00A77B3E" w:rsidRDefault="00AD19A4">
            <w:pPr>
              <w:spacing w:before="100"/>
              <w:rPr>
                <w:color w:val="000000"/>
                <w:sz w:val="20"/>
              </w:rPr>
            </w:pPr>
            <w:r>
              <w:rPr>
                <w:color w:val="000000"/>
                <w:sz w:val="20"/>
              </w:rPr>
              <w:t>О.1.11.1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0E2A47" w14:textId="77777777" w:rsidR="00A77B3E" w:rsidRDefault="00AD19A4">
            <w:pPr>
              <w:spacing w:before="100"/>
              <w:rPr>
                <w:color w:val="000000"/>
                <w:sz w:val="20"/>
              </w:rPr>
            </w:pPr>
            <w:r>
              <w:rPr>
                <w:color w:val="000000"/>
                <w:sz w:val="20"/>
              </w:rPr>
              <w:t>от които брой разработени широкомащабни ИТ системи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78C5B4"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5510C" w14:textId="77777777" w:rsidR="00A77B3E" w:rsidRDefault="00AD19A4">
            <w:pPr>
              <w:spacing w:before="100"/>
              <w:jc w:val="right"/>
              <w:rPr>
                <w:color w:val="000000"/>
                <w:sz w:val="20"/>
              </w:rPr>
            </w:pPr>
            <w:r>
              <w:rPr>
                <w:color w:val="000000"/>
                <w:sz w:val="20"/>
              </w:rPr>
              <w:t>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431E36" w14:textId="77777777" w:rsidR="00A77B3E" w:rsidRDefault="00AD19A4">
            <w:pPr>
              <w:spacing w:before="100"/>
              <w:jc w:val="right"/>
              <w:rPr>
                <w:color w:val="000000"/>
                <w:sz w:val="20"/>
              </w:rPr>
            </w:pPr>
            <w:r>
              <w:rPr>
                <w:color w:val="000000"/>
                <w:sz w:val="20"/>
              </w:rPr>
              <w:t>2</w:t>
            </w:r>
          </w:p>
        </w:tc>
      </w:tr>
      <w:tr w:rsidR="00FE6FD5" w14:paraId="6E8A76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2714EC" w14:textId="77777777" w:rsidR="00A77B3E" w:rsidRDefault="00AD19A4">
            <w:pPr>
              <w:spacing w:before="100"/>
              <w:rPr>
                <w:color w:val="000000"/>
                <w:sz w:val="20"/>
              </w:rPr>
            </w:pPr>
            <w:r>
              <w:rPr>
                <w:color w:val="000000"/>
                <w:sz w:val="20"/>
              </w:rPr>
              <w:t>О.1.12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5A6145" w14:textId="77777777" w:rsidR="00A77B3E" w:rsidRDefault="00AD19A4">
            <w:pPr>
              <w:spacing w:before="100"/>
              <w:rPr>
                <w:color w:val="000000"/>
                <w:sz w:val="20"/>
              </w:rPr>
            </w:pPr>
            <w:r>
              <w:rPr>
                <w:color w:val="000000"/>
                <w:sz w:val="20"/>
              </w:rPr>
              <w:t>Брой проекти за сътрудничество с трети държави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529578"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3CEAC0"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06662B" w14:textId="77777777" w:rsidR="00A77B3E" w:rsidRDefault="00AD19A4">
            <w:pPr>
              <w:spacing w:before="100"/>
              <w:jc w:val="right"/>
              <w:rPr>
                <w:color w:val="000000"/>
                <w:sz w:val="20"/>
              </w:rPr>
            </w:pPr>
            <w:r>
              <w:rPr>
                <w:color w:val="000000"/>
                <w:sz w:val="20"/>
              </w:rPr>
              <w:t>0</w:t>
            </w:r>
          </w:p>
        </w:tc>
      </w:tr>
      <w:tr w:rsidR="00FE6FD5" w14:paraId="648D73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E0FB24" w14:textId="77777777" w:rsidR="00A77B3E" w:rsidRDefault="00AD19A4">
            <w:pPr>
              <w:spacing w:before="100"/>
              <w:rPr>
                <w:color w:val="000000"/>
                <w:sz w:val="20"/>
              </w:rPr>
            </w:pPr>
            <w:r>
              <w:rPr>
                <w:color w:val="000000"/>
                <w:sz w:val="20"/>
              </w:rPr>
              <w:lastRenderedPageBreak/>
              <w:t>О.1.13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0F6320" w14:textId="77777777" w:rsidR="00A77B3E" w:rsidRDefault="00AD19A4">
            <w:pPr>
              <w:spacing w:before="100"/>
              <w:rPr>
                <w:color w:val="000000"/>
                <w:sz w:val="20"/>
              </w:rPr>
            </w:pPr>
            <w:r>
              <w:rPr>
                <w:color w:val="000000"/>
                <w:sz w:val="20"/>
              </w:rPr>
              <w:t>Брой лица, подали молба за международна закрила на гранично-пропускателни пунктове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5AB4AB"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D1C921"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1DDBFF" w14:textId="77777777" w:rsidR="00A77B3E" w:rsidRDefault="00AD19A4">
            <w:pPr>
              <w:spacing w:before="100"/>
              <w:jc w:val="right"/>
              <w:rPr>
                <w:color w:val="000000"/>
                <w:sz w:val="20"/>
              </w:rPr>
            </w:pPr>
            <w:r>
              <w:rPr>
                <w:color w:val="000000"/>
                <w:sz w:val="20"/>
              </w:rPr>
              <w:t>0</w:t>
            </w:r>
          </w:p>
        </w:tc>
      </w:tr>
    </w:tbl>
    <w:p w14:paraId="2191A90A" w14:textId="77777777" w:rsidR="00A77B3E" w:rsidRDefault="00AD19A4">
      <w:pPr>
        <w:spacing w:before="100"/>
        <w:rPr>
          <w:color w:val="000000"/>
        </w:rPr>
      </w:pPr>
      <w:r>
        <w:rPr>
          <w:color w:val="000000"/>
          <w:sz w:val="20"/>
        </w:rPr>
        <w:br w:type="page"/>
      </w:r>
      <w:r>
        <w:rPr>
          <w:color w:val="000000"/>
        </w:rPr>
        <w:lastRenderedPageBreak/>
        <w:t>2.1. Специфична цел 1. Европейско интегрирано управление на границите</w:t>
      </w:r>
    </w:p>
    <w:p w14:paraId="6C0E9DF3" w14:textId="77777777" w:rsidR="00A77B3E" w:rsidRDefault="00AD19A4">
      <w:pPr>
        <w:spacing w:before="100"/>
        <w:rPr>
          <w:color w:val="000000"/>
          <w:sz w:val="0"/>
        </w:rPr>
      </w:pPr>
      <w:r>
        <w:rPr>
          <w:color w:val="000000"/>
        </w:rPr>
        <w:t>2.1.2. Индикатори</w:t>
      </w:r>
    </w:p>
    <w:p w14:paraId="07CE71C3" w14:textId="77777777" w:rsidR="00A77B3E" w:rsidRDefault="00AD19A4">
      <w:pPr>
        <w:spacing w:before="100"/>
        <w:rPr>
          <w:color w:val="000000"/>
          <w:sz w:val="12"/>
        </w:rPr>
      </w:pPr>
      <w:r>
        <w:rPr>
          <w:color w:val="000000"/>
        </w:rPr>
        <w:t>Позоваване: член 22, параграф 4, буква д) от РОР</w:t>
      </w:r>
    </w:p>
    <w:p w14:paraId="15EEEA55" w14:textId="77777777" w:rsidR="00A77B3E" w:rsidRDefault="00AD19A4">
      <w:pPr>
        <w:pStyle w:val="Heading4"/>
        <w:spacing w:before="100" w:after="0"/>
        <w:rPr>
          <w:b w:val="0"/>
          <w:color w:val="000000"/>
          <w:sz w:val="24"/>
        </w:rPr>
      </w:pPr>
      <w:bookmarkStart w:id="6" w:name="_Toc256000054"/>
      <w:r>
        <w:rPr>
          <w:b w:val="0"/>
          <w:color w:val="000000"/>
          <w:sz w:val="24"/>
        </w:rPr>
        <w:t>Таблица 2: Показатели за резултати</w:t>
      </w:r>
      <w:bookmarkEnd w:id="6"/>
    </w:p>
    <w:p w14:paraId="09A083F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FE6FD5" w14:paraId="3FD6515F"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F36056" w14:textId="77777777" w:rsidR="00A77B3E" w:rsidRDefault="00AD19A4">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C3B9A1" w14:textId="77777777" w:rsidR="00A77B3E" w:rsidRDefault="00AD19A4">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B52F06" w14:textId="77777777" w:rsidR="00A77B3E" w:rsidRDefault="00AD19A4">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D9FBB5" w14:textId="77777777" w:rsidR="00A77B3E" w:rsidRDefault="00AD19A4">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9A126A" w14:textId="77777777" w:rsidR="00A77B3E" w:rsidRDefault="00AD19A4">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C1472B" w14:textId="77777777" w:rsidR="00A77B3E" w:rsidRDefault="00AD19A4">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D43495" w14:textId="77777777" w:rsidR="00A77B3E" w:rsidRDefault="00AD19A4">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F20A8E" w14:textId="77777777" w:rsidR="00A77B3E" w:rsidRDefault="00AD19A4">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8B9592" w14:textId="77777777" w:rsidR="00A77B3E" w:rsidRDefault="00AD19A4">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F5CD6B" w14:textId="77777777" w:rsidR="00A77B3E" w:rsidRDefault="00AD19A4">
            <w:pPr>
              <w:spacing w:before="100"/>
              <w:rPr>
                <w:color w:val="000000"/>
                <w:sz w:val="20"/>
              </w:rPr>
            </w:pPr>
            <w:r>
              <w:rPr>
                <w:color w:val="000000"/>
                <w:sz w:val="20"/>
              </w:rPr>
              <w:t>Коментари</w:t>
            </w:r>
          </w:p>
        </w:tc>
      </w:tr>
      <w:tr w:rsidR="00FE6FD5" w14:paraId="75A4E0DF"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C78A3" w14:textId="77777777" w:rsidR="00A77B3E" w:rsidRDefault="00AD19A4">
            <w:pPr>
              <w:spacing w:before="100"/>
              <w:rPr>
                <w:color w:val="000000"/>
                <w:sz w:val="20"/>
              </w:rPr>
            </w:pPr>
            <w:r>
              <w:rPr>
                <w:color w:val="000000"/>
                <w:sz w:val="20"/>
              </w:rPr>
              <w:t>Р.1.14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ACD7DC" w14:textId="77777777" w:rsidR="00A77B3E" w:rsidRDefault="00AD19A4">
            <w:pPr>
              <w:spacing w:before="100"/>
              <w:rPr>
                <w:color w:val="000000"/>
                <w:sz w:val="20"/>
              </w:rPr>
            </w:pPr>
            <w:r>
              <w:rPr>
                <w:color w:val="000000"/>
                <w:sz w:val="20"/>
              </w:rPr>
              <w:t>Брой единици оборудване, регистрирани във фонда за техническо оборудване на Европейската агенция за гранична и брегова охрана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E1FA2C"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74F5D"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C7368"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447B4"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5FA5F2" w14:textId="77777777" w:rsidR="00A77B3E" w:rsidRDefault="00AD19A4">
            <w:pPr>
              <w:spacing w:before="100"/>
              <w:jc w:val="center"/>
              <w:rPr>
                <w:color w:val="000000"/>
                <w:sz w:val="20"/>
              </w:rPr>
            </w:pPr>
            <w:r>
              <w:rPr>
                <w:color w:val="000000"/>
                <w:sz w:val="20"/>
              </w:rPr>
              <w:t>724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E21C9"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12F2F1"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EAFA2" w14:textId="77777777" w:rsidR="00A77B3E" w:rsidRDefault="00A77B3E">
            <w:pPr>
              <w:spacing w:before="100"/>
              <w:rPr>
                <w:color w:val="000000"/>
                <w:sz w:val="20"/>
              </w:rPr>
            </w:pPr>
          </w:p>
        </w:tc>
      </w:tr>
      <w:tr w:rsidR="00FE6FD5" w14:paraId="159DA7BC"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53B123" w14:textId="77777777" w:rsidR="00A77B3E" w:rsidRDefault="00AD19A4">
            <w:pPr>
              <w:spacing w:before="100"/>
              <w:rPr>
                <w:color w:val="000000"/>
                <w:sz w:val="20"/>
              </w:rPr>
            </w:pPr>
            <w:r>
              <w:rPr>
                <w:color w:val="000000"/>
                <w:sz w:val="20"/>
              </w:rPr>
              <w:t>Р.1.15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BF7BBC" w14:textId="77777777" w:rsidR="00A77B3E" w:rsidRDefault="00AD19A4">
            <w:pPr>
              <w:spacing w:before="100"/>
              <w:rPr>
                <w:color w:val="000000"/>
                <w:sz w:val="20"/>
              </w:rPr>
            </w:pPr>
            <w:r>
              <w:rPr>
                <w:color w:val="000000"/>
                <w:sz w:val="20"/>
              </w:rPr>
              <w:t>Брой оборудване, предоставено на разположение на Европейската агенция за гранична и брегова охрана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FAA3FA"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718F00"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87E364"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B5ED9"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E29DC6" w14:textId="77777777" w:rsidR="00A77B3E" w:rsidRDefault="00AD19A4">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B80D5"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A454B"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126E2" w14:textId="77777777" w:rsidR="00A77B3E" w:rsidRDefault="00A77B3E">
            <w:pPr>
              <w:spacing w:before="100"/>
              <w:rPr>
                <w:color w:val="000000"/>
                <w:sz w:val="20"/>
              </w:rPr>
            </w:pPr>
          </w:p>
        </w:tc>
      </w:tr>
      <w:tr w:rsidR="00FE6FD5" w14:paraId="39BA0445"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38A5E5" w14:textId="77777777" w:rsidR="00A77B3E" w:rsidRDefault="00AD19A4">
            <w:pPr>
              <w:spacing w:before="100"/>
              <w:rPr>
                <w:color w:val="000000"/>
                <w:sz w:val="20"/>
              </w:rPr>
            </w:pPr>
            <w:r>
              <w:rPr>
                <w:color w:val="000000"/>
                <w:sz w:val="20"/>
              </w:rPr>
              <w:t>Р.1.16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4130CA" w14:textId="77777777" w:rsidR="00A77B3E" w:rsidRDefault="00AD19A4">
            <w:pPr>
              <w:spacing w:before="100"/>
              <w:rPr>
                <w:color w:val="000000"/>
                <w:sz w:val="20"/>
              </w:rPr>
            </w:pPr>
            <w:r>
              <w:rPr>
                <w:color w:val="000000"/>
                <w:sz w:val="20"/>
              </w:rPr>
              <w:t>Брой инициирани/подобрени форми на сътрудничество на националните органи с Националния координационен център (НКЦ) на Eurosur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F96CC1"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CE0ADF"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83CFEC"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CC7271"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4F2D80"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12FD0"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40DC3"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F0CB75" w14:textId="77777777" w:rsidR="00A77B3E" w:rsidRDefault="00A77B3E">
            <w:pPr>
              <w:spacing w:before="100"/>
              <w:rPr>
                <w:color w:val="000000"/>
                <w:sz w:val="20"/>
              </w:rPr>
            </w:pPr>
          </w:p>
        </w:tc>
      </w:tr>
      <w:tr w:rsidR="00FE6FD5" w14:paraId="71CCE83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42B0D2" w14:textId="77777777" w:rsidR="00A77B3E" w:rsidRDefault="00AD19A4">
            <w:pPr>
              <w:spacing w:before="100"/>
              <w:rPr>
                <w:color w:val="000000"/>
                <w:sz w:val="20"/>
              </w:rPr>
            </w:pPr>
            <w:r>
              <w:rPr>
                <w:color w:val="000000"/>
                <w:sz w:val="20"/>
              </w:rPr>
              <w:t>Р.1.17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863565" w14:textId="77777777" w:rsidR="00A77B3E" w:rsidRDefault="00AD19A4">
            <w:pPr>
              <w:spacing w:before="100"/>
              <w:rPr>
                <w:color w:val="000000"/>
                <w:sz w:val="20"/>
              </w:rPr>
            </w:pPr>
            <w:r>
              <w:rPr>
                <w:color w:val="000000"/>
                <w:sz w:val="20"/>
              </w:rPr>
              <w:t>Брой преминавания на границата през автоматизирани гранични пунктове и електронни пунктове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BB13A4"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D845F"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C0BD9" w14:textId="77777777" w:rsidR="00A77B3E" w:rsidRDefault="00AD19A4">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5F6DC7"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036559" w14:textId="77777777" w:rsidR="00A77B3E" w:rsidRDefault="00AD19A4">
            <w:pPr>
              <w:spacing w:before="100"/>
              <w:jc w:val="center"/>
              <w:rPr>
                <w:color w:val="000000"/>
                <w:sz w:val="20"/>
              </w:rPr>
            </w:pPr>
            <w:r>
              <w:rPr>
                <w:color w:val="000000"/>
                <w:sz w:val="20"/>
              </w:rPr>
              <w:t>8 235 000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54037E"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16AB81"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E2637" w14:textId="77777777" w:rsidR="00A77B3E" w:rsidRDefault="00A77B3E">
            <w:pPr>
              <w:spacing w:before="100"/>
              <w:rPr>
                <w:color w:val="000000"/>
                <w:sz w:val="20"/>
              </w:rPr>
            </w:pPr>
          </w:p>
        </w:tc>
      </w:tr>
      <w:tr w:rsidR="00FE6FD5" w14:paraId="3ACFE44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576D2" w14:textId="77777777" w:rsidR="00A77B3E" w:rsidRDefault="00AD19A4">
            <w:pPr>
              <w:spacing w:before="100"/>
              <w:rPr>
                <w:color w:val="000000"/>
                <w:sz w:val="20"/>
              </w:rPr>
            </w:pPr>
            <w:r>
              <w:rPr>
                <w:color w:val="000000"/>
                <w:sz w:val="20"/>
              </w:rPr>
              <w:t>Р.1.18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DC4568" w14:textId="77777777" w:rsidR="00A77B3E" w:rsidRDefault="00AD19A4">
            <w:pPr>
              <w:spacing w:before="100"/>
              <w:rPr>
                <w:color w:val="000000"/>
                <w:sz w:val="20"/>
              </w:rPr>
            </w:pPr>
            <w:r>
              <w:rPr>
                <w:color w:val="000000"/>
                <w:sz w:val="20"/>
              </w:rPr>
              <w:t xml:space="preserve">Брой на изпълнените препоръки от оценките </w:t>
            </w:r>
            <w:r>
              <w:rPr>
                <w:color w:val="000000"/>
                <w:sz w:val="20"/>
              </w:rPr>
              <w:lastRenderedPageBreak/>
              <w:t>по Шенген и от оценките на уязвимостта в областта на управлението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5F8EEE" w14:textId="77777777" w:rsidR="00A77B3E" w:rsidRDefault="00AD19A4">
            <w:pPr>
              <w:spacing w:before="100"/>
              <w:rPr>
                <w:color w:val="000000"/>
                <w:sz w:val="20"/>
              </w:rPr>
            </w:pPr>
            <w:r>
              <w:rPr>
                <w:color w:val="000000"/>
                <w:sz w:val="20"/>
              </w:rPr>
              <w:lastRenderedPageBreak/>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FB2CBB"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EFEDD4"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83CD6E"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6CF8FC" w14:textId="77777777" w:rsidR="00A77B3E" w:rsidRDefault="00AD19A4">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98B77C" w14:textId="77777777" w:rsidR="00A77B3E" w:rsidRDefault="00AD19A4">
            <w:pPr>
              <w:spacing w:before="100"/>
              <w:rPr>
                <w:color w:val="000000"/>
                <w:sz w:val="20"/>
              </w:rPr>
            </w:pPr>
            <w:r>
              <w:rPr>
                <w:color w:val="000000"/>
                <w:sz w:val="20"/>
              </w:rPr>
              <w:t>процент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C3E503"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35A38C" w14:textId="77777777" w:rsidR="00A77B3E" w:rsidRDefault="00A77B3E">
            <w:pPr>
              <w:spacing w:before="100"/>
              <w:rPr>
                <w:color w:val="000000"/>
                <w:sz w:val="20"/>
              </w:rPr>
            </w:pPr>
          </w:p>
        </w:tc>
      </w:tr>
      <w:tr w:rsidR="00FE6FD5" w14:paraId="14E5085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75A7B9" w14:textId="77777777" w:rsidR="00A77B3E" w:rsidRDefault="00AD19A4">
            <w:pPr>
              <w:spacing w:before="100"/>
              <w:rPr>
                <w:color w:val="000000"/>
                <w:sz w:val="20"/>
              </w:rPr>
            </w:pPr>
            <w:r>
              <w:rPr>
                <w:color w:val="000000"/>
                <w:sz w:val="20"/>
              </w:rPr>
              <w:t>Р.1.19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B050EE" w14:textId="77777777" w:rsidR="00A77B3E" w:rsidRDefault="00AD19A4">
            <w:pPr>
              <w:spacing w:before="100"/>
              <w:rPr>
                <w:color w:val="000000"/>
                <w:sz w:val="20"/>
              </w:rPr>
            </w:pPr>
            <w:r>
              <w:rPr>
                <w:color w:val="000000"/>
                <w:sz w:val="20"/>
              </w:rPr>
              <w:t>Брой участници, които съобщават три месеца след обучителната дейност, че използват уменията и компетенциите, придобити по време на обучението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D8371"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485CBE"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AC4EF" w14:textId="77777777" w:rsidR="00A77B3E" w:rsidRDefault="00AD19A4">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1CB7B"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E8128A" w14:textId="77777777" w:rsidR="00A77B3E" w:rsidRDefault="00AD19A4">
            <w:pPr>
              <w:spacing w:before="100"/>
              <w:jc w:val="center"/>
              <w:rPr>
                <w:color w:val="000000"/>
                <w:sz w:val="20"/>
              </w:rPr>
            </w:pPr>
            <w:r>
              <w:rPr>
                <w:color w:val="000000"/>
                <w:sz w:val="20"/>
              </w:rPr>
              <w:t>491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1BFE58"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93103"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DA1F06" w14:textId="77777777" w:rsidR="00A77B3E" w:rsidRDefault="00A77B3E">
            <w:pPr>
              <w:spacing w:before="100"/>
              <w:rPr>
                <w:color w:val="000000"/>
                <w:sz w:val="20"/>
              </w:rPr>
            </w:pPr>
          </w:p>
        </w:tc>
      </w:tr>
      <w:tr w:rsidR="00FE6FD5" w14:paraId="0FD6EFCE"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7DBF4F" w14:textId="77777777" w:rsidR="00A77B3E" w:rsidRDefault="00AD19A4">
            <w:pPr>
              <w:spacing w:before="100"/>
              <w:rPr>
                <w:color w:val="000000"/>
                <w:sz w:val="20"/>
              </w:rPr>
            </w:pPr>
            <w:r>
              <w:rPr>
                <w:color w:val="000000"/>
                <w:sz w:val="20"/>
              </w:rPr>
              <w:t>Р.1.20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0FB09" w14:textId="77777777" w:rsidR="00A77B3E" w:rsidRDefault="00AD19A4">
            <w:pPr>
              <w:spacing w:before="100"/>
              <w:rPr>
                <w:color w:val="000000"/>
                <w:sz w:val="20"/>
              </w:rPr>
            </w:pPr>
            <w:r>
              <w:rPr>
                <w:color w:val="000000"/>
                <w:sz w:val="20"/>
              </w:rPr>
              <w:t>Брой лица, на които е отказан достъп от граничните власти,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B7118"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3E83FC"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59FAFE"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EAEB2"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80ED5B"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1E9E4A"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AB5BBE"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EB6036" w14:textId="77777777" w:rsidR="00A77B3E" w:rsidRDefault="00A77B3E">
            <w:pPr>
              <w:spacing w:before="100"/>
              <w:rPr>
                <w:color w:val="000000"/>
                <w:sz w:val="20"/>
              </w:rPr>
            </w:pPr>
          </w:p>
        </w:tc>
      </w:tr>
    </w:tbl>
    <w:p w14:paraId="43BA72CD" w14:textId="77777777" w:rsidR="00A77B3E" w:rsidRDefault="00A77B3E">
      <w:pPr>
        <w:spacing w:before="100"/>
        <w:rPr>
          <w:color w:val="000000"/>
          <w:sz w:val="20"/>
        </w:rPr>
        <w:sectPr w:rsidR="00A77B3E">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864" w:left="936" w:header="288" w:footer="72" w:gutter="0"/>
          <w:cols w:space="720"/>
          <w:noEndnote/>
          <w:docGrid w:linePitch="360"/>
        </w:sectPr>
      </w:pPr>
    </w:p>
    <w:p w14:paraId="62D2E874" w14:textId="77777777" w:rsidR="00A77B3E" w:rsidRDefault="00AD19A4">
      <w:pPr>
        <w:spacing w:before="100"/>
        <w:rPr>
          <w:color w:val="000000"/>
          <w:sz w:val="0"/>
        </w:rPr>
      </w:pPr>
      <w:r>
        <w:rPr>
          <w:color w:val="000000"/>
        </w:rPr>
        <w:lastRenderedPageBreak/>
        <w:t>2.1. Специфична цел 1. Европейско интегрирано управление на границите</w:t>
      </w:r>
    </w:p>
    <w:p w14:paraId="502C9D01" w14:textId="77777777" w:rsidR="00A77B3E" w:rsidRDefault="00AD19A4">
      <w:pPr>
        <w:pStyle w:val="Heading3"/>
        <w:spacing w:before="100" w:after="0"/>
        <w:rPr>
          <w:rFonts w:ascii="Times New Roman" w:hAnsi="Times New Roman" w:cs="Times New Roman"/>
          <w:b w:val="0"/>
          <w:color w:val="000000"/>
          <w:sz w:val="24"/>
        </w:rPr>
      </w:pPr>
      <w:bookmarkStart w:id="7" w:name="_Toc256000055"/>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7"/>
    </w:p>
    <w:p w14:paraId="5A901AA9" w14:textId="77777777" w:rsidR="00A77B3E" w:rsidRDefault="00AD19A4">
      <w:pPr>
        <w:spacing w:before="100"/>
        <w:rPr>
          <w:color w:val="000000"/>
        </w:rPr>
      </w:pPr>
      <w:r>
        <w:rPr>
          <w:color w:val="000000"/>
        </w:rPr>
        <w:t xml:space="preserve">Позоваване: Член 22(5) от РОР; и член 16(12) от Регламента за ФУМИ, член 13(12) от Регламента за ИСФ или член 13(18) от Регламента за </w:t>
      </w:r>
      <w:r w:rsidR="004B3C80">
        <w:rPr>
          <w:color w:val="000000"/>
        </w:rPr>
        <w:t>ИГУ</w:t>
      </w:r>
      <w:r>
        <w:rPr>
          <w:color w:val="000000"/>
        </w:rPr>
        <w:t>В</w:t>
      </w:r>
    </w:p>
    <w:p w14:paraId="655BA36D" w14:textId="77777777" w:rsidR="00A77B3E" w:rsidRDefault="00AD19A4">
      <w:pPr>
        <w:pStyle w:val="Heading4"/>
        <w:spacing w:before="100" w:after="0"/>
        <w:rPr>
          <w:b w:val="0"/>
          <w:color w:val="000000"/>
          <w:sz w:val="24"/>
        </w:rPr>
      </w:pPr>
      <w:bookmarkStart w:id="8" w:name="_Toc256000056"/>
      <w:r>
        <w:rPr>
          <w:b w:val="0"/>
          <w:color w:val="000000"/>
          <w:sz w:val="24"/>
        </w:rPr>
        <w:t>Таблица 3: Индикативна разбивка</w:t>
      </w:r>
      <w:bookmarkEnd w:id="8"/>
    </w:p>
    <w:p w14:paraId="07998B3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5995"/>
        <w:gridCol w:w="5168"/>
      </w:tblGrid>
      <w:tr w:rsidR="00FE6FD5" w14:paraId="4945125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7F08DD" w14:textId="77777777" w:rsidR="00A77B3E" w:rsidRDefault="00AD19A4">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83C321" w14:textId="77777777" w:rsidR="00A77B3E" w:rsidRDefault="00AD19A4">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18F58" w14:textId="77777777" w:rsidR="00A77B3E" w:rsidRDefault="00AD19A4">
            <w:pPr>
              <w:spacing w:before="100"/>
              <w:jc w:val="right"/>
              <w:rPr>
                <w:color w:val="000000"/>
                <w:sz w:val="20"/>
              </w:rPr>
            </w:pPr>
            <w:r>
              <w:rPr>
                <w:color w:val="000000"/>
                <w:sz w:val="20"/>
              </w:rPr>
              <w:t>Ориентировъчна сума (евро)</w:t>
            </w:r>
          </w:p>
        </w:tc>
      </w:tr>
      <w:tr w:rsidR="00FE6FD5" w14:paraId="0B0F6F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DC5DC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59506" w14:textId="77777777" w:rsidR="00A77B3E" w:rsidRDefault="00AD19A4">
            <w:pPr>
              <w:spacing w:before="100"/>
              <w:rPr>
                <w:color w:val="000000"/>
                <w:sz w:val="20"/>
              </w:rPr>
            </w:pPr>
            <w:r>
              <w:rPr>
                <w:color w:val="000000"/>
                <w:sz w:val="20"/>
              </w:rPr>
              <w:t>001. Гранични проверки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32CDD6" w14:textId="77777777" w:rsidR="00A77B3E" w:rsidRDefault="00AD19A4">
            <w:pPr>
              <w:spacing w:before="100"/>
              <w:jc w:val="right"/>
              <w:rPr>
                <w:color w:val="000000"/>
                <w:sz w:val="20"/>
              </w:rPr>
            </w:pPr>
            <w:r>
              <w:rPr>
                <w:color w:val="000000"/>
                <w:sz w:val="20"/>
              </w:rPr>
              <w:t>7 479 165,75</w:t>
            </w:r>
          </w:p>
        </w:tc>
      </w:tr>
      <w:tr w:rsidR="00FE6FD5" w14:paraId="0371AAF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906F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CC1488" w14:textId="77777777" w:rsidR="00A77B3E" w:rsidRDefault="00AD19A4">
            <w:pPr>
              <w:spacing w:before="100"/>
              <w:rPr>
                <w:color w:val="000000"/>
                <w:sz w:val="20"/>
              </w:rPr>
            </w:pPr>
            <w:r>
              <w:rPr>
                <w:color w:val="000000"/>
                <w:sz w:val="20"/>
              </w:rPr>
              <w:t>002. Гранично наблюдение - въздушно оборудване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3C7C19" w14:textId="77777777" w:rsidR="00A77B3E" w:rsidRDefault="00AD19A4">
            <w:pPr>
              <w:spacing w:before="100"/>
              <w:jc w:val="right"/>
              <w:rPr>
                <w:color w:val="000000"/>
                <w:sz w:val="20"/>
              </w:rPr>
            </w:pPr>
            <w:r>
              <w:rPr>
                <w:color w:val="000000"/>
                <w:sz w:val="20"/>
              </w:rPr>
              <w:t>1 080 000,00</w:t>
            </w:r>
          </w:p>
        </w:tc>
      </w:tr>
      <w:tr w:rsidR="00FE6FD5" w14:paraId="75DB0C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998EE"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CC750" w14:textId="77777777" w:rsidR="00A77B3E" w:rsidRDefault="00AD19A4">
            <w:pPr>
              <w:spacing w:before="100"/>
              <w:rPr>
                <w:color w:val="000000"/>
                <w:sz w:val="20"/>
              </w:rPr>
            </w:pPr>
            <w:r>
              <w:rPr>
                <w:color w:val="000000"/>
                <w:sz w:val="20"/>
              </w:rPr>
              <w:t>003. Гранично наблюдение - наземно оборудване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734A2" w14:textId="77777777" w:rsidR="00A77B3E" w:rsidRDefault="00AD19A4">
            <w:pPr>
              <w:spacing w:before="100"/>
              <w:jc w:val="right"/>
              <w:rPr>
                <w:color w:val="000000"/>
                <w:sz w:val="20"/>
              </w:rPr>
            </w:pPr>
            <w:r>
              <w:rPr>
                <w:color w:val="000000"/>
                <w:sz w:val="20"/>
              </w:rPr>
              <w:t>35 052 750,00</w:t>
            </w:r>
          </w:p>
        </w:tc>
      </w:tr>
      <w:tr w:rsidR="00FE6FD5" w14:paraId="21BF09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74FEC7"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F19B1" w14:textId="77777777" w:rsidR="00A77B3E" w:rsidRDefault="00AD19A4">
            <w:pPr>
              <w:spacing w:before="100"/>
              <w:rPr>
                <w:color w:val="000000"/>
                <w:sz w:val="20"/>
              </w:rPr>
            </w:pPr>
            <w:r>
              <w:rPr>
                <w:color w:val="000000"/>
                <w:sz w:val="20"/>
              </w:rPr>
              <w:t>004. Гранично наблюдение - морско оборудване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698FD1" w14:textId="77777777" w:rsidR="00A77B3E" w:rsidRDefault="00AD19A4">
            <w:pPr>
              <w:spacing w:before="100"/>
              <w:jc w:val="right"/>
              <w:rPr>
                <w:color w:val="000000"/>
                <w:sz w:val="20"/>
              </w:rPr>
            </w:pPr>
            <w:r>
              <w:rPr>
                <w:color w:val="000000"/>
                <w:sz w:val="20"/>
              </w:rPr>
              <w:t>19 456 008,75</w:t>
            </w:r>
          </w:p>
        </w:tc>
      </w:tr>
      <w:tr w:rsidR="00FE6FD5" w14:paraId="6D51B96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73B16"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D29762" w14:textId="77777777" w:rsidR="00A77B3E" w:rsidRDefault="00AD19A4">
            <w:pPr>
              <w:spacing w:before="100"/>
              <w:rPr>
                <w:color w:val="000000"/>
                <w:sz w:val="20"/>
              </w:rPr>
            </w:pPr>
            <w:r>
              <w:rPr>
                <w:color w:val="000000"/>
                <w:sz w:val="20"/>
              </w:rPr>
              <w:t>005. Гранично наблюдение - автоматизирани системи за гранично наблюдение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63CA7" w14:textId="77777777" w:rsidR="00A77B3E" w:rsidRDefault="00AD19A4">
            <w:pPr>
              <w:spacing w:before="100"/>
              <w:jc w:val="right"/>
              <w:rPr>
                <w:color w:val="000000"/>
                <w:sz w:val="20"/>
              </w:rPr>
            </w:pPr>
            <w:r>
              <w:rPr>
                <w:color w:val="000000"/>
                <w:sz w:val="20"/>
              </w:rPr>
              <w:t>107 630 763,67</w:t>
            </w:r>
          </w:p>
        </w:tc>
      </w:tr>
      <w:tr w:rsidR="00FE6FD5" w14:paraId="0E4AD9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232A7"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9E1E4A" w14:textId="77777777" w:rsidR="00A77B3E" w:rsidRDefault="00AD19A4">
            <w:pPr>
              <w:spacing w:before="100"/>
              <w:rPr>
                <w:color w:val="000000"/>
                <w:sz w:val="20"/>
              </w:rPr>
            </w:pPr>
            <w:r>
              <w:rPr>
                <w:color w:val="000000"/>
                <w:sz w:val="20"/>
              </w:rPr>
              <w:t>006. Гранично наблюдение - други мерки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CCCD5" w14:textId="77777777" w:rsidR="00A77B3E" w:rsidRDefault="00AD19A4">
            <w:pPr>
              <w:spacing w:before="100"/>
              <w:jc w:val="right"/>
              <w:rPr>
                <w:color w:val="000000"/>
                <w:sz w:val="20"/>
              </w:rPr>
            </w:pPr>
            <w:r>
              <w:rPr>
                <w:color w:val="000000"/>
                <w:sz w:val="20"/>
              </w:rPr>
              <w:t>16 220 455,50</w:t>
            </w:r>
          </w:p>
        </w:tc>
      </w:tr>
      <w:tr w:rsidR="00FE6FD5" w14:paraId="6C221A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81F8F"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FF9A73" w14:textId="77777777" w:rsidR="00A77B3E" w:rsidRDefault="00AD19A4">
            <w:pPr>
              <w:spacing w:before="100"/>
              <w:rPr>
                <w:color w:val="000000"/>
                <w:sz w:val="20"/>
              </w:rPr>
            </w:pPr>
            <w:r>
              <w:rPr>
                <w:color w:val="000000"/>
                <w:sz w:val="20"/>
              </w:rPr>
              <w:t>007. Технически и оперативни мерки в рамките на Шенгенското пространство, свързани с граничния контрол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D4FE07" w14:textId="77777777" w:rsidR="00A77B3E" w:rsidRDefault="00AD19A4">
            <w:pPr>
              <w:spacing w:before="100"/>
              <w:jc w:val="right"/>
              <w:rPr>
                <w:color w:val="000000"/>
                <w:sz w:val="20"/>
              </w:rPr>
            </w:pPr>
            <w:r>
              <w:rPr>
                <w:color w:val="000000"/>
                <w:sz w:val="20"/>
              </w:rPr>
              <w:t>0.00</w:t>
            </w:r>
          </w:p>
        </w:tc>
      </w:tr>
      <w:tr w:rsidR="00FE6FD5" w14:paraId="60B7E0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643BEC"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5BB7CE" w14:textId="77777777" w:rsidR="00A77B3E" w:rsidRDefault="00AD19A4">
            <w:pPr>
              <w:spacing w:before="100"/>
              <w:rPr>
                <w:color w:val="000000"/>
                <w:sz w:val="20"/>
              </w:rPr>
            </w:pPr>
            <w:r>
              <w:rPr>
                <w:color w:val="000000"/>
                <w:sz w:val="20"/>
              </w:rPr>
              <w:t>008. Ситуационна осведоменост и обмен на информация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A74967" w14:textId="77777777" w:rsidR="00A77B3E" w:rsidRDefault="00AD19A4">
            <w:pPr>
              <w:spacing w:before="100"/>
              <w:jc w:val="right"/>
              <w:rPr>
                <w:color w:val="000000"/>
                <w:sz w:val="20"/>
              </w:rPr>
            </w:pPr>
            <w:r>
              <w:rPr>
                <w:color w:val="000000"/>
                <w:sz w:val="20"/>
              </w:rPr>
              <w:t>2 007 682,50</w:t>
            </w:r>
          </w:p>
        </w:tc>
      </w:tr>
      <w:tr w:rsidR="00FE6FD5" w14:paraId="4687A3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19CD0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DA40C8" w14:textId="77777777" w:rsidR="00A77B3E" w:rsidRDefault="00AD19A4">
            <w:pPr>
              <w:spacing w:before="100"/>
              <w:rPr>
                <w:color w:val="000000"/>
                <w:sz w:val="20"/>
              </w:rPr>
            </w:pPr>
            <w:r>
              <w:rPr>
                <w:color w:val="000000"/>
                <w:sz w:val="20"/>
              </w:rPr>
              <w:t>009. Анализ на риска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F412F1" w14:textId="77777777" w:rsidR="00A77B3E" w:rsidRDefault="00AD19A4">
            <w:pPr>
              <w:spacing w:before="100"/>
              <w:jc w:val="right"/>
              <w:rPr>
                <w:color w:val="000000"/>
                <w:sz w:val="20"/>
              </w:rPr>
            </w:pPr>
            <w:r>
              <w:rPr>
                <w:color w:val="000000"/>
                <w:sz w:val="20"/>
              </w:rPr>
              <w:t>0.00</w:t>
            </w:r>
          </w:p>
        </w:tc>
      </w:tr>
      <w:tr w:rsidR="00FE6FD5" w14:paraId="189DEA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8650EE"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DBB14D" w14:textId="77777777" w:rsidR="00A77B3E" w:rsidRDefault="00AD19A4">
            <w:pPr>
              <w:spacing w:before="100"/>
              <w:rPr>
                <w:color w:val="000000"/>
                <w:sz w:val="20"/>
              </w:rPr>
            </w:pPr>
            <w:r>
              <w:rPr>
                <w:color w:val="000000"/>
                <w:sz w:val="20"/>
              </w:rPr>
              <w:t>010. Обработка на данни и информация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2D8D99" w14:textId="77777777" w:rsidR="00A77B3E" w:rsidRDefault="00AD19A4">
            <w:pPr>
              <w:spacing w:before="100"/>
              <w:jc w:val="right"/>
              <w:rPr>
                <w:color w:val="000000"/>
                <w:sz w:val="20"/>
              </w:rPr>
            </w:pPr>
            <w:r>
              <w:rPr>
                <w:color w:val="000000"/>
                <w:sz w:val="20"/>
              </w:rPr>
              <w:t>0.00</w:t>
            </w:r>
          </w:p>
        </w:tc>
      </w:tr>
      <w:tr w:rsidR="00FE6FD5" w14:paraId="71284F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278792"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88F05C" w14:textId="77777777" w:rsidR="00A77B3E" w:rsidRDefault="00AD19A4">
            <w:pPr>
              <w:spacing w:before="100"/>
              <w:rPr>
                <w:color w:val="000000"/>
                <w:sz w:val="20"/>
              </w:rPr>
            </w:pPr>
            <w:r>
              <w:rPr>
                <w:color w:val="000000"/>
                <w:sz w:val="20"/>
              </w:rPr>
              <w:t>011. Горещи точки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9F13B" w14:textId="77777777" w:rsidR="00A77B3E" w:rsidRDefault="00AD19A4">
            <w:pPr>
              <w:spacing w:before="100"/>
              <w:jc w:val="right"/>
              <w:rPr>
                <w:color w:val="000000"/>
                <w:sz w:val="20"/>
              </w:rPr>
            </w:pPr>
            <w:r>
              <w:rPr>
                <w:color w:val="000000"/>
                <w:sz w:val="20"/>
              </w:rPr>
              <w:t>0.00</w:t>
            </w:r>
          </w:p>
        </w:tc>
      </w:tr>
      <w:tr w:rsidR="00FE6FD5" w14:paraId="72C9F3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79379E"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76F0E" w14:textId="77777777" w:rsidR="00A77B3E" w:rsidRDefault="00AD19A4">
            <w:pPr>
              <w:spacing w:before="100"/>
              <w:rPr>
                <w:color w:val="000000"/>
                <w:sz w:val="20"/>
              </w:rPr>
            </w:pPr>
            <w:r>
              <w:rPr>
                <w:color w:val="000000"/>
                <w:sz w:val="20"/>
              </w:rPr>
              <w:t>012. Мерки, свързани с идентифицирането и насочването на уязвими лица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C50F1" w14:textId="77777777" w:rsidR="00A77B3E" w:rsidRDefault="00AD19A4">
            <w:pPr>
              <w:spacing w:before="100"/>
              <w:jc w:val="right"/>
              <w:rPr>
                <w:color w:val="000000"/>
                <w:sz w:val="20"/>
              </w:rPr>
            </w:pPr>
            <w:r>
              <w:rPr>
                <w:color w:val="000000"/>
                <w:sz w:val="20"/>
              </w:rPr>
              <w:t>0.00</w:t>
            </w:r>
          </w:p>
        </w:tc>
      </w:tr>
      <w:tr w:rsidR="00FE6FD5" w14:paraId="3FEFAB2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EFAA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1A2F8" w14:textId="77777777" w:rsidR="00A77B3E" w:rsidRDefault="00AD19A4">
            <w:pPr>
              <w:spacing w:before="100"/>
              <w:rPr>
                <w:color w:val="000000"/>
                <w:sz w:val="20"/>
              </w:rPr>
            </w:pPr>
            <w:r>
              <w:rPr>
                <w:color w:val="000000"/>
                <w:sz w:val="20"/>
              </w:rPr>
              <w:t>013. Мерки, свързани с идентифицирането и насочването на лица, които се нуждаят от международна закрила или желаят да кандидатстват за такава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5CB93" w14:textId="77777777" w:rsidR="00A77B3E" w:rsidRDefault="00AD19A4">
            <w:pPr>
              <w:spacing w:before="100"/>
              <w:jc w:val="right"/>
              <w:rPr>
                <w:color w:val="000000"/>
                <w:sz w:val="20"/>
              </w:rPr>
            </w:pPr>
            <w:r>
              <w:rPr>
                <w:color w:val="000000"/>
                <w:sz w:val="20"/>
              </w:rPr>
              <w:t>43 041 709,39</w:t>
            </w:r>
          </w:p>
        </w:tc>
      </w:tr>
      <w:tr w:rsidR="00FE6FD5" w14:paraId="7AE9E7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86E95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18798" w14:textId="77777777" w:rsidR="00A77B3E" w:rsidRDefault="00AD19A4">
            <w:pPr>
              <w:spacing w:before="100"/>
              <w:rPr>
                <w:color w:val="000000"/>
                <w:sz w:val="20"/>
              </w:rPr>
            </w:pPr>
            <w:r>
              <w:rPr>
                <w:color w:val="000000"/>
                <w:sz w:val="20"/>
              </w:rPr>
              <w:t>014. Развитие на европейската гранична и брегова охрана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B8A6B" w14:textId="77777777" w:rsidR="00A77B3E" w:rsidRDefault="00AD19A4">
            <w:pPr>
              <w:spacing w:before="100"/>
              <w:jc w:val="right"/>
              <w:rPr>
                <w:color w:val="000000"/>
                <w:sz w:val="20"/>
              </w:rPr>
            </w:pPr>
            <w:r>
              <w:rPr>
                <w:color w:val="000000"/>
                <w:sz w:val="20"/>
              </w:rPr>
              <w:t>0.00</w:t>
            </w:r>
          </w:p>
        </w:tc>
      </w:tr>
      <w:tr w:rsidR="00FE6FD5" w14:paraId="6F7EC9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56FEBD"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7A4D9" w14:textId="77777777" w:rsidR="00A77B3E" w:rsidRDefault="00AD19A4">
            <w:pPr>
              <w:spacing w:before="100"/>
              <w:rPr>
                <w:color w:val="000000"/>
                <w:sz w:val="20"/>
              </w:rPr>
            </w:pPr>
            <w:r>
              <w:rPr>
                <w:color w:val="000000"/>
                <w:sz w:val="20"/>
              </w:rPr>
              <w:t>015. Междуведомствено сътрудничество - национално ниво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FC1356" w14:textId="77777777" w:rsidR="00A77B3E" w:rsidRDefault="00AD19A4">
            <w:pPr>
              <w:spacing w:before="100"/>
              <w:jc w:val="right"/>
              <w:rPr>
                <w:color w:val="000000"/>
                <w:sz w:val="20"/>
              </w:rPr>
            </w:pPr>
            <w:r>
              <w:rPr>
                <w:color w:val="000000"/>
                <w:sz w:val="20"/>
              </w:rPr>
              <w:t>687 667,73</w:t>
            </w:r>
          </w:p>
        </w:tc>
      </w:tr>
      <w:tr w:rsidR="00FE6FD5" w14:paraId="09146C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124A1E"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25B68" w14:textId="77777777" w:rsidR="00A77B3E" w:rsidRDefault="00AD19A4">
            <w:pPr>
              <w:spacing w:before="100"/>
              <w:rPr>
                <w:color w:val="000000"/>
                <w:sz w:val="20"/>
              </w:rPr>
            </w:pPr>
            <w:r>
              <w:rPr>
                <w:color w:val="000000"/>
                <w:sz w:val="20"/>
              </w:rPr>
              <w:t>016. Междуведомствено сътрудничество - ниво Европейски съюз</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697E06" w14:textId="77777777" w:rsidR="00A77B3E" w:rsidRDefault="00AD19A4">
            <w:pPr>
              <w:spacing w:before="100"/>
              <w:jc w:val="right"/>
              <w:rPr>
                <w:color w:val="000000"/>
                <w:sz w:val="20"/>
              </w:rPr>
            </w:pPr>
            <w:r>
              <w:rPr>
                <w:color w:val="000000"/>
                <w:sz w:val="20"/>
              </w:rPr>
              <w:t>0.00</w:t>
            </w:r>
          </w:p>
        </w:tc>
      </w:tr>
      <w:tr w:rsidR="00FE6FD5" w14:paraId="32E2DA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20B96" w14:textId="77777777" w:rsidR="00A77B3E" w:rsidRDefault="00AD19A4">
            <w:pPr>
              <w:spacing w:before="100"/>
              <w:rPr>
                <w:color w:val="000000"/>
                <w:sz w:val="20"/>
              </w:rPr>
            </w:pPr>
            <w:r>
              <w:rPr>
                <w:color w:val="000000"/>
                <w:sz w:val="20"/>
              </w:rPr>
              <w:lastRenderedPageBreak/>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D36B15" w14:textId="77777777" w:rsidR="00A77B3E" w:rsidRDefault="00AD19A4">
            <w:pPr>
              <w:spacing w:before="100"/>
              <w:rPr>
                <w:color w:val="000000"/>
                <w:sz w:val="20"/>
              </w:rPr>
            </w:pPr>
            <w:r>
              <w:rPr>
                <w:color w:val="000000"/>
                <w:sz w:val="20"/>
              </w:rPr>
              <w:t>017. Междуведомствено сътрудничество - с трети държави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BFEC8E" w14:textId="77777777" w:rsidR="00A77B3E" w:rsidRDefault="00AD19A4">
            <w:pPr>
              <w:spacing w:before="100"/>
              <w:jc w:val="right"/>
              <w:rPr>
                <w:color w:val="000000"/>
                <w:sz w:val="20"/>
              </w:rPr>
            </w:pPr>
            <w:r>
              <w:rPr>
                <w:color w:val="000000"/>
                <w:sz w:val="20"/>
              </w:rPr>
              <w:t>0.00</w:t>
            </w:r>
          </w:p>
        </w:tc>
      </w:tr>
      <w:tr w:rsidR="00FE6FD5" w14:paraId="34062C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6948A"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AD3A10" w14:textId="77777777" w:rsidR="00A77B3E" w:rsidRDefault="00AD19A4">
            <w:pPr>
              <w:spacing w:before="100"/>
              <w:rPr>
                <w:color w:val="000000"/>
                <w:sz w:val="20"/>
              </w:rPr>
            </w:pPr>
            <w:r>
              <w:rPr>
                <w:color w:val="000000"/>
                <w:sz w:val="20"/>
              </w:rPr>
              <w:t>018. Съвместно разполагане на служители за връзка по въпросите на имиграцията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9600A" w14:textId="77777777" w:rsidR="00A77B3E" w:rsidRDefault="00AD19A4">
            <w:pPr>
              <w:spacing w:before="100"/>
              <w:jc w:val="right"/>
              <w:rPr>
                <w:color w:val="000000"/>
                <w:sz w:val="20"/>
              </w:rPr>
            </w:pPr>
            <w:r>
              <w:rPr>
                <w:color w:val="000000"/>
                <w:sz w:val="20"/>
              </w:rPr>
              <w:t>0.00</w:t>
            </w:r>
          </w:p>
        </w:tc>
      </w:tr>
      <w:tr w:rsidR="00FE6FD5" w14:paraId="63775E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65F0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772CA" w14:textId="77777777" w:rsidR="00A77B3E" w:rsidRDefault="00AD19A4">
            <w:pPr>
              <w:spacing w:before="100"/>
              <w:rPr>
                <w:color w:val="000000"/>
                <w:sz w:val="20"/>
              </w:rPr>
            </w:pPr>
            <w:r>
              <w:rPr>
                <w:color w:val="000000"/>
                <w:sz w:val="20"/>
              </w:rPr>
              <w:t>019. Мащабни ИТ системи - Евродак за целите на управлението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5BAFE3" w14:textId="77777777" w:rsidR="00A77B3E" w:rsidRDefault="00AD19A4">
            <w:pPr>
              <w:spacing w:before="100"/>
              <w:jc w:val="right"/>
              <w:rPr>
                <w:color w:val="000000"/>
                <w:sz w:val="20"/>
              </w:rPr>
            </w:pPr>
            <w:r>
              <w:rPr>
                <w:color w:val="000000"/>
                <w:sz w:val="20"/>
              </w:rPr>
              <w:t>6 363 175,52</w:t>
            </w:r>
          </w:p>
        </w:tc>
      </w:tr>
      <w:tr w:rsidR="00FE6FD5" w14:paraId="18606DB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79AF14"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E843B" w14:textId="77777777" w:rsidR="00A77B3E" w:rsidRDefault="00AD19A4">
            <w:pPr>
              <w:spacing w:before="100"/>
              <w:rPr>
                <w:color w:val="000000"/>
                <w:sz w:val="20"/>
              </w:rPr>
            </w:pPr>
            <w:r>
              <w:rPr>
                <w:color w:val="000000"/>
                <w:sz w:val="20"/>
              </w:rPr>
              <w:t>020. Мащабни ИТ системи - Система за влизане-излизане (EES)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63AFE9" w14:textId="77777777" w:rsidR="00A77B3E" w:rsidRDefault="00AD19A4">
            <w:pPr>
              <w:spacing w:before="100"/>
              <w:jc w:val="right"/>
              <w:rPr>
                <w:color w:val="000000"/>
                <w:sz w:val="20"/>
              </w:rPr>
            </w:pPr>
            <w:r>
              <w:rPr>
                <w:color w:val="000000"/>
                <w:sz w:val="20"/>
              </w:rPr>
              <w:t>10 546 129,25</w:t>
            </w:r>
          </w:p>
        </w:tc>
      </w:tr>
      <w:tr w:rsidR="00FE6FD5" w14:paraId="48487B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5EBB4F"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4A2C3" w14:textId="77777777" w:rsidR="00A77B3E" w:rsidRDefault="00AD19A4">
            <w:pPr>
              <w:spacing w:before="100"/>
              <w:rPr>
                <w:color w:val="000000"/>
                <w:sz w:val="20"/>
              </w:rPr>
            </w:pPr>
            <w:r>
              <w:rPr>
                <w:color w:val="000000"/>
                <w:sz w:val="20"/>
              </w:rPr>
              <w:t>021. Мащабни ИТ системи - Европейска система за информация и разрешаване на пътувания (ETIAS) - други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24DD3E" w14:textId="77777777" w:rsidR="00A77B3E" w:rsidRDefault="00AD19A4">
            <w:pPr>
              <w:spacing w:before="100"/>
              <w:jc w:val="right"/>
              <w:rPr>
                <w:color w:val="000000"/>
                <w:sz w:val="20"/>
              </w:rPr>
            </w:pPr>
            <w:r>
              <w:rPr>
                <w:color w:val="000000"/>
                <w:sz w:val="20"/>
              </w:rPr>
              <w:t>0.00</w:t>
            </w:r>
          </w:p>
        </w:tc>
      </w:tr>
      <w:tr w:rsidR="00FE6FD5" w14:paraId="3E5503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7A204"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F413A" w14:textId="77777777" w:rsidR="00A77B3E" w:rsidRDefault="00AD19A4">
            <w:pPr>
              <w:spacing w:before="100"/>
              <w:rPr>
                <w:color w:val="000000"/>
                <w:sz w:val="20"/>
              </w:rPr>
            </w:pPr>
            <w:r>
              <w:rPr>
                <w:color w:val="000000"/>
                <w:sz w:val="20"/>
              </w:rPr>
              <w:t>022. Мащабни информационни системи - Европейска система за информация за пътуванията и разрешаването им (ETIAS) - член 85, параграф 2 от Регламент (ЕС) 2018/1240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063CBD" w14:textId="77777777" w:rsidR="00A77B3E" w:rsidRDefault="00AD19A4">
            <w:pPr>
              <w:spacing w:before="100"/>
              <w:jc w:val="right"/>
              <w:rPr>
                <w:color w:val="000000"/>
                <w:sz w:val="20"/>
              </w:rPr>
            </w:pPr>
            <w:r>
              <w:rPr>
                <w:color w:val="000000"/>
                <w:sz w:val="20"/>
              </w:rPr>
              <w:t>357 822,09</w:t>
            </w:r>
          </w:p>
        </w:tc>
      </w:tr>
      <w:tr w:rsidR="00FE6FD5" w14:paraId="44C8AB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EE56B"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42385" w14:textId="77777777" w:rsidR="00A77B3E" w:rsidRDefault="00AD19A4">
            <w:pPr>
              <w:spacing w:before="100"/>
              <w:rPr>
                <w:color w:val="000000"/>
                <w:sz w:val="20"/>
              </w:rPr>
            </w:pPr>
            <w:r>
              <w:rPr>
                <w:color w:val="000000"/>
                <w:sz w:val="20"/>
              </w:rPr>
              <w:t>023. Мащабни информационни системи - Европейска система за информация за пътуванията и разрешаването им (ETIAS) - член 85, параграф 3 от Регламент (ЕС) 2018/1240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B38381" w14:textId="77777777" w:rsidR="00A77B3E" w:rsidRDefault="00AD19A4">
            <w:pPr>
              <w:spacing w:before="100"/>
              <w:jc w:val="right"/>
              <w:rPr>
                <w:color w:val="000000"/>
                <w:sz w:val="20"/>
              </w:rPr>
            </w:pPr>
            <w:r>
              <w:rPr>
                <w:color w:val="000000"/>
                <w:sz w:val="20"/>
              </w:rPr>
              <w:t>0.00</w:t>
            </w:r>
          </w:p>
        </w:tc>
      </w:tr>
      <w:tr w:rsidR="00FE6FD5" w14:paraId="0445359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FE8F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482325" w14:textId="77777777" w:rsidR="00A77B3E" w:rsidRDefault="00AD19A4">
            <w:pPr>
              <w:spacing w:before="100"/>
              <w:rPr>
                <w:color w:val="000000"/>
                <w:sz w:val="20"/>
              </w:rPr>
            </w:pPr>
            <w:r>
              <w:rPr>
                <w:color w:val="000000"/>
                <w:sz w:val="20"/>
              </w:rPr>
              <w:t>024. Мащабни ИТ системи - Шенгенска информационна система (ШИС)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901C1" w14:textId="77777777" w:rsidR="00A77B3E" w:rsidRDefault="00AD19A4">
            <w:pPr>
              <w:spacing w:before="100"/>
              <w:jc w:val="right"/>
              <w:rPr>
                <w:color w:val="000000"/>
                <w:sz w:val="20"/>
              </w:rPr>
            </w:pPr>
            <w:r>
              <w:rPr>
                <w:color w:val="000000"/>
                <w:sz w:val="20"/>
              </w:rPr>
              <w:t>3 375 000,00</w:t>
            </w:r>
          </w:p>
        </w:tc>
      </w:tr>
      <w:tr w:rsidR="00FE6FD5" w14:paraId="18CD3E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267C1C"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74213A" w14:textId="77777777" w:rsidR="00A77B3E" w:rsidRDefault="00AD19A4">
            <w:pPr>
              <w:spacing w:before="100"/>
              <w:rPr>
                <w:color w:val="000000"/>
                <w:sz w:val="20"/>
              </w:rPr>
            </w:pPr>
            <w:r>
              <w:rPr>
                <w:color w:val="000000"/>
                <w:sz w:val="20"/>
              </w:rPr>
              <w:t>025. Мащабни ИТ системи - Оперативна съвместимост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B8D01" w14:textId="77777777" w:rsidR="00A77B3E" w:rsidRDefault="00AD19A4">
            <w:pPr>
              <w:spacing w:before="100"/>
              <w:jc w:val="right"/>
              <w:rPr>
                <w:color w:val="000000"/>
                <w:sz w:val="20"/>
              </w:rPr>
            </w:pPr>
            <w:r>
              <w:rPr>
                <w:color w:val="000000"/>
                <w:sz w:val="20"/>
              </w:rPr>
              <w:t>3 977 066,75</w:t>
            </w:r>
          </w:p>
        </w:tc>
      </w:tr>
      <w:tr w:rsidR="00FE6FD5" w14:paraId="68FFA9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E46862"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8538F1" w14:textId="77777777" w:rsidR="00A77B3E" w:rsidRDefault="00AD19A4">
            <w:pPr>
              <w:spacing w:before="100"/>
              <w:rPr>
                <w:color w:val="000000"/>
                <w:sz w:val="20"/>
              </w:rPr>
            </w:pPr>
            <w:r>
              <w:rPr>
                <w:color w:val="000000"/>
                <w:sz w:val="20"/>
              </w:rPr>
              <w:t>026. Оперативна подкрепа -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E63804" w14:textId="77777777" w:rsidR="00A77B3E" w:rsidRDefault="00AD19A4">
            <w:pPr>
              <w:spacing w:before="100"/>
              <w:jc w:val="right"/>
              <w:rPr>
                <w:color w:val="000000"/>
                <w:sz w:val="20"/>
              </w:rPr>
            </w:pPr>
            <w:r>
              <w:rPr>
                <w:color w:val="000000"/>
                <w:sz w:val="20"/>
              </w:rPr>
              <w:t>35 261 132,77</w:t>
            </w:r>
          </w:p>
        </w:tc>
      </w:tr>
      <w:tr w:rsidR="00FE6FD5" w14:paraId="203759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0A881"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D294B" w14:textId="77777777" w:rsidR="00A77B3E" w:rsidRDefault="00AD19A4">
            <w:pPr>
              <w:spacing w:before="100"/>
              <w:rPr>
                <w:color w:val="000000"/>
                <w:sz w:val="20"/>
              </w:rPr>
            </w:pPr>
            <w:r>
              <w:rPr>
                <w:color w:val="000000"/>
                <w:sz w:val="20"/>
              </w:rPr>
              <w:t>027. Оперативна поддръжка - Мащабни ИТ системи за целите на управлението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C5E035" w14:textId="77777777" w:rsidR="00A77B3E" w:rsidRDefault="00AD19A4">
            <w:pPr>
              <w:spacing w:before="100"/>
              <w:jc w:val="right"/>
              <w:rPr>
                <w:color w:val="000000"/>
                <w:sz w:val="20"/>
              </w:rPr>
            </w:pPr>
            <w:r>
              <w:rPr>
                <w:color w:val="000000"/>
                <w:sz w:val="20"/>
              </w:rPr>
              <w:t>15 372 311,23</w:t>
            </w:r>
          </w:p>
        </w:tc>
      </w:tr>
      <w:tr w:rsidR="00FE6FD5" w14:paraId="76B9E4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7BD8F9"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F8C57" w14:textId="77777777" w:rsidR="00A77B3E" w:rsidRDefault="00AD19A4">
            <w:pPr>
              <w:spacing w:before="100"/>
              <w:rPr>
                <w:color w:val="000000"/>
                <w:sz w:val="20"/>
              </w:rPr>
            </w:pPr>
            <w:r>
              <w:rPr>
                <w:color w:val="000000"/>
                <w:sz w:val="20"/>
              </w:rPr>
              <w:t>028. Оперативна поддръжка - Специална транзитна схема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F7D52D" w14:textId="77777777" w:rsidR="00A77B3E" w:rsidRDefault="00AD19A4">
            <w:pPr>
              <w:spacing w:before="100"/>
              <w:jc w:val="right"/>
              <w:rPr>
                <w:color w:val="000000"/>
                <w:sz w:val="20"/>
              </w:rPr>
            </w:pPr>
            <w:r>
              <w:rPr>
                <w:color w:val="000000"/>
                <w:sz w:val="20"/>
              </w:rPr>
              <w:t>0.00</w:t>
            </w:r>
          </w:p>
        </w:tc>
      </w:tr>
      <w:tr w:rsidR="00FE6FD5" w14:paraId="6EEA1E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82FBAC"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FDE3B4" w14:textId="77777777" w:rsidR="00A77B3E" w:rsidRDefault="00AD19A4">
            <w:pPr>
              <w:spacing w:before="100"/>
              <w:rPr>
                <w:color w:val="000000"/>
                <w:sz w:val="20"/>
              </w:rPr>
            </w:pPr>
            <w:r>
              <w:rPr>
                <w:color w:val="000000"/>
                <w:sz w:val="20"/>
              </w:rPr>
              <w:t>029. Качество на данните и права на субектите на данни на информация, достъп до, коригиране и заличаване на личните им данни, както и на ограничаване на обработката им</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1551A7" w14:textId="77777777" w:rsidR="00A77B3E" w:rsidRDefault="00AD19A4">
            <w:pPr>
              <w:spacing w:before="100"/>
              <w:jc w:val="right"/>
              <w:rPr>
                <w:color w:val="000000"/>
                <w:sz w:val="20"/>
              </w:rPr>
            </w:pPr>
            <w:r>
              <w:rPr>
                <w:color w:val="000000"/>
                <w:sz w:val="20"/>
              </w:rPr>
              <w:t>0.00</w:t>
            </w:r>
          </w:p>
        </w:tc>
      </w:tr>
    </w:tbl>
    <w:p w14:paraId="26995760"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63B9CAD3" w14:textId="77777777" w:rsidR="00A77B3E" w:rsidRDefault="00AD19A4">
      <w:pPr>
        <w:pStyle w:val="Heading2"/>
        <w:spacing w:before="100" w:after="0"/>
        <w:rPr>
          <w:rFonts w:ascii="TimesNewRoman" w:eastAsia="TimesNewRoman" w:hAnsi="TimesNewRoman" w:cs="TimesNewRoman"/>
          <w:b w:val="0"/>
          <w:i w:val="0"/>
          <w:color w:val="000000"/>
          <w:sz w:val="24"/>
        </w:rPr>
      </w:pPr>
      <w:bookmarkStart w:id="9" w:name="_Toc256000057"/>
      <w:r>
        <w:rPr>
          <w:rFonts w:ascii="TimesNewRoman" w:eastAsia="TimesNewRoman" w:hAnsi="TimesNewRoman" w:cs="TimesNewRoman"/>
          <w:b w:val="0"/>
          <w:i w:val="0"/>
          <w:color w:val="000000"/>
          <w:sz w:val="24"/>
        </w:rPr>
        <w:lastRenderedPageBreak/>
        <w:t>2.1. Конкретна цел: 2. Обща визова политика</w:t>
      </w:r>
      <w:bookmarkEnd w:id="9"/>
    </w:p>
    <w:p w14:paraId="69A6EF65" w14:textId="77777777" w:rsidR="00A77B3E" w:rsidRDefault="00A77B3E">
      <w:pPr>
        <w:spacing w:before="100"/>
        <w:rPr>
          <w:rFonts w:ascii="TimesNewRoman" w:eastAsia="TimesNewRoman" w:hAnsi="TimesNewRoman" w:cs="TimesNewRoman"/>
          <w:color w:val="000000"/>
          <w:sz w:val="0"/>
        </w:rPr>
      </w:pPr>
    </w:p>
    <w:p w14:paraId="443AE15D" w14:textId="77777777" w:rsidR="00A77B3E" w:rsidRDefault="00AD19A4">
      <w:pPr>
        <w:pStyle w:val="Heading3"/>
        <w:spacing w:before="100" w:after="0"/>
        <w:rPr>
          <w:rFonts w:ascii="TimesNewRoman" w:eastAsia="TimesNewRoman" w:hAnsi="TimesNewRoman" w:cs="TimesNewRoman"/>
          <w:b w:val="0"/>
          <w:color w:val="000000"/>
          <w:sz w:val="24"/>
        </w:rPr>
      </w:pPr>
      <w:bookmarkStart w:id="10" w:name="_Toc256000058"/>
      <w:r>
        <w:rPr>
          <w:rFonts w:ascii="TimesNewRoman" w:eastAsia="TimesNewRoman" w:hAnsi="TimesNewRoman" w:cs="TimesNewRoman"/>
          <w:b w:val="0"/>
          <w:color w:val="000000"/>
          <w:sz w:val="24"/>
        </w:rPr>
        <w:t>2.1.1. Описание на специфичната цел</w:t>
      </w:r>
      <w:bookmarkEnd w:id="10"/>
    </w:p>
    <w:p w14:paraId="21E4874D"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199D15F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758A2" w14:textId="77777777" w:rsidR="00A77B3E" w:rsidRDefault="00A77B3E">
            <w:pPr>
              <w:spacing w:before="100"/>
              <w:rPr>
                <w:rFonts w:ascii="TimesNewRoman" w:eastAsia="TimesNewRoman" w:hAnsi="TimesNewRoman" w:cs="TimesNewRoman"/>
                <w:color w:val="000000"/>
                <w:sz w:val="0"/>
              </w:rPr>
            </w:pPr>
          </w:p>
          <w:p w14:paraId="1B80198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 Изходно положение</w:t>
            </w:r>
          </w:p>
          <w:p w14:paraId="1C5FAE8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НВИС е ключов компонент на Националната интегрирана консулска система, както и ключов инструмент за подпомагане на обработката на заявления за визи и издаването им, заявления за български документи за самоличност, временни паспорти, консулска регистрация на български граждани, нотариални заверки, легализация и регистрация на заявления за административни и други консулски услуги.</w:t>
            </w:r>
          </w:p>
          <w:p w14:paraId="1DB829A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Създадена е в съответствие с изискванията на Регламент 767/2008 на Европейския парламент и Съвета с цел централизиране на информацията, обработвана в дипломатическите и консулските представителства на България, и създаване и поддържане на национален регистър на заявленията за български визи и издадените визи, както и на биометричните данни, снети от кандидатите за визи. NVIS е система от национално значение и гарантира непрекъснат целогодишен и денонощен (24/7) достъп до ВИС на ЕС на всички съответни национални органи - Министерство на външните работи (МВнР), ГДГП-МВР, Дирекция „Миграция“-МВР, звена „Миграция“ в Областните дирекции на вътрешните работи и Столичната дирекция на вътрешните работи, Държавната агенция за бежанците, органи за вътрешна и национална сигурност, както и органи за борба с тероризма и организираната престъпност.</w:t>
            </w:r>
          </w:p>
          <w:p w14:paraId="3D22714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Системата е изградена на две нива. Първото ниво е реализирано като независими информационни системи, разположени в консулските служби на България в чужбина, а второто - като централна информационна система, разположена в Националния визов център в дирекция „Консулски отношения“ на МВнР. Основните функции на НВИС са приемане и обработка на заявления за визи, приемане на заявления за документи за самоличност на България и заявления за удължаване на валидността на паспорти на български граждани в чужбина.</w:t>
            </w:r>
          </w:p>
          <w:p w14:paraId="6D60EF4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NVIS осигурява събирането на всички видове данни, които трябва да бъдат подадени към Визовата информационна система на ЕС, включително 10 пръстови отпечатъка и снимка на лицето, направена с цифров фотоапарат.</w:t>
            </w:r>
          </w:p>
          <w:p w14:paraId="3AC7ACD7"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Най-актуалните статистически данни, обхващащи периода 2017-2024 г., показват, че приблизително 55% от услугите в N.VIS се предоставят за целите на издаване на визи за граждани на трети страни.</w:t>
            </w:r>
          </w:p>
          <w:p w14:paraId="193E834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 контекста на усилията за осигуряване на непрекъснато използване на най-добрите налични технологии по отношение на ВИС на ЕС и националния интерфейс в съответствие с Регламент 767/2008, ще продължи модернизацията и обновяването на съществуващото специализирано оборудване и разработването на софтуер за NVIS, както и обновяването на съществуващия хардуер, разширяването на инфраструктурата и мрежовата свързаност на системата, за да се поддържат възможностите на системата, които са жизненоважни за оперативната съвместимост на NVIS с широкомащабните ИТ системи на NVIS, свързани с управлението на границите.</w:t>
            </w:r>
          </w:p>
          <w:p w14:paraId="0E4020F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По-нататъшната модернизация и развитие на софтуера и хардуера на локалния и централния NVIS компонент ще допринесе за по-голяма сигурност при работата на системата, ще намали риска от загуба на данни в случай на повреда на дисковия масив поради дефектни дискове в резултат на продължителна употреба, ще намали разходите за поддръжка и ще постигне по-висока степен на непрекъсната работоспособност и надеждност на системите.</w:t>
            </w:r>
          </w:p>
          <w:p w14:paraId="4D3CED6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 контекста на усилията за подкрепа на общата визова политика чрез създаване на съвместими визови информационни системи между държавите-членки на ЕС, ще бъдат задоволени нуждите на гражданите от улеснено законно пътуване, предоставяне на висококачествени услуги на кандидатите за виза, равнопоставено и справедливо отношение към гражданите на трети страни, повишаване на нивото на обществена безопасност, включително предотвратяване и борба с незаконната имиграция.</w:t>
            </w:r>
          </w:p>
          <w:p w14:paraId="356C948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Технологичната модернизация и развитие на NVIS ще осигури непрекъсната и постоянна инфраструктура/платформа за консултации по визови въпроси с други държави-членки на ЕС, ще гарантира пълна съвместимост на NVIS с ВИС на ЕС в съответствие с Шенгенските стандарти, което ще позволи прилагането на разпоредбите за издаване на шенгенски визи и включването на България във ВИС на ЕС и консултативната мрежа за визи по пощата на ВИС, както и в ШИС. Това ще допринесе за подобряване на качеството на техническото и софтуерното оборудване, неговата модернизация и надграждане, предназначено за обработка в реално време на заявления за визи и комуникация относно координацията и издаването на визи на национално и европейско ниво. По този начин ще бъде подпомогнат процесът на унифициране на формулярите и протоколите на NVIS, за да се осигури активен достъп до ВИС на ЕС и следователно за постигане на законодателна, институционална, техническа и административна готовност за пълноправно членство в Шенгенското пространство.</w:t>
            </w:r>
          </w:p>
          <w:p w14:paraId="218B18D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България полага системни усилия за поддържане и укрепване на инфраструктурата, помещенията, оборудването, техническите средства и организацията на консулските служби в трети страни, за да ги приведе в съответствие с изискванията и най-добрите практики на Шенгенското пространство и да ги приведе в пълна техническа готовност за изпълнение на изискванията за издаване на шенгенски визи за бъдещо пълноправно членство в Шенгенското пространство.</w:t>
            </w:r>
          </w:p>
          <w:p w14:paraId="7045F95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В момента България разполага с 89 консулски служби, 61 от които са разположени в трети страни. Тяхната реконструкция, модернизация, разширение и ремонт ще доведат до подобряване на условията на труд и визовите услуги и ще надградят постигнатото с подкрепата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-B&amp;V.</w:t>
            </w:r>
          </w:p>
          <w:p w14:paraId="477AEEF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II. Специфични предизвикателства и пропуски</w:t>
            </w:r>
          </w:p>
          <w:p w14:paraId="522D9540"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С оглед на ангажиментите на България за прилагане на общата визова политика на ЕС и развитието на двустранните консулски отношения е необходимо да се осигури непрекъснатата работа на широкомащабни ИТ системи, технически средства и съответната инфраструктура.</w:t>
            </w:r>
          </w:p>
          <w:p w14:paraId="39C3A23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Основното визово оборудване на ЦУК беше инсталирано през 2008-2010 г. по силата на Шенгенския инструмент. Анализът показва, че безпроблемното функциониране на Н.ВИС във всички региони изисква ежегодна поддръжка, разработване и надграждане на техническото оборудване и софтуер за нуждите на Н.ВИС, включително ремонт и подмяна на повредени компоненти на Н.ВИС, резервния виртуален център и оборудването на ЦУК. Необходимо е версиите на операционните системи, пощенските сървъри, системите за управление на релационни бази данни и др. да бъдат актуализирани. Анализът показва, че безпроблемното функциониране на Н.ВИС във всички региони изисква ежегодна поддръжка, разработване и надграждане на техническото оборудване и софтуер за нуждите на Н.ВИС, включително ремонт и подмяна на повредени компоненти на Н.ВИС, резервния виртуален център и оборудването на ЦУК. Необходимо е версиите на операционните системи, пощенските сървъри, системите за управление на релационни бази данни и др. да бъдат актуализирани.</w:t>
            </w:r>
          </w:p>
          <w:p w14:paraId="21325239"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Основните нужди, свързани с прилагането на визовата политика, се отнасят до създаването и поддържането на необходимата инфраструктура и материална среда, както и до подготовката на съответните законодателни и административни документи, които отговарят на изискванията за присъединяване към Шенген, с цел ефективно прилагане на достиженията на правото от Шенген и практиката. Жизненоважна част от тази инфраструктура е поддръжката на NVIS в съответствие с изискванията на ЕС и Шенген и връзката ѝ с ВИС на ЕС. Процедурата за достъп до NVIS е регламентирана с Наредбата за реда за достъп до NVIS на България и до ВИС на ЕС, приета с Решение на Министерския съвет № 129 от 12.05.2011 г. Поддръжката на софтуера и хардуера на NVIS е от съществено значение за осигуряване на надеждността и прилагането на националната и европейската политика и законодателство в областта на визите в съответствие с изискванията за оперативна съвместимост и осигуряване на непрекъсната връзка на NVIS с ВИС на ЕС, мрежата за консултации за визи по пощата на ВИС и свободен обмен на визови данни и електронни консултации.</w:t>
            </w:r>
          </w:p>
          <w:p w14:paraId="22892A6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Непрекъснатата поддръжка на софтуера и хардуера на </w:t>
            </w:r>
            <w:r w:rsidR="00A1192D">
              <w:rPr>
                <w:rFonts w:ascii="TimesNewRoman" w:eastAsia="TimesNewRoman" w:hAnsi="TimesNewRoman" w:cs="TimesNewRoman"/>
                <w:color w:val="000000"/>
              </w:rPr>
              <w:t>НВИС</w:t>
            </w:r>
            <w:r>
              <w:rPr>
                <w:rFonts w:ascii="TimesNewRoman" w:eastAsia="TimesNewRoman" w:hAnsi="TimesNewRoman" w:cs="TimesNewRoman"/>
                <w:color w:val="000000"/>
              </w:rPr>
              <w:t xml:space="preserve"> се основава и на необходимостта от подобряване на капацитета на национално и европейско ниво, за да се преодолеят </w:t>
            </w:r>
            <w:r>
              <w:rPr>
                <w:rFonts w:ascii="TimesNewRoman" w:eastAsia="TimesNewRoman" w:hAnsi="TimesNewRoman" w:cs="TimesNewRoman"/>
                <w:color w:val="000000"/>
              </w:rPr>
              <w:lastRenderedPageBreak/>
              <w:t>предизвикателствата, свързани с неочакван или непропорционален миграционен натиск, който би могъл да окаже отрицателно въздействие върху цялостното функциониране на Шенгенското пространство.</w:t>
            </w:r>
          </w:p>
          <w:p w14:paraId="032D69A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Необходими са реконструкция и ремонт на консулски учреждения, закупуване, строителство и отдаване под наем на недвижими имоти, както и модернизация на техническото оборудване в помещенията и инфраструктурата на консулските учреждения в трети страни, където е установено отклонение от изискванията и най-добрите практики на Шенген.</w:t>
            </w:r>
          </w:p>
          <w:p w14:paraId="003AB4D0"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При изпълнение на задълженията си консулските служители трябва да бъдат снабдени с високо ниво на вътрешна и външна сигурност на сградите и помещенията. Те трябва да бъдат оборудвани с най-новите технологии и да разполагат с надеждни, безупречни и оперативно съвместими системи за обмен на визова информация при обработка и издаване на визи. В контекста на нарастващия брой заявления за визи и предвид въздействието на интензивния миграционен натиск от трети страни, има спешна необходимост от гарантиране на сигурността във всички нейни измерения на консулските служители на България в процеса на издаване на визи.</w:t>
            </w:r>
          </w:p>
          <w:p w14:paraId="6737492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Безпроблемната приемственост на приоритетите на </w:t>
            </w:r>
            <w:r w:rsidR="004B3C80">
              <w:rPr>
                <w:rFonts w:ascii="TimesNewRoman" w:eastAsia="TimesNewRoman" w:hAnsi="TimesNewRoman" w:cs="TimesNewRoman"/>
                <w:color w:val="000000"/>
              </w:rPr>
              <w:t>ФВС</w:t>
            </w:r>
            <w:r>
              <w:rPr>
                <w:rFonts w:ascii="TimesNewRoman" w:eastAsia="TimesNewRoman" w:hAnsi="TimesNewRoman" w:cs="TimesNewRoman"/>
                <w:color w:val="000000"/>
              </w:rPr>
              <w:t>-</w:t>
            </w:r>
            <w:r w:rsidR="004B3C80">
              <w:rPr>
                <w:rFonts w:ascii="TimesNewRoman" w:eastAsia="TimesNewRoman" w:hAnsi="TimesNewRoman" w:cs="TimesNewRoman"/>
                <w:color w:val="000000"/>
              </w:rPr>
              <w:t>ГРАНИЦИ И ВИЗИ</w:t>
            </w:r>
            <w:r w:rsidR="00A1192D">
              <w:rPr>
                <w:rFonts w:ascii="TimesNewRoman" w:eastAsia="TimesNewRoman" w:hAnsi="TimesNewRoman" w:cs="TimesNewRoman"/>
                <w:color w:val="000000"/>
                <w:lang w:val="bg-BG"/>
              </w:rPr>
              <w:t xml:space="preserve"> </w:t>
            </w:r>
            <w:r>
              <w:rPr>
                <w:rFonts w:ascii="TimesNewRoman" w:eastAsia="TimesNewRoman" w:hAnsi="TimesNewRoman" w:cs="TimesNewRoman"/>
                <w:color w:val="000000"/>
              </w:rPr>
              <w:t xml:space="preserve">ще бъде осигурена по програмата </w:t>
            </w:r>
            <w:r w:rsidR="004B3C80">
              <w:rPr>
                <w:rFonts w:ascii="TimesNewRoman" w:eastAsia="TimesNewRoman" w:hAnsi="TimesNewRoman" w:cs="TimesNewRoman"/>
                <w:color w:val="000000"/>
              </w:rPr>
              <w:t>ИУГВП</w:t>
            </w:r>
            <w:r>
              <w:rPr>
                <w:rFonts w:ascii="TimesNewRoman" w:eastAsia="TimesNewRoman" w:hAnsi="TimesNewRoman" w:cs="TimesNewRoman"/>
                <w:color w:val="000000"/>
              </w:rPr>
              <w:t xml:space="preserve"> чрез подкрепа на подобни действия, надграждащи предишни резултати, опит и добри практики, като например доставка и поддръжка на техническо оборудване; разработване и поддръжка на мащабни ИКТ системи; ремонт и поддръжка на инфраструктура и др.</w:t>
            </w:r>
          </w:p>
          <w:p w14:paraId="4EFF74B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 допълнение към развитието на съответното законодателство на ЕС и стратегическите приоритети, в програмата ще бъде включено ново действие, свързано със закупуването на инфраструктура за нуждите на консулските служби.</w:t>
            </w:r>
          </w:p>
          <w:p w14:paraId="392CBE6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b/>
                <w:bCs/>
                <w:color w:val="000000"/>
              </w:rPr>
              <w:t>III. Мерки за прилагане</w:t>
            </w:r>
          </w:p>
          <w:p w14:paraId="0492862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Подкрепата по линия на </w:t>
            </w:r>
            <w:r w:rsidR="004B3C80">
              <w:rPr>
                <w:rFonts w:ascii="TimesNewRoman" w:eastAsia="TimesNewRoman" w:hAnsi="TimesNewRoman" w:cs="TimesNewRoman"/>
                <w:color w:val="000000"/>
              </w:rPr>
              <w:t>ИГУВП</w:t>
            </w:r>
            <w:r>
              <w:rPr>
                <w:rFonts w:ascii="TimesNewRoman" w:eastAsia="TimesNewRoman" w:hAnsi="TimesNewRoman" w:cs="TimesNewRoman"/>
                <w:color w:val="000000"/>
              </w:rPr>
              <w:t xml:space="preserve"> ще допринесе за постигането на специфичната цел, посочена в буква б) от член 3, параграф 2, като се съсредоточи върху следните мерки за изпълнение:</w:t>
            </w:r>
          </w:p>
          <w:p w14:paraId="0430B01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 Създаване, експлоатация и поддръжка на широкомащабни ИТ системи в областта на общата визова политика</w:t>
            </w:r>
          </w:p>
          <w:p w14:paraId="5ADFAE0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5225312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1.1. Оборудване и комуникационни системи, необходими за осигуряване на правилното функциониране на широкомащабни ИТ системи</w:t>
            </w:r>
          </w:p>
          <w:p w14:paraId="77DC0F8A"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504D27E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Подобряване на комуникационната свързаност и създаване на интегрирана гарантирана комуникационна връзка и алтернативни комуникационни канали на консулските служби с Националния визов център</w:t>
            </w:r>
          </w:p>
          <w:p w14:paraId="3B01A69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49617DA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·Осигурено високо ниво на надеждност и сигурност на връзката на консулските служби с МВнР</w:t>
            </w:r>
          </w:p>
          <w:p w14:paraId="3C1E0E0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1.2. Разработване и обновяване на мащабни ИТ системи;</w:t>
            </w:r>
          </w:p>
          <w:p w14:paraId="680C789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417AD0C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Надграждане и актуализиране на софтуера и хардуера на </w:t>
            </w:r>
            <w:r w:rsidR="00A1192D">
              <w:rPr>
                <w:rFonts w:ascii="TimesNewRoman" w:eastAsia="TimesNewRoman" w:hAnsi="TimesNewRoman" w:cs="TimesNewRoman"/>
                <w:color w:val="000000"/>
              </w:rPr>
              <w:t>НВИС</w:t>
            </w:r>
            <w:r>
              <w:rPr>
                <w:rFonts w:ascii="TimesNewRoman" w:eastAsia="TimesNewRoman" w:hAnsi="TimesNewRoman" w:cs="TimesNewRoman"/>
                <w:color w:val="000000"/>
              </w:rPr>
              <w:t xml:space="preserve"> и внедряване на електронни услуги</w:t>
            </w:r>
          </w:p>
          <w:p w14:paraId="1FA77A2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Желани резултати:</w:t>
            </w:r>
          </w:p>
          <w:p w14:paraId="7705A4D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·Осигурено е най-съвременно технологично ниво на </w:t>
            </w:r>
            <w:r w:rsidR="00A1192D">
              <w:rPr>
                <w:rFonts w:ascii="TimesNewRoman" w:eastAsia="TimesNewRoman" w:hAnsi="TimesNewRoman" w:cs="TimesNewRoman"/>
                <w:color w:val="000000"/>
              </w:rPr>
              <w:t>НВИС</w:t>
            </w:r>
          </w:p>
          <w:p w14:paraId="2E91F6A5"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2. Оперативна поддръжка</w:t>
            </w:r>
          </w:p>
          <w:p w14:paraId="30AFDB4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На МВнР ще бъде предоставяна оперативна подкрепа по отношение на функциите му като национален публичен орган, отговорен за прилагането на визовата политика, организацията, </w:t>
            </w:r>
            <w:r>
              <w:rPr>
                <w:rFonts w:ascii="TimesNewRoman" w:eastAsia="TimesNewRoman" w:hAnsi="TimesNewRoman" w:cs="TimesNewRoman"/>
                <w:color w:val="000000"/>
              </w:rPr>
              <w:lastRenderedPageBreak/>
              <w:t xml:space="preserve">управлението, експлоатацията и поддръжката на </w:t>
            </w:r>
            <w:r w:rsidR="00A1192D">
              <w:rPr>
                <w:rFonts w:ascii="TimesNewRoman" w:eastAsia="TimesNewRoman" w:hAnsi="TimesNewRoman" w:cs="TimesNewRoman"/>
                <w:color w:val="000000"/>
              </w:rPr>
              <w:t>НВИС</w:t>
            </w:r>
            <w:r>
              <w:rPr>
                <w:rFonts w:ascii="TimesNewRoman" w:eastAsia="TimesNewRoman" w:hAnsi="TimesNewRoman" w:cs="TimesNewRoman"/>
                <w:color w:val="000000"/>
              </w:rPr>
              <w:t xml:space="preserve"> и развитието на двустранните консулски отношения и консулското сътрудничество.</w:t>
            </w:r>
          </w:p>
          <w:p w14:paraId="657CFE20"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Ще бъде предоставена подкрепа за следните видове действия:</w:t>
            </w:r>
          </w:p>
          <w:p w14:paraId="072DF3B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2.1. Оперативна поддръжка за внедряване на широкомащабни ИТ системи</w:t>
            </w:r>
          </w:p>
          <w:p w14:paraId="08EB37AE"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Предвижда се изпълнението на следните индикативни действия/проекти:</w:t>
            </w:r>
          </w:p>
          <w:p w14:paraId="42C3C84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·Поддръжка на приложния софтуер (стандартни лицензи) и хардуера и техническото оборудване на </w:t>
            </w:r>
            <w:r w:rsidR="00A1192D">
              <w:rPr>
                <w:rFonts w:ascii="TimesNewRoman" w:eastAsia="TimesNewRoman" w:hAnsi="TimesNewRoman" w:cs="TimesNewRoman"/>
                <w:color w:val="000000"/>
              </w:rPr>
              <w:t>НВИС</w:t>
            </w:r>
          </w:p>
          <w:p w14:paraId="6BE7433A" w14:textId="77777777" w:rsidR="00A77B3E" w:rsidRDefault="00A77B3E">
            <w:pPr>
              <w:spacing w:before="100"/>
              <w:rPr>
                <w:rFonts w:ascii="TimesNewRoman" w:eastAsia="TimesNewRoman" w:hAnsi="TimesNewRoman" w:cs="TimesNewRoman"/>
                <w:color w:val="000000"/>
                <w:sz w:val="6"/>
              </w:rPr>
            </w:pPr>
          </w:p>
          <w:p w14:paraId="220AF671" w14:textId="77777777" w:rsidR="00A77B3E" w:rsidRDefault="00A77B3E">
            <w:pPr>
              <w:spacing w:before="100"/>
              <w:rPr>
                <w:rFonts w:ascii="TimesNewRoman" w:eastAsia="TimesNewRoman" w:hAnsi="TimesNewRoman" w:cs="TimesNewRoman"/>
                <w:color w:val="000000"/>
                <w:sz w:val="6"/>
              </w:rPr>
            </w:pPr>
          </w:p>
        </w:tc>
      </w:tr>
    </w:tbl>
    <w:p w14:paraId="3A6027BA" w14:textId="77777777" w:rsidR="00A77B3E" w:rsidRDefault="00A77B3E">
      <w:pPr>
        <w:spacing w:before="100"/>
        <w:rPr>
          <w:rFonts w:ascii="TimesNewRoman" w:eastAsia="TimesNewRoman" w:hAnsi="TimesNewRoman" w:cs="TimesNewRoman"/>
          <w:color w:val="000000"/>
        </w:rPr>
        <w:sectPr w:rsidR="00A77B3E">
          <w:headerReference w:type="even" r:id="rId32"/>
          <w:headerReference w:type="default" r:id="rId33"/>
          <w:footerReference w:type="even" r:id="rId34"/>
          <w:footerReference w:type="default" r:id="rId35"/>
          <w:headerReference w:type="first" r:id="rId36"/>
          <w:footerReference w:type="first" r:id="rId37"/>
          <w:pgSz w:w="11906" w:h="16838"/>
          <w:pgMar w:top="720" w:right="936" w:bottom="864" w:left="720" w:header="0" w:footer="72" w:gutter="0"/>
          <w:cols w:space="720"/>
          <w:noEndnote/>
          <w:docGrid w:linePitch="360"/>
        </w:sectPr>
      </w:pPr>
    </w:p>
    <w:p w14:paraId="15E0EE9A" w14:textId="77777777" w:rsidR="00A77B3E" w:rsidRDefault="00AD19A4">
      <w:pPr>
        <w:spacing w:before="100"/>
        <w:rPr>
          <w:color w:val="000000"/>
        </w:rPr>
      </w:pPr>
      <w:r>
        <w:rPr>
          <w:color w:val="000000"/>
        </w:rPr>
        <w:lastRenderedPageBreak/>
        <w:t>2.1. Конкретна цел 2. Обща визова политика</w:t>
      </w:r>
    </w:p>
    <w:p w14:paraId="712E503A" w14:textId="77777777" w:rsidR="00A77B3E" w:rsidRDefault="00AD19A4">
      <w:pPr>
        <w:pStyle w:val="Heading3"/>
        <w:spacing w:before="100" w:after="0"/>
        <w:rPr>
          <w:rFonts w:ascii="Times New Roman" w:hAnsi="Times New Roman" w:cs="Times New Roman"/>
          <w:b w:val="0"/>
          <w:color w:val="000000"/>
          <w:sz w:val="24"/>
        </w:rPr>
      </w:pPr>
      <w:bookmarkStart w:id="11" w:name="_Toc256000059"/>
      <w:r>
        <w:rPr>
          <w:rFonts w:ascii="Times New Roman" w:hAnsi="Times New Roman" w:cs="Times New Roman"/>
          <w:b w:val="0"/>
          <w:color w:val="000000"/>
          <w:sz w:val="24"/>
        </w:rPr>
        <w:t>2.1.2. Индикатори</w:t>
      </w:r>
      <w:bookmarkEnd w:id="11"/>
    </w:p>
    <w:p w14:paraId="18C8A973" w14:textId="77777777" w:rsidR="00A77B3E" w:rsidRDefault="00AD19A4">
      <w:pPr>
        <w:spacing w:before="100"/>
        <w:rPr>
          <w:color w:val="000000"/>
          <w:sz w:val="12"/>
        </w:rPr>
      </w:pPr>
      <w:r>
        <w:rPr>
          <w:color w:val="000000"/>
        </w:rPr>
        <w:t>Позоваване: член 22, параграф 4, буква д) от РОР</w:t>
      </w:r>
    </w:p>
    <w:p w14:paraId="6519554D" w14:textId="77777777" w:rsidR="00A77B3E" w:rsidRDefault="00AD19A4">
      <w:pPr>
        <w:pStyle w:val="Heading4"/>
        <w:spacing w:before="100" w:after="0"/>
        <w:rPr>
          <w:b w:val="0"/>
          <w:color w:val="000000"/>
          <w:sz w:val="24"/>
        </w:rPr>
      </w:pPr>
      <w:bookmarkStart w:id="12" w:name="_Toc256000060"/>
      <w:r>
        <w:rPr>
          <w:b w:val="0"/>
          <w:color w:val="000000"/>
          <w:sz w:val="24"/>
        </w:rPr>
        <w:t>Таблица 1: Показатели за резултатите</w:t>
      </w:r>
      <w:bookmarkEnd w:id="12"/>
    </w:p>
    <w:p w14:paraId="17EA517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677"/>
        <w:gridCol w:w="1999"/>
        <w:gridCol w:w="1579"/>
        <w:gridCol w:w="1579"/>
      </w:tblGrid>
      <w:tr w:rsidR="00FE6FD5" w14:paraId="1A5F9AAA"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447B62" w14:textId="77777777" w:rsidR="00A77B3E" w:rsidRDefault="00AD19A4">
            <w:pPr>
              <w:spacing w:before="100"/>
              <w:jc w:val="center"/>
              <w:rPr>
                <w:color w:val="000000"/>
                <w:sz w:val="20"/>
              </w:rPr>
            </w:pPr>
            <w:r>
              <w:rPr>
                <w:color w:val="000000"/>
                <w:sz w:val="20"/>
              </w:rPr>
              <w:t>Идентификационен 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3E0BB5" w14:textId="77777777" w:rsidR="00A77B3E" w:rsidRDefault="00AD19A4">
            <w:pPr>
              <w:spacing w:before="100"/>
              <w:jc w:val="center"/>
              <w:rPr>
                <w:color w:val="000000"/>
                <w:sz w:val="20"/>
              </w:rPr>
            </w:pPr>
            <w:r>
              <w:rPr>
                <w:color w:val="000000"/>
                <w:sz w:val="20"/>
              </w:rPr>
              <w:t>Индикатор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5405ED" w14:textId="77777777" w:rsidR="00A77B3E" w:rsidRDefault="00AD19A4">
            <w:pPr>
              <w:spacing w:before="100"/>
              <w:jc w:val="center"/>
              <w:rPr>
                <w:color w:val="000000"/>
                <w:sz w:val="20"/>
              </w:rPr>
            </w:pPr>
            <w:r>
              <w:rPr>
                <w:color w:val="000000"/>
                <w:sz w:val="20"/>
              </w:rPr>
              <w:t>Мерна единица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7459DF" w14:textId="77777777" w:rsidR="00A77B3E" w:rsidRDefault="00AD19A4">
            <w:pPr>
              <w:spacing w:before="100"/>
              <w:jc w:val="center"/>
              <w:rPr>
                <w:color w:val="000000"/>
                <w:sz w:val="20"/>
              </w:rPr>
            </w:pPr>
            <w:r>
              <w:rPr>
                <w:color w:val="000000"/>
                <w:sz w:val="20"/>
              </w:rPr>
              <w:t>Етап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A894C1" w14:textId="77777777" w:rsidR="00A77B3E" w:rsidRDefault="00AD19A4">
            <w:pPr>
              <w:spacing w:before="100"/>
              <w:jc w:val="center"/>
              <w:rPr>
                <w:color w:val="000000"/>
                <w:sz w:val="20"/>
              </w:rPr>
            </w:pPr>
            <w:r>
              <w:rPr>
                <w:color w:val="000000"/>
                <w:sz w:val="20"/>
              </w:rPr>
              <w:t>Цел (2029)</w:t>
            </w:r>
          </w:p>
        </w:tc>
      </w:tr>
      <w:tr w:rsidR="00FE6FD5" w14:paraId="42E1A9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BD2A9F" w14:textId="77777777" w:rsidR="00A77B3E" w:rsidRDefault="00AD19A4">
            <w:pPr>
              <w:spacing w:before="100"/>
              <w:rPr>
                <w:color w:val="000000"/>
                <w:sz w:val="20"/>
              </w:rPr>
            </w:pPr>
            <w:r>
              <w:rPr>
                <w:color w:val="000000"/>
                <w:sz w:val="20"/>
              </w:rPr>
              <w:t>О.2.1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18FECF" w14:textId="77777777" w:rsidR="00A77B3E" w:rsidRDefault="00AD19A4">
            <w:pPr>
              <w:spacing w:before="100"/>
              <w:rPr>
                <w:color w:val="000000"/>
                <w:sz w:val="20"/>
              </w:rPr>
            </w:pPr>
            <w:r>
              <w:rPr>
                <w:color w:val="000000"/>
                <w:sz w:val="20"/>
              </w:rPr>
              <w:t>Брой проекти, подкрепящи цифровизацията на обработката на визи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F43E5D"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095697"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4BD2C5" w14:textId="77777777" w:rsidR="00A77B3E" w:rsidRDefault="00AD19A4">
            <w:pPr>
              <w:spacing w:before="100"/>
              <w:jc w:val="right"/>
              <w:rPr>
                <w:color w:val="000000"/>
                <w:sz w:val="20"/>
              </w:rPr>
            </w:pPr>
            <w:r>
              <w:rPr>
                <w:color w:val="000000"/>
                <w:sz w:val="20"/>
              </w:rPr>
              <w:t>0</w:t>
            </w:r>
          </w:p>
        </w:tc>
      </w:tr>
      <w:tr w:rsidR="00FE6FD5" w14:paraId="708BF3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2CCC73" w14:textId="77777777" w:rsidR="00A77B3E" w:rsidRDefault="00AD19A4">
            <w:pPr>
              <w:spacing w:before="100"/>
              <w:rPr>
                <w:color w:val="000000"/>
                <w:sz w:val="20"/>
              </w:rPr>
            </w:pPr>
            <w:r>
              <w:rPr>
                <w:color w:val="000000"/>
                <w:sz w:val="20"/>
              </w:rPr>
              <w:t>О.2.2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AC5787" w14:textId="77777777" w:rsidR="00A77B3E" w:rsidRDefault="00AD19A4">
            <w:pPr>
              <w:spacing w:before="100"/>
              <w:rPr>
                <w:color w:val="000000"/>
                <w:sz w:val="20"/>
              </w:rPr>
            </w:pPr>
            <w:r>
              <w:rPr>
                <w:color w:val="000000"/>
                <w:sz w:val="20"/>
              </w:rPr>
              <w:t>Брой подкрепени участници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1A6CAA1"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B8749B"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5E2A5D" w14:textId="77777777" w:rsidR="00A77B3E" w:rsidRDefault="00AD19A4">
            <w:pPr>
              <w:spacing w:before="100"/>
              <w:jc w:val="right"/>
              <w:rPr>
                <w:color w:val="000000"/>
                <w:sz w:val="20"/>
              </w:rPr>
            </w:pPr>
            <w:r>
              <w:rPr>
                <w:color w:val="000000"/>
                <w:sz w:val="20"/>
              </w:rPr>
              <w:t>0</w:t>
            </w:r>
          </w:p>
        </w:tc>
      </w:tr>
      <w:tr w:rsidR="00FE6FD5" w14:paraId="425B100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0094D4" w14:textId="77777777" w:rsidR="00A77B3E" w:rsidRDefault="00AD19A4">
            <w:pPr>
              <w:spacing w:before="100"/>
              <w:rPr>
                <w:color w:val="000000"/>
                <w:sz w:val="20"/>
              </w:rPr>
            </w:pPr>
            <w:r>
              <w:rPr>
                <w:color w:val="000000"/>
                <w:sz w:val="20"/>
              </w:rPr>
              <w:t>О.2.2.1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A5F1B" w14:textId="77777777" w:rsidR="00A77B3E" w:rsidRDefault="00AD19A4">
            <w:pPr>
              <w:spacing w:before="100"/>
              <w:rPr>
                <w:color w:val="000000"/>
                <w:sz w:val="20"/>
              </w:rPr>
            </w:pPr>
            <w:r>
              <w:rPr>
                <w:color w:val="000000"/>
                <w:sz w:val="20"/>
              </w:rPr>
              <w:t>от които брой участници в обучителни дейности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FF83B2"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C2B4B"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C597BE" w14:textId="77777777" w:rsidR="00A77B3E" w:rsidRDefault="00AD19A4">
            <w:pPr>
              <w:spacing w:before="100"/>
              <w:jc w:val="right"/>
              <w:rPr>
                <w:color w:val="000000"/>
                <w:sz w:val="20"/>
              </w:rPr>
            </w:pPr>
            <w:r>
              <w:rPr>
                <w:color w:val="000000"/>
                <w:sz w:val="20"/>
              </w:rPr>
              <w:t>0</w:t>
            </w:r>
          </w:p>
        </w:tc>
      </w:tr>
      <w:tr w:rsidR="00FE6FD5" w14:paraId="518C55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33C6E" w14:textId="77777777" w:rsidR="00A77B3E" w:rsidRDefault="00AD19A4">
            <w:pPr>
              <w:spacing w:before="100"/>
              <w:rPr>
                <w:color w:val="000000"/>
                <w:sz w:val="20"/>
              </w:rPr>
            </w:pPr>
            <w:r>
              <w:rPr>
                <w:color w:val="000000"/>
                <w:sz w:val="20"/>
              </w:rPr>
              <w:t>О.2.3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B217E9" w14:textId="77777777" w:rsidR="00A77B3E" w:rsidRDefault="00AD19A4">
            <w:pPr>
              <w:spacing w:before="100"/>
              <w:rPr>
                <w:color w:val="000000"/>
                <w:sz w:val="20"/>
              </w:rPr>
            </w:pPr>
            <w:r>
              <w:rPr>
                <w:color w:val="000000"/>
                <w:sz w:val="20"/>
              </w:rPr>
              <w:t>Брой служители, разположени в консулства в трети държави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4C1837"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49D644"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ADB1D6" w14:textId="77777777" w:rsidR="00A77B3E" w:rsidRDefault="00AD19A4">
            <w:pPr>
              <w:spacing w:before="100"/>
              <w:jc w:val="right"/>
              <w:rPr>
                <w:color w:val="000000"/>
                <w:sz w:val="20"/>
              </w:rPr>
            </w:pPr>
            <w:r>
              <w:rPr>
                <w:color w:val="000000"/>
                <w:sz w:val="20"/>
              </w:rPr>
              <w:t>0</w:t>
            </w:r>
          </w:p>
        </w:tc>
      </w:tr>
      <w:tr w:rsidR="00FE6FD5" w14:paraId="07B666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B34C38" w14:textId="77777777" w:rsidR="00A77B3E" w:rsidRDefault="00AD19A4">
            <w:pPr>
              <w:spacing w:before="100"/>
              <w:rPr>
                <w:color w:val="000000"/>
                <w:sz w:val="20"/>
              </w:rPr>
            </w:pPr>
            <w:r>
              <w:rPr>
                <w:color w:val="000000"/>
                <w:sz w:val="20"/>
              </w:rPr>
              <w:t>О.2.3.1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7FB0BF" w14:textId="77777777" w:rsidR="00A77B3E" w:rsidRDefault="00AD19A4">
            <w:pPr>
              <w:spacing w:before="100"/>
              <w:rPr>
                <w:color w:val="000000"/>
                <w:sz w:val="20"/>
              </w:rPr>
            </w:pPr>
            <w:r>
              <w:rPr>
                <w:color w:val="000000"/>
                <w:sz w:val="20"/>
              </w:rPr>
              <w:t>от които брой служители, разположени за обработка на визи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AC7643"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41D150"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07D656" w14:textId="77777777" w:rsidR="00A77B3E" w:rsidRDefault="00AD19A4">
            <w:pPr>
              <w:spacing w:before="100"/>
              <w:jc w:val="right"/>
              <w:rPr>
                <w:color w:val="000000"/>
                <w:sz w:val="20"/>
              </w:rPr>
            </w:pPr>
            <w:r>
              <w:rPr>
                <w:color w:val="000000"/>
                <w:sz w:val="20"/>
              </w:rPr>
              <w:t>0</w:t>
            </w:r>
          </w:p>
        </w:tc>
      </w:tr>
      <w:tr w:rsidR="00FE6FD5" w14:paraId="1A3613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91A958" w14:textId="77777777" w:rsidR="00A77B3E" w:rsidRDefault="00AD19A4">
            <w:pPr>
              <w:spacing w:before="100"/>
              <w:rPr>
                <w:color w:val="000000"/>
                <w:sz w:val="20"/>
              </w:rPr>
            </w:pPr>
            <w:r>
              <w:rPr>
                <w:color w:val="000000"/>
                <w:sz w:val="20"/>
              </w:rPr>
              <w:t>О.2.4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1A98FF" w14:textId="77777777" w:rsidR="00A77B3E" w:rsidRDefault="00AD19A4">
            <w:pPr>
              <w:spacing w:before="100"/>
              <w:rPr>
                <w:color w:val="000000"/>
                <w:sz w:val="20"/>
              </w:rPr>
            </w:pPr>
            <w:r>
              <w:rPr>
                <w:color w:val="000000"/>
                <w:sz w:val="20"/>
              </w:rPr>
              <w:t>Брой разработени / поддържани / надградени ИТ функционалности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6C2435"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B60096" w14:textId="77777777" w:rsidR="00A77B3E" w:rsidRDefault="00AD19A4">
            <w:pPr>
              <w:spacing w:before="100"/>
              <w:jc w:val="right"/>
              <w:rPr>
                <w:color w:val="000000"/>
                <w:sz w:val="20"/>
              </w:rPr>
            </w:pPr>
            <w:r>
              <w:rPr>
                <w:color w:val="000000"/>
                <w:sz w:val="20"/>
              </w:rPr>
              <w:t>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4153BC" w14:textId="77777777" w:rsidR="00A77B3E" w:rsidRDefault="00AD19A4">
            <w:pPr>
              <w:spacing w:before="100"/>
              <w:jc w:val="right"/>
              <w:rPr>
                <w:color w:val="000000"/>
                <w:sz w:val="20"/>
              </w:rPr>
            </w:pPr>
            <w:r>
              <w:rPr>
                <w:color w:val="000000"/>
                <w:sz w:val="20"/>
              </w:rPr>
              <w:t>4</w:t>
            </w:r>
          </w:p>
        </w:tc>
      </w:tr>
      <w:tr w:rsidR="00FE6FD5" w14:paraId="2454EC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9A357D" w14:textId="77777777" w:rsidR="00A77B3E" w:rsidRDefault="00AD19A4">
            <w:pPr>
              <w:spacing w:before="100"/>
              <w:rPr>
                <w:color w:val="000000"/>
                <w:sz w:val="20"/>
              </w:rPr>
            </w:pPr>
            <w:r>
              <w:rPr>
                <w:color w:val="000000"/>
                <w:sz w:val="20"/>
              </w:rPr>
              <w:t>О.2.5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02C7A3" w14:textId="77777777" w:rsidR="00A77B3E" w:rsidRDefault="00AD19A4">
            <w:pPr>
              <w:spacing w:before="100"/>
              <w:rPr>
                <w:color w:val="000000"/>
                <w:sz w:val="20"/>
              </w:rPr>
            </w:pPr>
            <w:r>
              <w:rPr>
                <w:color w:val="000000"/>
                <w:sz w:val="20"/>
              </w:rPr>
              <w:t>Брой разработени / поддържани / обновени мащабни ИТ системи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B1A025"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595C71" w14:textId="77777777" w:rsidR="00A77B3E" w:rsidRDefault="00AD19A4">
            <w:pPr>
              <w:spacing w:before="100"/>
              <w:jc w:val="right"/>
              <w:rPr>
                <w:color w:val="000000"/>
                <w:sz w:val="20"/>
              </w:rPr>
            </w:pPr>
            <w:r>
              <w:rPr>
                <w:color w:val="000000"/>
                <w:sz w:val="20"/>
              </w:rPr>
              <w:t>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3C5350" w14:textId="77777777" w:rsidR="00A77B3E" w:rsidRDefault="00AD19A4">
            <w:pPr>
              <w:spacing w:before="100"/>
              <w:jc w:val="right"/>
              <w:rPr>
                <w:color w:val="000000"/>
                <w:sz w:val="20"/>
              </w:rPr>
            </w:pPr>
            <w:r>
              <w:rPr>
                <w:color w:val="000000"/>
                <w:sz w:val="20"/>
              </w:rPr>
              <w:t>1</w:t>
            </w:r>
          </w:p>
        </w:tc>
      </w:tr>
      <w:tr w:rsidR="00FE6FD5" w14:paraId="5626BE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F1375E" w14:textId="77777777" w:rsidR="00A77B3E" w:rsidRDefault="00AD19A4">
            <w:pPr>
              <w:spacing w:before="100"/>
              <w:rPr>
                <w:color w:val="000000"/>
                <w:sz w:val="20"/>
              </w:rPr>
            </w:pPr>
            <w:r>
              <w:rPr>
                <w:color w:val="000000"/>
                <w:sz w:val="20"/>
              </w:rPr>
              <w:t>О.2.5.1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E60045" w14:textId="77777777" w:rsidR="00A77B3E" w:rsidRDefault="00AD19A4">
            <w:pPr>
              <w:spacing w:before="100"/>
              <w:rPr>
                <w:color w:val="000000"/>
                <w:sz w:val="20"/>
              </w:rPr>
            </w:pPr>
            <w:r>
              <w:rPr>
                <w:color w:val="000000"/>
                <w:sz w:val="20"/>
              </w:rPr>
              <w:t>от които брой разработени широкомащабни ИТ системи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A518DA"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B74F78"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707433" w14:textId="77777777" w:rsidR="00A77B3E" w:rsidRDefault="00AD19A4">
            <w:pPr>
              <w:spacing w:before="100"/>
              <w:jc w:val="right"/>
              <w:rPr>
                <w:color w:val="000000"/>
                <w:sz w:val="20"/>
              </w:rPr>
            </w:pPr>
            <w:r>
              <w:rPr>
                <w:color w:val="000000"/>
                <w:sz w:val="20"/>
              </w:rPr>
              <w:t>0</w:t>
            </w:r>
          </w:p>
        </w:tc>
      </w:tr>
      <w:tr w:rsidR="00FE6FD5" w14:paraId="6A3D3E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76F08D" w14:textId="77777777" w:rsidR="00A77B3E" w:rsidRDefault="00AD19A4">
            <w:pPr>
              <w:spacing w:before="100"/>
              <w:rPr>
                <w:color w:val="000000"/>
                <w:sz w:val="20"/>
              </w:rPr>
            </w:pPr>
            <w:r>
              <w:rPr>
                <w:color w:val="000000"/>
                <w:sz w:val="20"/>
              </w:rPr>
              <w:t>О.2.6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F70706" w14:textId="77777777" w:rsidR="00A77B3E" w:rsidRDefault="00AD19A4">
            <w:pPr>
              <w:spacing w:before="100"/>
              <w:rPr>
                <w:color w:val="000000"/>
                <w:sz w:val="20"/>
              </w:rPr>
            </w:pPr>
            <w:r>
              <w:rPr>
                <w:color w:val="000000"/>
                <w:sz w:val="20"/>
              </w:rPr>
              <w:t>Брой поддържани/ремонтирани инфраструктурни обекти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D534B0"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533707"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72E161" w14:textId="77777777" w:rsidR="00A77B3E" w:rsidRDefault="00AD19A4">
            <w:pPr>
              <w:spacing w:before="100"/>
              <w:jc w:val="right"/>
              <w:rPr>
                <w:color w:val="000000"/>
                <w:sz w:val="20"/>
              </w:rPr>
            </w:pPr>
            <w:r>
              <w:rPr>
                <w:color w:val="000000"/>
                <w:sz w:val="20"/>
              </w:rPr>
              <w:t>0</w:t>
            </w:r>
          </w:p>
        </w:tc>
      </w:tr>
      <w:tr w:rsidR="00FE6FD5" w14:paraId="22B66E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8ADCF8" w14:textId="77777777" w:rsidR="00A77B3E" w:rsidRDefault="00AD19A4">
            <w:pPr>
              <w:spacing w:before="100"/>
              <w:rPr>
                <w:color w:val="000000"/>
                <w:sz w:val="20"/>
              </w:rPr>
            </w:pPr>
            <w:r>
              <w:rPr>
                <w:color w:val="000000"/>
                <w:sz w:val="20"/>
              </w:rPr>
              <w:t>О.2.7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4BF241" w14:textId="77777777" w:rsidR="00A77B3E" w:rsidRDefault="00AD19A4">
            <w:pPr>
              <w:spacing w:before="100"/>
              <w:rPr>
                <w:color w:val="000000"/>
                <w:sz w:val="20"/>
              </w:rPr>
            </w:pPr>
            <w:r>
              <w:rPr>
                <w:color w:val="000000"/>
                <w:sz w:val="20"/>
              </w:rPr>
              <w:t>Брой недвижими имоти, отдадени под наем / амортизирани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99917D" w14:textId="77777777" w:rsidR="00A77B3E" w:rsidRDefault="00AD19A4">
            <w:pPr>
              <w:spacing w:before="100"/>
              <w:rPr>
                <w:color w:val="000000"/>
                <w:sz w:val="20"/>
              </w:rPr>
            </w:pPr>
            <w:r>
              <w:rPr>
                <w:color w:val="000000"/>
                <w:sz w:val="20"/>
              </w:rPr>
              <w:t>номер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6F3523" w14:textId="77777777" w:rsidR="00A77B3E" w:rsidRDefault="00AD19A4">
            <w:pPr>
              <w:spacing w:before="100"/>
              <w:jc w:val="right"/>
              <w:rPr>
                <w:color w:val="000000"/>
                <w:sz w:val="20"/>
              </w:rPr>
            </w:pPr>
            <w:r>
              <w:rPr>
                <w:color w:val="000000"/>
                <w:sz w:val="20"/>
              </w:rPr>
              <w:t>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56598F" w14:textId="77777777" w:rsidR="00A77B3E" w:rsidRDefault="00AD19A4">
            <w:pPr>
              <w:spacing w:before="100"/>
              <w:jc w:val="right"/>
              <w:rPr>
                <w:color w:val="000000"/>
                <w:sz w:val="20"/>
              </w:rPr>
            </w:pPr>
            <w:r>
              <w:rPr>
                <w:color w:val="000000"/>
                <w:sz w:val="20"/>
              </w:rPr>
              <w:t>0</w:t>
            </w:r>
          </w:p>
        </w:tc>
      </w:tr>
    </w:tbl>
    <w:p w14:paraId="4BB0B35E" w14:textId="77777777" w:rsidR="00A77B3E" w:rsidRDefault="00AD19A4">
      <w:pPr>
        <w:spacing w:before="100"/>
        <w:rPr>
          <w:color w:val="000000"/>
        </w:rPr>
      </w:pPr>
      <w:r>
        <w:rPr>
          <w:color w:val="000000"/>
          <w:sz w:val="20"/>
        </w:rPr>
        <w:br w:type="page"/>
      </w:r>
      <w:r>
        <w:rPr>
          <w:color w:val="000000"/>
        </w:rPr>
        <w:lastRenderedPageBreak/>
        <w:t>2.1. Конкретна цел 2. Обща визова политика</w:t>
      </w:r>
    </w:p>
    <w:p w14:paraId="54DDEB5F" w14:textId="77777777" w:rsidR="00A77B3E" w:rsidRDefault="00AD19A4">
      <w:pPr>
        <w:spacing w:before="100"/>
        <w:rPr>
          <w:color w:val="000000"/>
          <w:sz w:val="0"/>
        </w:rPr>
      </w:pPr>
      <w:r>
        <w:rPr>
          <w:color w:val="000000"/>
        </w:rPr>
        <w:t>2.1.2. Индикатори</w:t>
      </w:r>
    </w:p>
    <w:p w14:paraId="609B8DA0" w14:textId="77777777" w:rsidR="00A77B3E" w:rsidRDefault="00AD19A4">
      <w:pPr>
        <w:spacing w:before="100"/>
        <w:rPr>
          <w:color w:val="000000"/>
          <w:sz w:val="12"/>
        </w:rPr>
      </w:pPr>
      <w:r>
        <w:rPr>
          <w:color w:val="000000"/>
        </w:rPr>
        <w:t>Позоваване: член 22, параграф 4, буква д) от РОР</w:t>
      </w:r>
    </w:p>
    <w:p w14:paraId="4A952577" w14:textId="77777777" w:rsidR="00A77B3E" w:rsidRDefault="00AD19A4">
      <w:pPr>
        <w:pStyle w:val="Heading4"/>
        <w:spacing w:before="100" w:after="0"/>
        <w:rPr>
          <w:b w:val="0"/>
          <w:color w:val="000000"/>
          <w:sz w:val="24"/>
        </w:rPr>
      </w:pPr>
      <w:bookmarkStart w:id="13" w:name="_Toc256000061"/>
      <w:r>
        <w:rPr>
          <w:b w:val="0"/>
          <w:color w:val="000000"/>
          <w:sz w:val="24"/>
        </w:rPr>
        <w:t>Таблица 2: Показатели за резултати</w:t>
      </w:r>
      <w:bookmarkEnd w:id="13"/>
    </w:p>
    <w:p w14:paraId="56CB271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276"/>
        <w:gridCol w:w="1517"/>
        <w:gridCol w:w="1517"/>
        <w:gridCol w:w="1517"/>
        <w:gridCol w:w="1517"/>
        <w:gridCol w:w="1517"/>
        <w:gridCol w:w="1517"/>
        <w:gridCol w:w="1517"/>
        <w:gridCol w:w="1517"/>
      </w:tblGrid>
      <w:tr w:rsidR="00FE6FD5" w14:paraId="7E1607C6" w14:textId="77777777">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A8580E" w14:textId="77777777" w:rsidR="00A77B3E" w:rsidRDefault="00AD19A4">
            <w:pPr>
              <w:spacing w:before="100"/>
              <w:jc w:val="center"/>
              <w:rPr>
                <w:color w:val="000000"/>
                <w:sz w:val="20"/>
              </w:rPr>
            </w:pPr>
            <w:r>
              <w:rPr>
                <w:color w:val="000000"/>
                <w:sz w:val="20"/>
              </w:rPr>
              <w:t>Идентификационен номер</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46E6BB" w14:textId="77777777" w:rsidR="00A77B3E" w:rsidRDefault="00AD19A4">
            <w:pPr>
              <w:spacing w:before="100"/>
              <w:jc w:val="center"/>
              <w:rPr>
                <w:color w:val="000000"/>
                <w:sz w:val="20"/>
              </w:rPr>
            </w:pPr>
            <w:r>
              <w:rPr>
                <w:color w:val="000000"/>
                <w:sz w:val="20"/>
              </w:rPr>
              <w:t>Индикатор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0E5F03" w14:textId="77777777" w:rsidR="00A77B3E" w:rsidRDefault="00AD19A4">
            <w:pPr>
              <w:spacing w:before="100"/>
              <w:jc w:val="center"/>
              <w:rPr>
                <w:color w:val="000000"/>
                <w:sz w:val="20"/>
              </w:rPr>
            </w:pPr>
            <w:r>
              <w:rPr>
                <w:color w:val="000000"/>
                <w:sz w:val="20"/>
              </w:rPr>
              <w:t>Мерна единица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5FD014" w14:textId="77777777" w:rsidR="00A77B3E" w:rsidRDefault="00AD19A4">
            <w:pPr>
              <w:spacing w:before="100"/>
              <w:jc w:val="center"/>
              <w:rPr>
                <w:color w:val="000000"/>
                <w:sz w:val="20"/>
              </w:rPr>
            </w:pPr>
            <w:r>
              <w:rPr>
                <w:color w:val="000000"/>
                <w:sz w:val="20"/>
              </w:rPr>
              <w:t>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BE6EE0" w14:textId="77777777" w:rsidR="00A77B3E" w:rsidRDefault="00AD19A4">
            <w:pPr>
              <w:spacing w:before="100"/>
              <w:jc w:val="center"/>
              <w:rPr>
                <w:color w:val="000000"/>
                <w:sz w:val="20"/>
              </w:rPr>
            </w:pPr>
            <w:r>
              <w:rPr>
                <w:color w:val="000000"/>
                <w:sz w:val="20"/>
              </w:rPr>
              <w:t>Мерна единица за базова линия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B05885" w14:textId="77777777" w:rsidR="00A77B3E" w:rsidRDefault="00AD19A4">
            <w:pPr>
              <w:spacing w:before="100"/>
              <w:jc w:val="center"/>
              <w:rPr>
                <w:color w:val="000000"/>
                <w:sz w:val="20"/>
              </w:rPr>
            </w:pPr>
            <w:r>
              <w:rPr>
                <w:color w:val="000000"/>
                <w:sz w:val="20"/>
              </w:rPr>
              <w:t>Референтна(и) година(и)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40DBA8" w14:textId="77777777" w:rsidR="00A77B3E" w:rsidRDefault="00AD19A4">
            <w:pPr>
              <w:spacing w:before="100"/>
              <w:jc w:val="center"/>
              <w:rPr>
                <w:color w:val="000000"/>
                <w:sz w:val="20"/>
              </w:rPr>
            </w:pPr>
            <w:r>
              <w:rPr>
                <w:color w:val="000000"/>
                <w:sz w:val="20"/>
              </w:rPr>
              <w:t>Цел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3780BE" w14:textId="77777777" w:rsidR="00A77B3E" w:rsidRDefault="00AD19A4">
            <w:pPr>
              <w:spacing w:before="100"/>
              <w:jc w:val="center"/>
              <w:rPr>
                <w:color w:val="000000"/>
                <w:sz w:val="20"/>
              </w:rPr>
            </w:pPr>
            <w:r>
              <w:rPr>
                <w:color w:val="000000"/>
                <w:sz w:val="20"/>
              </w:rPr>
              <w:t>Мерна единица за цел</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52C227" w14:textId="77777777" w:rsidR="00A77B3E" w:rsidRDefault="00AD19A4">
            <w:pPr>
              <w:spacing w:before="100"/>
              <w:jc w:val="center"/>
              <w:rPr>
                <w:color w:val="000000"/>
                <w:sz w:val="20"/>
              </w:rPr>
            </w:pPr>
            <w:r>
              <w:rPr>
                <w:color w:val="000000"/>
                <w:sz w:val="20"/>
              </w:rPr>
              <w:t>Източник на данни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EF36CD" w14:textId="77777777" w:rsidR="00A77B3E" w:rsidRDefault="00AD19A4">
            <w:pPr>
              <w:spacing w:before="100"/>
              <w:rPr>
                <w:color w:val="000000"/>
                <w:sz w:val="20"/>
              </w:rPr>
            </w:pPr>
            <w:r>
              <w:rPr>
                <w:color w:val="000000"/>
                <w:sz w:val="20"/>
              </w:rPr>
              <w:t>Коментари</w:t>
            </w:r>
          </w:p>
        </w:tc>
      </w:tr>
      <w:tr w:rsidR="00FE6FD5" w14:paraId="5686327D"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3524B3" w14:textId="77777777" w:rsidR="00A77B3E" w:rsidRDefault="00AD19A4">
            <w:pPr>
              <w:spacing w:before="100"/>
              <w:rPr>
                <w:color w:val="000000"/>
                <w:sz w:val="20"/>
              </w:rPr>
            </w:pPr>
            <w:r>
              <w:rPr>
                <w:color w:val="000000"/>
                <w:sz w:val="20"/>
              </w:rPr>
              <w:t>Р.2.8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CDC4EA" w14:textId="77777777" w:rsidR="00A77B3E" w:rsidRDefault="00AD19A4">
            <w:pPr>
              <w:spacing w:before="100"/>
              <w:rPr>
                <w:color w:val="000000"/>
                <w:sz w:val="20"/>
              </w:rPr>
            </w:pPr>
            <w:r>
              <w:rPr>
                <w:color w:val="000000"/>
                <w:sz w:val="20"/>
              </w:rPr>
              <w:t>Брой нови/модернизирани консулства извън Шенгенското пространство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080F56"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413747"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25AE4"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9583DE"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0A77A"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55C643"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3FB78"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F2D946" w14:textId="77777777" w:rsidR="00A77B3E" w:rsidRDefault="00A77B3E">
            <w:pPr>
              <w:spacing w:before="100"/>
              <w:rPr>
                <w:color w:val="000000"/>
                <w:sz w:val="20"/>
              </w:rPr>
            </w:pPr>
          </w:p>
        </w:tc>
      </w:tr>
      <w:tr w:rsidR="00FE6FD5" w14:paraId="4043D2A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4BBA00" w14:textId="77777777" w:rsidR="00A77B3E" w:rsidRDefault="00AD19A4">
            <w:pPr>
              <w:spacing w:before="100"/>
              <w:rPr>
                <w:color w:val="000000"/>
                <w:sz w:val="20"/>
              </w:rPr>
            </w:pPr>
            <w:r>
              <w:rPr>
                <w:color w:val="000000"/>
                <w:sz w:val="20"/>
              </w:rPr>
              <w:t>Р.2.8.1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2B94F9" w14:textId="77777777" w:rsidR="00A77B3E" w:rsidRDefault="00AD19A4">
            <w:pPr>
              <w:spacing w:before="100"/>
              <w:rPr>
                <w:color w:val="000000"/>
                <w:sz w:val="20"/>
              </w:rPr>
            </w:pPr>
            <w:r>
              <w:rPr>
                <w:color w:val="000000"/>
                <w:sz w:val="20"/>
              </w:rPr>
              <w:t>от които брой консулства, обновени с цел подобряване на удобството за кандидатите за виза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FF01C8"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F409BC"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262DFE"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BF21B1"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7C7AE2"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32C69"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B78BB"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638DCE" w14:textId="77777777" w:rsidR="00A77B3E" w:rsidRDefault="00A77B3E">
            <w:pPr>
              <w:spacing w:before="100"/>
              <w:rPr>
                <w:color w:val="000000"/>
                <w:sz w:val="20"/>
              </w:rPr>
            </w:pPr>
          </w:p>
        </w:tc>
      </w:tr>
      <w:tr w:rsidR="00FE6FD5" w14:paraId="62FD4D28"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54111" w14:textId="77777777" w:rsidR="00A77B3E" w:rsidRDefault="00AD19A4">
            <w:pPr>
              <w:spacing w:before="100"/>
              <w:rPr>
                <w:color w:val="000000"/>
                <w:sz w:val="20"/>
              </w:rPr>
            </w:pPr>
            <w:r>
              <w:rPr>
                <w:color w:val="000000"/>
                <w:sz w:val="20"/>
              </w:rPr>
              <w:t>Р.2.9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DDEF9" w14:textId="77777777" w:rsidR="00A77B3E" w:rsidRDefault="00AD19A4">
            <w:pPr>
              <w:spacing w:before="100"/>
              <w:rPr>
                <w:color w:val="000000"/>
                <w:sz w:val="20"/>
              </w:rPr>
            </w:pPr>
            <w:r>
              <w:rPr>
                <w:color w:val="000000"/>
                <w:sz w:val="20"/>
              </w:rPr>
              <w:t>Брой на изпълнените препоръки от оценките по Шенген в областта на общата визова политика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EFE055"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7DE99B"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7B926"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06B879"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DFF9B7"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7B896B" w14:textId="77777777" w:rsidR="00A77B3E" w:rsidRDefault="00AD19A4">
            <w:pPr>
              <w:spacing w:before="100"/>
              <w:rPr>
                <w:color w:val="000000"/>
                <w:sz w:val="20"/>
              </w:rPr>
            </w:pPr>
            <w:r>
              <w:rPr>
                <w:color w:val="000000"/>
                <w:sz w:val="20"/>
              </w:rPr>
              <w:t>процент</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3A098"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4AF14" w14:textId="77777777" w:rsidR="00A77B3E" w:rsidRDefault="00A77B3E">
            <w:pPr>
              <w:spacing w:before="100"/>
              <w:rPr>
                <w:color w:val="000000"/>
                <w:sz w:val="20"/>
              </w:rPr>
            </w:pPr>
          </w:p>
        </w:tc>
      </w:tr>
      <w:tr w:rsidR="00FE6FD5" w14:paraId="1B086B0A"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85EEE5" w14:textId="77777777" w:rsidR="00A77B3E" w:rsidRDefault="00AD19A4">
            <w:pPr>
              <w:spacing w:before="100"/>
              <w:rPr>
                <w:color w:val="000000"/>
                <w:sz w:val="20"/>
              </w:rPr>
            </w:pPr>
            <w:r>
              <w:rPr>
                <w:color w:val="000000"/>
                <w:sz w:val="20"/>
              </w:rPr>
              <w:t>Р.2.10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2A883A" w14:textId="77777777" w:rsidR="00A77B3E" w:rsidRDefault="00AD19A4">
            <w:pPr>
              <w:spacing w:before="100"/>
              <w:rPr>
                <w:color w:val="000000"/>
                <w:sz w:val="20"/>
              </w:rPr>
            </w:pPr>
            <w:r>
              <w:rPr>
                <w:color w:val="000000"/>
                <w:sz w:val="20"/>
              </w:rPr>
              <w:t>Брой заявления за визи, подадени с помощта на цифрови средства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B90C62"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1CFA6B"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BFCD83" w14:textId="77777777" w:rsidR="00A77B3E" w:rsidRDefault="00AD19A4">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3BF0FB"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98B794"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7A646"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428880"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7B4B66" w14:textId="77777777" w:rsidR="00A77B3E" w:rsidRDefault="00A77B3E">
            <w:pPr>
              <w:spacing w:before="100"/>
              <w:rPr>
                <w:color w:val="000000"/>
                <w:sz w:val="20"/>
              </w:rPr>
            </w:pPr>
          </w:p>
        </w:tc>
      </w:tr>
      <w:tr w:rsidR="00FE6FD5" w14:paraId="11A7E929"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F1016" w14:textId="77777777" w:rsidR="00A77B3E" w:rsidRDefault="00AD19A4">
            <w:pPr>
              <w:spacing w:before="100"/>
              <w:rPr>
                <w:color w:val="000000"/>
                <w:sz w:val="20"/>
              </w:rPr>
            </w:pPr>
            <w:r>
              <w:rPr>
                <w:color w:val="000000"/>
                <w:sz w:val="20"/>
              </w:rPr>
              <w:t>Р.2.11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18F156" w14:textId="77777777" w:rsidR="00A77B3E" w:rsidRDefault="00AD19A4">
            <w:pPr>
              <w:spacing w:before="100"/>
              <w:rPr>
                <w:color w:val="000000"/>
                <w:sz w:val="20"/>
              </w:rPr>
            </w:pPr>
            <w:r>
              <w:rPr>
                <w:color w:val="000000"/>
                <w:sz w:val="20"/>
              </w:rPr>
              <w:t>Брой инициирани/подобрени форми на сътрудничество, установени между държавите членки при обработката на визи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F45CF"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600AC"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4A498"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B3A74"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CE48D0"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CC10C7"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AC8B7F"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03B82" w14:textId="77777777" w:rsidR="00A77B3E" w:rsidRDefault="00A77B3E">
            <w:pPr>
              <w:spacing w:before="100"/>
              <w:rPr>
                <w:color w:val="000000"/>
                <w:sz w:val="20"/>
              </w:rPr>
            </w:pPr>
          </w:p>
        </w:tc>
      </w:tr>
      <w:tr w:rsidR="00FE6FD5" w14:paraId="7D4B7347" w14:textId="77777777">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A871D4" w14:textId="77777777" w:rsidR="00A77B3E" w:rsidRDefault="00AD19A4">
            <w:pPr>
              <w:spacing w:before="100"/>
              <w:rPr>
                <w:color w:val="000000"/>
                <w:sz w:val="20"/>
              </w:rPr>
            </w:pPr>
            <w:r>
              <w:rPr>
                <w:color w:val="000000"/>
                <w:sz w:val="20"/>
              </w:rPr>
              <w:t>Р.2.12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23CB19" w14:textId="77777777" w:rsidR="00A77B3E" w:rsidRDefault="00AD19A4">
            <w:pPr>
              <w:spacing w:before="100"/>
              <w:rPr>
                <w:color w:val="000000"/>
                <w:sz w:val="20"/>
              </w:rPr>
            </w:pPr>
            <w:r>
              <w:rPr>
                <w:color w:val="000000"/>
                <w:sz w:val="20"/>
              </w:rPr>
              <w:t xml:space="preserve">Брой участници, които съобщават три месеца след обучителната дейност, че използват </w:t>
            </w:r>
            <w:r>
              <w:rPr>
                <w:color w:val="000000"/>
                <w:sz w:val="20"/>
              </w:rPr>
              <w:lastRenderedPageBreak/>
              <w:t>уменията и компетенциите, придобити по време на обучението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336C4E" w14:textId="77777777" w:rsidR="00A77B3E" w:rsidRDefault="00AD19A4">
            <w:pPr>
              <w:spacing w:before="100"/>
              <w:rPr>
                <w:color w:val="000000"/>
                <w:sz w:val="20"/>
              </w:rPr>
            </w:pPr>
            <w:r>
              <w:rPr>
                <w:color w:val="000000"/>
                <w:sz w:val="20"/>
              </w:rPr>
              <w:lastRenderedPageBreak/>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CEA73A" w14:textId="77777777" w:rsidR="00A77B3E" w:rsidRDefault="00AD19A4">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F2536E" w14:textId="77777777" w:rsidR="00A77B3E" w:rsidRDefault="00AD19A4">
            <w:pPr>
              <w:spacing w:before="100"/>
              <w:rPr>
                <w:color w:val="000000"/>
                <w:sz w:val="20"/>
              </w:rPr>
            </w:pPr>
            <w:r>
              <w:rPr>
                <w:color w:val="000000"/>
                <w:sz w:val="20"/>
              </w:rPr>
              <w:t>споделяне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78A71" w14:textId="77777777" w:rsidR="00A77B3E" w:rsidRDefault="00AD19A4">
            <w:pPr>
              <w:spacing w:before="100"/>
              <w:jc w:val="center"/>
              <w:rPr>
                <w:color w:val="000000"/>
                <w:sz w:val="20"/>
              </w:rPr>
            </w:pPr>
            <w:r>
              <w:rPr>
                <w:color w:val="000000"/>
                <w:sz w:val="20"/>
              </w:rPr>
              <w:t>2021 г.</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06BEAE" w14:textId="77777777" w:rsidR="00A77B3E" w:rsidRDefault="00AD19A4">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E0ACD" w14:textId="77777777" w:rsidR="00A77B3E" w:rsidRDefault="00AD19A4">
            <w:pPr>
              <w:spacing w:before="100"/>
              <w:rPr>
                <w:color w:val="000000"/>
                <w:sz w:val="20"/>
              </w:rPr>
            </w:pPr>
            <w:r>
              <w:rPr>
                <w:color w:val="000000"/>
                <w:sz w:val="20"/>
              </w:rPr>
              <w:t>номер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814265" w14:textId="77777777" w:rsidR="00A77B3E" w:rsidRDefault="00AD19A4">
            <w:pPr>
              <w:spacing w:before="100"/>
              <w:rPr>
                <w:color w:val="000000"/>
                <w:sz w:val="20"/>
              </w:rPr>
            </w:pPr>
            <w:r>
              <w:rPr>
                <w:color w:val="000000"/>
                <w:sz w:val="20"/>
              </w:rPr>
              <w:t>Отчитане на проекти</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DD1A6C" w14:textId="77777777" w:rsidR="00A77B3E" w:rsidRDefault="00A77B3E">
            <w:pPr>
              <w:spacing w:before="100"/>
              <w:rPr>
                <w:color w:val="000000"/>
                <w:sz w:val="20"/>
              </w:rPr>
            </w:pPr>
          </w:p>
        </w:tc>
      </w:tr>
    </w:tbl>
    <w:p w14:paraId="52926706" w14:textId="77777777" w:rsidR="00A77B3E" w:rsidRDefault="00A77B3E">
      <w:pPr>
        <w:spacing w:before="100"/>
        <w:rPr>
          <w:color w:val="000000"/>
          <w:sz w:val="20"/>
        </w:rPr>
        <w:sectPr w:rsidR="00A77B3E">
          <w:headerReference w:type="even" r:id="rId38"/>
          <w:headerReference w:type="default" r:id="rId39"/>
          <w:footerReference w:type="even" r:id="rId40"/>
          <w:footerReference w:type="default" r:id="rId41"/>
          <w:headerReference w:type="first" r:id="rId42"/>
          <w:footerReference w:type="first" r:id="rId43"/>
          <w:pgSz w:w="16838" w:h="11906" w:orient="landscape"/>
          <w:pgMar w:top="720" w:right="720" w:bottom="864" w:left="936" w:header="288" w:footer="72" w:gutter="0"/>
          <w:cols w:space="720"/>
          <w:noEndnote/>
          <w:docGrid w:linePitch="360"/>
        </w:sectPr>
      </w:pPr>
    </w:p>
    <w:p w14:paraId="55873150" w14:textId="77777777" w:rsidR="00A77B3E" w:rsidRDefault="00AD19A4">
      <w:pPr>
        <w:spacing w:before="100"/>
        <w:rPr>
          <w:color w:val="000000"/>
          <w:sz w:val="0"/>
        </w:rPr>
      </w:pPr>
      <w:r>
        <w:rPr>
          <w:color w:val="000000"/>
        </w:rPr>
        <w:lastRenderedPageBreak/>
        <w:t>2.1. Конкретна цел 2. Обща визова политика</w:t>
      </w:r>
    </w:p>
    <w:p w14:paraId="3E7BA5A0" w14:textId="77777777" w:rsidR="00A77B3E" w:rsidRDefault="00AD19A4">
      <w:pPr>
        <w:pStyle w:val="Heading3"/>
        <w:spacing w:before="100" w:after="0"/>
        <w:rPr>
          <w:rFonts w:ascii="Times New Roman" w:hAnsi="Times New Roman" w:cs="Times New Roman"/>
          <w:b w:val="0"/>
          <w:color w:val="000000"/>
          <w:sz w:val="24"/>
        </w:rPr>
      </w:pPr>
      <w:bookmarkStart w:id="14" w:name="_Toc256000062"/>
      <w:r>
        <w:rPr>
          <w:rFonts w:ascii="Times New Roman" w:hAnsi="Times New Roman" w:cs="Times New Roman"/>
          <w:b w:val="0"/>
          <w:color w:val="000000"/>
          <w:sz w:val="24"/>
        </w:rPr>
        <w:t>2.1.3. Индикативно разпределение на програмните ресурси (ЕС) по вид интервенция</w:t>
      </w:r>
      <w:bookmarkEnd w:id="14"/>
    </w:p>
    <w:p w14:paraId="288DC39E" w14:textId="77777777" w:rsidR="00A77B3E" w:rsidRDefault="00AD19A4">
      <w:pPr>
        <w:spacing w:before="100"/>
        <w:rPr>
          <w:color w:val="000000"/>
        </w:rPr>
      </w:pPr>
      <w:r>
        <w:rPr>
          <w:color w:val="000000"/>
        </w:rPr>
        <w:t xml:space="preserve">Позоваване: Член 22(5) от РОР; и член 16(12) от Регламента за ФУМИ, член 13(12) от Регламента за ИСФ или член 13(18) от Регламента за </w:t>
      </w:r>
      <w:r w:rsidR="004B3C80">
        <w:rPr>
          <w:color w:val="000000"/>
        </w:rPr>
        <w:t>ИГУ</w:t>
      </w:r>
      <w:r>
        <w:rPr>
          <w:color w:val="000000"/>
        </w:rPr>
        <w:t>В</w:t>
      </w:r>
    </w:p>
    <w:p w14:paraId="61964BBA" w14:textId="77777777" w:rsidR="00A77B3E" w:rsidRDefault="00AD19A4">
      <w:pPr>
        <w:pStyle w:val="Heading4"/>
        <w:spacing w:before="100" w:after="0"/>
        <w:rPr>
          <w:b w:val="0"/>
          <w:color w:val="000000"/>
          <w:sz w:val="24"/>
        </w:rPr>
      </w:pPr>
      <w:bookmarkStart w:id="15" w:name="_Toc256000063"/>
      <w:r>
        <w:rPr>
          <w:b w:val="0"/>
          <w:color w:val="000000"/>
          <w:sz w:val="24"/>
        </w:rPr>
        <w:t>Таблица 3: Индикативна разбивка</w:t>
      </w:r>
      <w:bookmarkEnd w:id="15"/>
    </w:p>
    <w:p w14:paraId="5DE41B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5329"/>
        <w:gridCol w:w="5543"/>
      </w:tblGrid>
      <w:tr w:rsidR="00FE6FD5" w14:paraId="52917196"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0A68C7" w14:textId="77777777" w:rsidR="00A77B3E" w:rsidRDefault="00AD19A4">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6258B6" w14:textId="77777777" w:rsidR="00A77B3E" w:rsidRDefault="00AD19A4">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1FD5C" w14:textId="77777777" w:rsidR="00A77B3E" w:rsidRDefault="00AD19A4">
            <w:pPr>
              <w:spacing w:before="100"/>
              <w:jc w:val="right"/>
              <w:rPr>
                <w:color w:val="000000"/>
                <w:sz w:val="20"/>
              </w:rPr>
            </w:pPr>
            <w:r>
              <w:rPr>
                <w:color w:val="000000"/>
                <w:sz w:val="20"/>
              </w:rPr>
              <w:t>Ориентировъчна сума (евро)</w:t>
            </w:r>
          </w:p>
        </w:tc>
      </w:tr>
      <w:tr w:rsidR="00FE6FD5" w14:paraId="52CB47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F660E"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BAE367" w14:textId="77777777" w:rsidR="00A77B3E" w:rsidRDefault="00AD19A4">
            <w:pPr>
              <w:spacing w:before="100"/>
              <w:rPr>
                <w:color w:val="000000"/>
                <w:sz w:val="20"/>
              </w:rPr>
            </w:pPr>
            <w:r>
              <w:rPr>
                <w:color w:val="000000"/>
                <w:sz w:val="20"/>
              </w:rPr>
              <w:t>001. Подобряване на обработката на заявления за визи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2C8B9" w14:textId="77777777" w:rsidR="00A77B3E" w:rsidRDefault="00AD19A4">
            <w:pPr>
              <w:spacing w:before="100"/>
              <w:jc w:val="right"/>
              <w:rPr>
                <w:color w:val="000000"/>
                <w:sz w:val="20"/>
              </w:rPr>
            </w:pPr>
            <w:r>
              <w:rPr>
                <w:color w:val="000000"/>
                <w:sz w:val="20"/>
              </w:rPr>
              <w:t>0.00</w:t>
            </w:r>
          </w:p>
        </w:tc>
      </w:tr>
      <w:tr w:rsidR="00FE6FD5" w14:paraId="2907F28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70F856"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F3F3CE" w14:textId="77777777" w:rsidR="00A77B3E" w:rsidRDefault="00AD19A4">
            <w:pPr>
              <w:spacing w:before="100"/>
              <w:rPr>
                <w:color w:val="000000"/>
                <w:sz w:val="20"/>
              </w:rPr>
            </w:pPr>
            <w:r>
              <w:rPr>
                <w:color w:val="000000"/>
                <w:sz w:val="20"/>
              </w:rPr>
              <w:t>002. Подобряване на ефективността, благоприятната за клиентите среда и сигурността в консулствата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CE348" w14:textId="77777777" w:rsidR="00A77B3E" w:rsidRDefault="00AD19A4">
            <w:pPr>
              <w:spacing w:before="100"/>
              <w:jc w:val="right"/>
              <w:rPr>
                <w:color w:val="000000"/>
                <w:sz w:val="20"/>
              </w:rPr>
            </w:pPr>
            <w:r>
              <w:rPr>
                <w:color w:val="000000"/>
                <w:sz w:val="20"/>
              </w:rPr>
              <w:t>0.00</w:t>
            </w:r>
          </w:p>
        </w:tc>
      </w:tr>
      <w:tr w:rsidR="00FE6FD5" w14:paraId="2EE8A6A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04025"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9A522" w14:textId="77777777" w:rsidR="00A77B3E" w:rsidRDefault="00AD19A4">
            <w:pPr>
              <w:spacing w:before="100"/>
              <w:rPr>
                <w:color w:val="000000"/>
                <w:sz w:val="20"/>
              </w:rPr>
            </w:pPr>
            <w:r>
              <w:rPr>
                <w:color w:val="000000"/>
                <w:sz w:val="20"/>
              </w:rPr>
              <w:t>003. Сигурност на документи / консултанти по документи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0CD16" w14:textId="77777777" w:rsidR="00A77B3E" w:rsidRDefault="00AD19A4">
            <w:pPr>
              <w:spacing w:before="100"/>
              <w:jc w:val="right"/>
              <w:rPr>
                <w:color w:val="000000"/>
                <w:sz w:val="20"/>
              </w:rPr>
            </w:pPr>
            <w:r>
              <w:rPr>
                <w:color w:val="000000"/>
                <w:sz w:val="20"/>
              </w:rPr>
              <w:t>0.00</w:t>
            </w:r>
          </w:p>
        </w:tc>
      </w:tr>
      <w:tr w:rsidR="00FE6FD5" w14:paraId="729D2B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4D159A"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287BD" w14:textId="77777777" w:rsidR="00A77B3E" w:rsidRDefault="00AD19A4">
            <w:pPr>
              <w:spacing w:before="100"/>
              <w:rPr>
                <w:color w:val="000000"/>
                <w:sz w:val="20"/>
              </w:rPr>
            </w:pPr>
            <w:r>
              <w:rPr>
                <w:color w:val="000000"/>
                <w:sz w:val="20"/>
              </w:rPr>
              <w:t>004. Консулско сътрудничество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5E52D9" w14:textId="77777777" w:rsidR="00A77B3E" w:rsidRDefault="00AD19A4">
            <w:pPr>
              <w:spacing w:before="100"/>
              <w:jc w:val="right"/>
              <w:rPr>
                <w:color w:val="000000"/>
                <w:sz w:val="20"/>
              </w:rPr>
            </w:pPr>
            <w:r>
              <w:rPr>
                <w:color w:val="000000"/>
                <w:sz w:val="20"/>
              </w:rPr>
              <w:t>0.00</w:t>
            </w:r>
          </w:p>
        </w:tc>
      </w:tr>
      <w:tr w:rsidR="00FE6FD5" w14:paraId="79B18F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AC9A78"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EAB44" w14:textId="77777777" w:rsidR="00A77B3E" w:rsidRDefault="00AD19A4">
            <w:pPr>
              <w:spacing w:before="100"/>
              <w:rPr>
                <w:color w:val="000000"/>
                <w:sz w:val="20"/>
              </w:rPr>
            </w:pPr>
            <w:r>
              <w:rPr>
                <w:color w:val="000000"/>
                <w:sz w:val="20"/>
              </w:rPr>
              <w:t>005. Консулско покритие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ECEFA0" w14:textId="77777777" w:rsidR="00A77B3E" w:rsidRDefault="00AD19A4">
            <w:pPr>
              <w:spacing w:before="100"/>
              <w:jc w:val="right"/>
              <w:rPr>
                <w:color w:val="000000"/>
                <w:sz w:val="20"/>
              </w:rPr>
            </w:pPr>
            <w:r>
              <w:rPr>
                <w:color w:val="000000"/>
                <w:sz w:val="20"/>
              </w:rPr>
              <w:t>0.00</w:t>
            </w:r>
          </w:p>
        </w:tc>
      </w:tr>
      <w:tr w:rsidR="00FE6FD5" w14:paraId="210817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CD2387"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D8C0F0" w14:textId="77777777" w:rsidR="00A77B3E" w:rsidRDefault="00AD19A4">
            <w:pPr>
              <w:spacing w:before="100"/>
              <w:rPr>
                <w:color w:val="000000"/>
                <w:sz w:val="20"/>
              </w:rPr>
            </w:pPr>
            <w:r>
              <w:rPr>
                <w:color w:val="000000"/>
                <w:sz w:val="20"/>
              </w:rPr>
              <w:t>006. Мащабни ИТ системи - Визова информационна система (ВИС)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EC1A7" w14:textId="77777777" w:rsidR="00A77B3E" w:rsidRDefault="00AD19A4">
            <w:pPr>
              <w:spacing w:before="100"/>
              <w:jc w:val="right"/>
              <w:rPr>
                <w:color w:val="000000"/>
                <w:sz w:val="20"/>
              </w:rPr>
            </w:pPr>
            <w:r>
              <w:rPr>
                <w:color w:val="000000"/>
                <w:sz w:val="20"/>
              </w:rPr>
              <w:t>9 562 836,76</w:t>
            </w:r>
          </w:p>
        </w:tc>
      </w:tr>
      <w:tr w:rsidR="00FE6FD5" w14:paraId="583AFA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720969"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DFDC56" w14:textId="77777777" w:rsidR="00A77B3E" w:rsidRDefault="00AD19A4">
            <w:pPr>
              <w:spacing w:before="100"/>
              <w:rPr>
                <w:color w:val="000000"/>
                <w:sz w:val="20"/>
              </w:rPr>
            </w:pPr>
            <w:r>
              <w:rPr>
                <w:color w:val="000000"/>
                <w:sz w:val="20"/>
              </w:rPr>
              <w:t>007. Други ИКТ системи за целите на обработката на заявления за визи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1484E4" w14:textId="77777777" w:rsidR="00A77B3E" w:rsidRDefault="00AD19A4">
            <w:pPr>
              <w:spacing w:before="100"/>
              <w:jc w:val="right"/>
              <w:rPr>
                <w:color w:val="000000"/>
                <w:sz w:val="20"/>
              </w:rPr>
            </w:pPr>
            <w:r>
              <w:rPr>
                <w:color w:val="000000"/>
                <w:sz w:val="20"/>
              </w:rPr>
              <w:t>1 676 250,00</w:t>
            </w:r>
          </w:p>
        </w:tc>
      </w:tr>
      <w:tr w:rsidR="00FE6FD5" w14:paraId="0EFDAD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B3062B"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009F14" w14:textId="77777777" w:rsidR="00A77B3E" w:rsidRDefault="00AD19A4">
            <w:pPr>
              <w:spacing w:before="100"/>
              <w:rPr>
                <w:color w:val="000000"/>
                <w:sz w:val="20"/>
              </w:rPr>
            </w:pPr>
            <w:r>
              <w:rPr>
                <w:color w:val="000000"/>
                <w:sz w:val="20"/>
              </w:rPr>
              <w:t>008. Оперативна поддръжка - Обща визова политика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3749D" w14:textId="77777777" w:rsidR="00A77B3E" w:rsidRDefault="00AD19A4">
            <w:pPr>
              <w:spacing w:before="100"/>
              <w:jc w:val="right"/>
              <w:rPr>
                <w:color w:val="000000"/>
                <w:sz w:val="20"/>
              </w:rPr>
            </w:pPr>
            <w:r>
              <w:rPr>
                <w:color w:val="000000"/>
                <w:sz w:val="20"/>
              </w:rPr>
              <w:t>0.00</w:t>
            </w:r>
          </w:p>
        </w:tc>
      </w:tr>
      <w:tr w:rsidR="00FE6FD5" w14:paraId="02D9E2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B10C5"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BF2525" w14:textId="77777777" w:rsidR="00A77B3E" w:rsidRDefault="00AD19A4">
            <w:pPr>
              <w:spacing w:before="100"/>
              <w:rPr>
                <w:color w:val="000000"/>
                <w:sz w:val="20"/>
              </w:rPr>
            </w:pPr>
            <w:r>
              <w:rPr>
                <w:color w:val="000000"/>
                <w:sz w:val="20"/>
              </w:rPr>
              <w:t>009. Оперативна поддръжка - Мащабни ИТ системи за целите на обработката на заявления за визи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0AC2C" w14:textId="77777777" w:rsidR="00A77B3E" w:rsidRDefault="00AD19A4">
            <w:pPr>
              <w:spacing w:before="100"/>
              <w:jc w:val="right"/>
              <w:rPr>
                <w:color w:val="000000"/>
                <w:sz w:val="20"/>
              </w:rPr>
            </w:pPr>
            <w:r>
              <w:rPr>
                <w:color w:val="000000"/>
                <w:sz w:val="20"/>
              </w:rPr>
              <w:t>3 300 000,00</w:t>
            </w:r>
          </w:p>
        </w:tc>
      </w:tr>
      <w:tr w:rsidR="00FE6FD5" w14:paraId="2965AC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37CD9"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69990D" w14:textId="77777777" w:rsidR="00A77B3E" w:rsidRDefault="00AD19A4">
            <w:pPr>
              <w:spacing w:before="100"/>
              <w:rPr>
                <w:color w:val="000000"/>
                <w:sz w:val="20"/>
              </w:rPr>
            </w:pPr>
            <w:r>
              <w:rPr>
                <w:color w:val="000000"/>
                <w:sz w:val="20"/>
              </w:rPr>
              <w:t>010. Оперативна поддръжка - Специална транзитна схема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21812F" w14:textId="77777777" w:rsidR="00A77B3E" w:rsidRDefault="00AD19A4">
            <w:pPr>
              <w:spacing w:before="100"/>
              <w:jc w:val="right"/>
              <w:rPr>
                <w:color w:val="000000"/>
                <w:sz w:val="20"/>
              </w:rPr>
            </w:pPr>
            <w:r>
              <w:rPr>
                <w:color w:val="000000"/>
                <w:sz w:val="20"/>
              </w:rPr>
              <w:t>0.00</w:t>
            </w:r>
          </w:p>
        </w:tc>
      </w:tr>
      <w:tr w:rsidR="00FE6FD5" w14:paraId="17FC29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96E4AB"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F42E0" w14:textId="77777777" w:rsidR="00A77B3E" w:rsidRDefault="00AD19A4">
            <w:pPr>
              <w:spacing w:before="100"/>
              <w:rPr>
                <w:color w:val="000000"/>
                <w:sz w:val="20"/>
              </w:rPr>
            </w:pPr>
            <w:r>
              <w:rPr>
                <w:color w:val="000000"/>
                <w:sz w:val="20"/>
              </w:rPr>
              <w:t>011. Издаване на визи с ограничена териториална валидност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53B2E" w14:textId="77777777" w:rsidR="00A77B3E" w:rsidRDefault="00AD19A4">
            <w:pPr>
              <w:spacing w:before="100"/>
              <w:jc w:val="right"/>
              <w:rPr>
                <w:color w:val="000000"/>
                <w:sz w:val="20"/>
              </w:rPr>
            </w:pPr>
            <w:r>
              <w:rPr>
                <w:color w:val="000000"/>
                <w:sz w:val="20"/>
              </w:rPr>
              <w:t>0.00</w:t>
            </w:r>
          </w:p>
        </w:tc>
      </w:tr>
      <w:tr w:rsidR="00FE6FD5" w14:paraId="5B386E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C59365"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B46BED" w14:textId="77777777" w:rsidR="00A77B3E" w:rsidRDefault="00AD19A4">
            <w:pPr>
              <w:spacing w:before="100"/>
              <w:rPr>
                <w:color w:val="000000"/>
                <w:sz w:val="20"/>
              </w:rPr>
            </w:pPr>
            <w:r>
              <w:rPr>
                <w:color w:val="000000"/>
                <w:sz w:val="20"/>
              </w:rPr>
              <w:t>012. Качество на данните и права на субектите на данни на информация, достъп до, коригиране и заличаване на личните им данни, както и на ограничаване на тяхното обработване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D1B98" w14:textId="77777777" w:rsidR="00A77B3E" w:rsidRDefault="00AD19A4">
            <w:pPr>
              <w:spacing w:before="100"/>
              <w:jc w:val="right"/>
              <w:rPr>
                <w:color w:val="000000"/>
                <w:sz w:val="20"/>
              </w:rPr>
            </w:pPr>
            <w:r>
              <w:rPr>
                <w:color w:val="000000"/>
                <w:sz w:val="20"/>
              </w:rPr>
              <w:t>0.00</w:t>
            </w:r>
          </w:p>
        </w:tc>
      </w:tr>
    </w:tbl>
    <w:p w14:paraId="1EF083F8"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0C03820F" w14:textId="77777777" w:rsidR="00A77B3E" w:rsidRDefault="00AD19A4">
      <w:pPr>
        <w:pStyle w:val="Heading2"/>
        <w:spacing w:before="100" w:after="0"/>
        <w:rPr>
          <w:rFonts w:ascii="TimesNewRoman" w:eastAsia="TimesNewRoman" w:hAnsi="TimesNewRoman" w:cs="TimesNewRoman"/>
          <w:b w:val="0"/>
          <w:i w:val="0"/>
          <w:color w:val="000000"/>
          <w:sz w:val="24"/>
        </w:rPr>
      </w:pPr>
      <w:bookmarkStart w:id="16" w:name="_Toc256000064"/>
      <w:r>
        <w:rPr>
          <w:rFonts w:ascii="TimesNewRoman" w:eastAsia="TimesNewRoman" w:hAnsi="TimesNewRoman" w:cs="TimesNewRoman"/>
          <w:b w:val="0"/>
          <w:i w:val="0"/>
          <w:color w:val="000000"/>
          <w:sz w:val="24"/>
        </w:rPr>
        <w:lastRenderedPageBreak/>
        <w:t xml:space="preserve">2.2. Техническа помощ: TA.36(5). Техническа помощ - фиксирана ставка (чл. 36(5) от </w:t>
      </w:r>
      <w:r w:rsidR="00A1192D">
        <w:rPr>
          <w:rFonts w:ascii="TimesNewRoman" w:eastAsia="TimesNewRoman" w:hAnsi="TimesNewRoman" w:cs="TimesNewRoman"/>
          <w:b w:val="0"/>
          <w:i w:val="0"/>
          <w:color w:val="000000"/>
          <w:sz w:val="24"/>
        </w:rPr>
        <w:t>РОР</w:t>
      </w:r>
      <w:r>
        <w:rPr>
          <w:rFonts w:ascii="TimesNewRoman" w:eastAsia="TimesNewRoman" w:hAnsi="TimesNewRoman" w:cs="TimesNewRoman"/>
          <w:b w:val="0"/>
          <w:i w:val="0"/>
          <w:color w:val="000000"/>
          <w:sz w:val="24"/>
        </w:rPr>
        <w:t>)</w:t>
      </w:r>
      <w:bookmarkEnd w:id="16"/>
    </w:p>
    <w:p w14:paraId="7DA13F6E" w14:textId="77777777" w:rsidR="00A77B3E" w:rsidRDefault="00A77B3E">
      <w:pPr>
        <w:spacing w:before="100"/>
        <w:rPr>
          <w:rFonts w:ascii="TimesNewRoman" w:eastAsia="TimesNewRoman" w:hAnsi="TimesNewRoman" w:cs="TimesNewRoman"/>
          <w:color w:val="000000"/>
          <w:sz w:val="0"/>
        </w:rPr>
      </w:pPr>
    </w:p>
    <w:p w14:paraId="2E0B51D4" w14:textId="77777777" w:rsidR="00A77B3E" w:rsidRDefault="00AD19A4">
      <w:pPr>
        <w:spacing w:before="100"/>
        <w:rPr>
          <w:rFonts w:ascii="TimesNewRoman" w:eastAsia="TimesNewRoman" w:hAnsi="TimesNewRoman" w:cs="TimesNewRoman"/>
          <w:color w:val="000000"/>
          <w:sz w:val="0"/>
        </w:rPr>
      </w:pPr>
      <w:r>
        <w:rPr>
          <w:rFonts w:ascii="TimesNewRoman" w:eastAsia="TimesNewRoman" w:hAnsi="TimesNewRoman" w:cs="TimesNewRoman"/>
          <w:color w:val="000000"/>
        </w:rPr>
        <w:t>Позоваване: член 22, параграф 3, буква е), член 36, параграф 5, член 37 и член 95 от РОР</w:t>
      </w:r>
    </w:p>
    <w:p w14:paraId="034EF707" w14:textId="77777777" w:rsidR="00A77B3E" w:rsidRDefault="00AD19A4">
      <w:pPr>
        <w:pStyle w:val="Heading3"/>
        <w:spacing w:before="100" w:after="0"/>
        <w:rPr>
          <w:rFonts w:ascii="TimesNewRoman" w:eastAsia="TimesNewRoman" w:hAnsi="TimesNewRoman" w:cs="TimesNewRoman"/>
          <w:b w:val="0"/>
          <w:color w:val="000000"/>
          <w:sz w:val="24"/>
        </w:rPr>
      </w:pPr>
      <w:bookmarkStart w:id="17" w:name="_Toc256000065"/>
      <w:r>
        <w:rPr>
          <w:rFonts w:ascii="TimesNewRoman" w:eastAsia="TimesNewRoman" w:hAnsi="TimesNewRoman" w:cs="TimesNewRoman"/>
          <w:b w:val="0"/>
          <w:color w:val="000000"/>
          <w:sz w:val="24"/>
        </w:rPr>
        <w:t>2.2.1. Описание</w:t>
      </w:r>
      <w:bookmarkEnd w:id="17"/>
    </w:p>
    <w:p w14:paraId="07678630"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32F9299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938D39" w14:textId="77777777" w:rsidR="00A77B3E" w:rsidRDefault="00A77B3E">
            <w:pPr>
              <w:spacing w:before="100"/>
              <w:rPr>
                <w:rFonts w:ascii="TimesNewRoman" w:eastAsia="TimesNewRoman" w:hAnsi="TimesNewRoman" w:cs="TimesNewRoman"/>
                <w:color w:val="000000"/>
                <w:sz w:val="0"/>
              </w:rPr>
            </w:pPr>
          </w:p>
          <w:p w14:paraId="1C9D8D8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Техническата помощ ще подкрепя действията на Управляващия орган (УО) на Инструмента за финансова подкрепа за управление на границите и визова политика (</w:t>
            </w:r>
            <w:r w:rsidR="004B3C80">
              <w:rPr>
                <w:rFonts w:ascii="TimesNewRoman" w:eastAsia="TimesNewRoman" w:hAnsi="TimesNewRoman" w:cs="TimesNewRoman"/>
                <w:color w:val="000000"/>
              </w:rPr>
              <w:t>ИГУ</w:t>
            </w:r>
            <w:r>
              <w:rPr>
                <w:rFonts w:ascii="TimesNewRoman" w:eastAsia="TimesNewRoman" w:hAnsi="TimesNewRoman" w:cs="TimesNewRoman"/>
                <w:color w:val="000000"/>
              </w:rPr>
              <w:t>В) за ефективно и ефикасно изпълнение на целите и показателите, определени в програмата.</w:t>
            </w:r>
          </w:p>
          <w:p w14:paraId="634A553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„Международни проекти“ е структура в Министерството на вътрешните работи (МВР) за управление на програми и проекти, финансирани от Европейския съюз и други международни програми и договори, включително Норвежкия финансов механизъм. Функциите на дирекцията са описани в Правилника за устройството и дейността на МВР и в Системите за управление и контрол (СУК). Дирекцията се състои от три отдела с ясно определени и разграничени отговорности, което осигурява ефективното изпълнение на дейностите, свързани с управлението и контрола на европейските средства.</w:t>
            </w:r>
          </w:p>
          <w:p w14:paraId="35B4A5F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Дирекция „Международни проекти“ има значителен опит в управлението на програми и проекти от предишни програмни периоди.</w:t>
            </w:r>
          </w:p>
          <w:p w14:paraId="6E4EE71D"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С Решение № 712 от 6 октомври 2020 г. на Министерския съвет на Република България, Дирекция „Международни проекти“ е определена за управляващ орган (УО) на програмата по </w:t>
            </w:r>
            <w:r w:rsidR="00A1192D">
              <w:rPr>
                <w:rFonts w:ascii="TimesNewRoman" w:eastAsia="TimesNewRoman" w:hAnsi="TimesNewRoman" w:cs="TimesNewRoman"/>
                <w:color w:val="000000"/>
              </w:rPr>
              <w:t>ИУГВП</w:t>
            </w:r>
            <w:r>
              <w:rPr>
                <w:rFonts w:ascii="TimesNewRoman" w:eastAsia="TimesNewRoman" w:hAnsi="TimesNewRoman" w:cs="TimesNewRoman"/>
                <w:color w:val="000000"/>
              </w:rPr>
              <w:t xml:space="preserve"> за програмния период 2021-2027 г.</w:t>
            </w:r>
          </w:p>
          <w:p w14:paraId="64053832"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Инвестициите, предвидени по линия на техническата помощ, ще продължат да осигуряват добра работна среда и експертни и мотивирани човешки ресурси, за да се постигне висок стандарт на ефективно управление и контрол на програмата.</w:t>
            </w:r>
          </w:p>
          <w:p w14:paraId="3749CF53"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Това ще се постигне чрез изпълнението на следните действия:</w:t>
            </w:r>
          </w:p>
          <w:p w14:paraId="25A371F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·осигуряване на необходимото техническо оборудване (хардуер и софтуер), включително офис оборудване, когато е необходимо, за да се гарантира управлението, внедряването, мониторингът, оценката и контролът на </w:t>
            </w:r>
            <w:r w:rsidR="00A1192D">
              <w:rPr>
                <w:rFonts w:ascii="TimesNewRoman" w:eastAsia="TimesNewRoman" w:hAnsi="TimesNewRoman" w:cs="TimesNewRoman"/>
                <w:color w:val="000000"/>
                <w:lang w:val="bg-BG"/>
              </w:rPr>
              <w:t>ИУГВП</w:t>
            </w:r>
            <w:r>
              <w:rPr>
                <w:rFonts w:ascii="TimesNewRoman" w:eastAsia="TimesNewRoman" w:hAnsi="TimesNewRoman" w:cs="TimesNewRoman"/>
                <w:color w:val="000000"/>
              </w:rPr>
              <w:t>;</w:t>
            </w:r>
          </w:p>
          <w:p w14:paraId="0A5860F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·укрепване на капацитета на персонала чрез обучения, семинари, работни срещи, учебни посещения, обмен на добри практики и опит и други.</w:t>
            </w:r>
          </w:p>
          <w:p w14:paraId="7B8C685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·осигуряване на служебните пътувания на персонала;</w:t>
            </w:r>
          </w:p>
          <w:p w14:paraId="548D0EC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·осигуряване на разходите за възнаграждение на персонала, включително застраховки и всички други разходи съгласно националното законодателство;</w:t>
            </w:r>
          </w:p>
          <w:p w14:paraId="427BE0E6"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·наемане на външни консултанти и експерти, ако е необходимо;</w:t>
            </w:r>
          </w:p>
          <w:p w14:paraId="256FA8C7"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·мерки за комуникация и видимост.</w:t>
            </w:r>
          </w:p>
          <w:p w14:paraId="47AAB03C"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Тези дейности спомагат за укрепване на капацитета и ефективността на Управляващия орган, като допринасят за успешното прилагане на европейската политика за интегрирано управление на границите.</w:t>
            </w:r>
          </w:p>
          <w:p w14:paraId="7A37D4BF"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Очаквани резултати:</w:t>
            </w:r>
          </w:p>
          <w:p w14:paraId="4AE99341"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·постигане на висок стандарт на изпълнение, мониторинг, оценка и контрол на програмата;</w:t>
            </w:r>
          </w:p>
          <w:p w14:paraId="7DC305CB"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·осигуряване на добра работна среда и подобрена култура на работа, насочена към постигане на резултати;</w:t>
            </w:r>
          </w:p>
          <w:p w14:paraId="3DC22D2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rPr>
              <w:t>·водене на засилен и активен диалог със заинтересованите страни и широката общественост с цел популяризиране на програмата, нейните цели и резултати, както и приноса на ЕС.</w:t>
            </w:r>
          </w:p>
          <w:p w14:paraId="5D4A833C" w14:textId="77777777" w:rsidR="00A77B3E" w:rsidRDefault="00A77B3E">
            <w:pPr>
              <w:spacing w:before="100"/>
              <w:rPr>
                <w:rFonts w:ascii="TimesNewRoman" w:eastAsia="TimesNewRoman" w:hAnsi="TimesNewRoman" w:cs="TimesNewRoman"/>
                <w:color w:val="000000"/>
                <w:sz w:val="6"/>
              </w:rPr>
            </w:pPr>
          </w:p>
          <w:p w14:paraId="0E9987BD" w14:textId="77777777" w:rsidR="00A77B3E" w:rsidRDefault="00A77B3E">
            <w:pPr>
              <w:spacing w:before="100"/>
              <w:rPr>
                <w:rFonts w:ascii="TimesNewRoman" w:eastAsia="TimesNewRoman" w:hAnsi="TimesNewRoman" w:cs="TimesNewRoman"/>
                <w:color w:val="000000"/>
                <w:sz w:val="6"/>
              </w:rPr>
            </w:pPr>
          </w:p>
        </w:tc>
      </w:tr>
    </w:tbl>
    <w:p w14:paraId="1BBC533B" w14:textId="77777777" w:rsidR="00A77B3E" w:rsidRDefault="00A77B3E">
      <w:pPr>
        <w:spacing w:before="100"/>
        <w:rPr>
          <w:rFonts w:ascii="TimesNewRoman" w:eastAsia="TimesNewRoman" w:hAnsi="TimesNewRoman" w:cs="TimesNewRoman"/>
          <w:color w:val="000000"/>
        </w:rPr>
        <w:sectPr w:rsidR="00A77B3E">
          <w:headerReference w:type="even" r:id="rId44"/>
          <w:headerReference w:type="default" r:id="rId45"/>
          <w:footerReference w:type="even" r:id="rId46"/>
          <w:footerReference w:type="default" r:id="rId47"/>
          <w:headerReference w:type="first" r:id="rId48"/>
          <w:footerReference w:type="first" r:id="rId49"/>
          <w:pgSz w:w="11906" w:h="16838"/>
          <w:pgMar w:top="720" w:right="936" w:bottom="864" w:left="720" w:header="0" w:footer="72" w:gutter="0"/>
          <w:cols w:space="720"/>
          <w:noEndnote/>
          <w:docGrid w:linePitch="360"/>
        </w:sectPr>
      </w:pPr>
    </w:p>
    <w:p w14:paraId="22D1B0B6" w14:textId="77777777" w:rsidR="00A77B3E" w:rsidRDefault="00AD19A4">
      <w:pPr>
        <w:spacing w:before="100"/>
        <w:rPr>
          <w:color w:val="000000"/>
          <w:sz w:val="0"/>
        </w:rPr>
      </w:pPr>
      <w:r>
        <w:rPr>
          <w:color w:val="000000"/>
        </w:rPr>
        <w:lastRenderedPageBreak/>
        <w:t xml:space="preserve">2.2. Техническа помощ TA.36(5). Техническа помощ - фиксирана ставка (чл. 36(5) от </w:t>
      </w:r>
      <w:r w:rsidR="00A1192D">
        <w:rPr>
          <w:color w:val="000000"/>
        </w:rPr>
        <w:t>РОР</w:t>
      </w:r>
      <w:r>
        <w:rPr>
          <w:color w:val="000000"/>
        </w:rPr>
        <w:t>)</w:t>
      </w:r>
    </w:p>
    <w:p w14:paraId="61750B62" w14:textId="77777777" w:rsidR="00A77B3E" w:rsidRDefault="00AD19A4">
      <w:pPr>
        <w:pStyle w:val="Heading3"/>
        <w:spacing w:before="100" w:after="0"/>
        <w:rPr>
          <w:rFonts w:ascii="Times New Roman" w:hAnsi="Times New Roman" w:cs="Times New Roman"/>
          <w:b w:val="0"/>
          <w:color w:val="000000"/>
          <w:sz w:val="24"/>
        </w:rPr>
      </w:pPr>
      <w:bookmarkStart w:id="18" w:name="_Toc256000066"/>
      <w:r>
        <w:rPr>
          <w:rFonts w:ascii="Times New Roman" w:hAnsi="Times New Roman" w:cs="Times New Roman"/>
          <w:b w:val="0"/>
          <w:color w:val="000000"/>
          <w:sz w:val="24"/>
        </w:rPr>
        <w:t>2.2.2. Индикативно разпределение на техническата помощ съгласно член 37 от РОР</w:t>
      </w:r>
      <w:bookmarkEnd w:id="18"/>
    </w:p>
    <w:p w14:paraId="6242A390" w14:textId="77777777" w:rsidR="00A77B3E" w:rsidRDefault="00AD19A4">
      <w:pPr>
        <w:pStyle w:val="Heading4"/>
        <w:spacing w:before="100" w:after="0"/>
        <w:rPr>
          <w:b w:val="0"/>
          <w:color w:val="000000"/>
          <w:sz w:val="24"/>
        </w:rPr>
      </w:pPr>
      <w:bookmarkStart w:id="19" w:name="_Toc256000067"/>
      <w:r>
        <w:rPr>
          <w:b w:val="0"/>
          <w:color w:val="000000"/>
          <w:sz w:val="24"/>
        </w:rPr>
        <w:t>Таблица 4: Индикативно разпределение</w:t>
      </w:r>
      <w:bookmarkEnd w:id="19"/>
    </w:p>
    <w:p w14:paraId="3189B9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190"/>
        <w:gridCol w:w="3970"/>
      </w:tblGrid>
      <w:tr w:rsidR="00FE6FD5" w14:paraId="7F8FDDBF"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DD705" w14:textId="77777777" w:rsidR="00A77B3E" w:rsidRDefault="00AD19A4">
            <w:pPr>
              <w:spacing w:before="100"/>
              <w:rPr>
                <w:color w:val="000000"/>
                <w:sz w:val="20"/>
              </w:rPr>
            </w:pPr>
            <w:r>
              <w:rPr>
                <w:color w:val="000000"/>
                <w:sz w:val="20"/>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1E9736" w14:textId="77777777" w:rsidR="00A77B3E" w:rsidRDefault="00AD19A4">
            <w:pPr>
              <w:spacing w:before="100"/>
              <w:rPr>
                <w:color w:val="000000"/>
                <w:sz w:val="20"/>
              </w:rPr>
            </w:pPr>
            <w:r>
              <w:rPr>
                <w:color w:val="000000"/>
                <w:sz w:val="20"/>
              </w:rPr>
              <w:t>Код</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BB587" w14:textId="77777777" w:rsidR="00A77B3E" w:rsidRDefault="00AD19A4">
            <w:pPr>
              <w:spacing w:before="100"/>
              <w:jc w:val="right"/>
              <w:rPr>
                <w:color w:val="000000"/>
                <w:sz w:val="20"/>
              </w:rPr>
            </w:pPr>
            <w:r>
              <w:rPr>
                <w:color w:val="000000"/>
                <w:sz w:val="20"/>
              </w:rPr>
              <w:t>Ориентировъчна сума (евро)</w:t>
            </w:r>
          </w:p>
        </w:tc>
      </w:tr>
      <w:tr w:rsidR="00FE6FD5" w14:paraId="274E99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3AE332"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AC3E9" w14:textId="77777777" w:rsidR="00A77B3E" w:rsidRDefault="00AD19A4">
            <w:pPr>
              <w:spacing w:before="100"/>
              <w:rPr>
                <w:color w:val="000000"/>
                <w:sz w:val="20"/>
              </w:rPr>
            </w:pPr>
            <w:r>
              <w:rPr>
                <w:color w:val="000000"/>
                <w:sz w:val="20"/>
              </w:rPr>
              <w:t>001. Информация и комуникация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ABE2C" w14:textId="77777777" w:rsidR="00A77B3E" w:rsidRDefault="00AD19A4">
            <w:pPr>
              <w:spacing w:before="100"/>
              <w:jc w:val="right"/>
              <w:rPr>
                <w:color w:val="000000"/>
                <w:sz w:val="20"/>
              </w:rPr>
            </w:pPr>
            <w:r>
              <w:rPr>
                <w:color w:val="000000"/>
                <w:sz w:val="20"/>
              </w:rPr>
              <w:t>1 000 000,00</w:t>
            </w:r>
          </w:p>
        </w:tc>
      </w:tr>
      <w:tr w:rsidR="00FE6FD5" w14:paraId="3A0448B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0B0B0"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3712C6" w14:textId="77777777" w:rsidR="00A77B3E" w:rsidRDefault="00AD19A4">
            <w:pPr>
              <w:spacing w:before="100"/>
              <w:rPr>
                <w:color w:val="000000"/>
                <w:sz w:val="20"/>
              </w:rPr>
            </w:pPr>
            <w:r>
              <w:rPr>
                <w:color w:val="000000"/>
                <w:sz w:val="20"/>
              </w:rPr>
              <w:t>002. Подготовка, изпълнение, наблюдение и контрол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D810AB" w14:textId="77777777" w:rsidR="00A77B3E" w:rsidRDefault="00AD19A4">
            <w:pPr>
              <w:spacing w:before="100"/>
              <w:jc w:val="right"/>
              <w:rPr>
                <w:color w:val="000000"/>
                <w:sz w:val="20"/>
              </w:rPr>
            </w:pPr>
            <w:r>
              <w:rPr>
                <w:color w:val="000000"/>
                <w:sz w:val="20"/>
              </w:rPr>
              <w:t>12 000 000,00</w:t>
            </w:r>
          </w:p>
        </w:tc>
      </w:tr>
      <w:tr w:rsidR="00FE6FD5" w14:paraId="10A85D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65563D"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AA34E2" w14:textId="77777777" w:rsidR="00A77B3E" w:rsidRDefault="00AD19A4">
            <w:pPr>
              <w:spacing w:before="100"/>
              <w:rPr>
                <w:color w:val="000000"/>
                <w:sz w:val="20"/>
              </w:rPr>
            </w:pPr>
            <w:r>
              <w:rPr>
                <w:color w:val="000000"/>
                <w:sz w:val="20"/>
              </w:rPr>
              <w:t>003. Оценка и проучвания, събиране на данни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BB89F6" w14:textId="77777777" w:rsidR="00A77B3E" w:rsidRDefault="00AD19A4">
            <w:pPr>
              <w:spacing w:before="100"/>
              <w:jc w:val="right"/>
              <w:rPr>
                <w:color w:val="000000"/>
                <w:sz w:val="20"/>
              </w:rPr>
            </w:pPr>
            <w:r>
              <w:rPr>
                <w:color w:val="000000"/>
                <w:sz w:val="20"/>
              </w:rPr>
              <w:t>1 000 000,00</w:t>
            </w:r>
          </w:p>
        </w:tc>
      </w:tr>
      <w:tr w:rsidR="00FE6FD5" w14:paraId="6B7F95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EA457" w14:textId="77777777" w:rsidR="00A77B3E" w:rsidRDefault="00AD19A4">
            <w:pPr>
              <w:spacing w:before="100"/>
              <w:rPr>
                <w:color w:val="000000"/>
                <w:sz w:val="20"/>
              </w:rPr>
            </w:pPr>
            <w:r>
              <w:rPr>
                <w:color w:val="000000"/>
                <w:sz w:val="20"/>
              </w:rPr>
              <w:t>Поле за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C35EA5" w14:textId="77777777" w:rsidR="00A77B3E" w:rsidRDefault="00AD19A4">
            <w:pPr>
              <w:spacing w:before="100"/>
              <w:rPr>
                <w:color w:val="000000"/>
                <w:sz w:val="20"/>
              </w:rPr>
            </w:pPr>
            <w:r>
              <w:rPr>
                <w:color w:val="000000"/>
                <w:sz w:val="20"/>
              </w:rPr>
              <w:t>004. Изграждане на капацитет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12ACE4" w14:textId="77777777" w:rsidR="00A77B3E" w:rsidRDefault="00AD19A4">
            <w:pPr>
              <w:spacing w:before="100"/>
              <w:jc w:val="right"/>
              <w:rPr>
                <w:color w:val="000000"/>
                <w:sz w:val="20"/>
              </w:rPr>
            </w:pPr>
            <w:r>
              <w:rPr>
                <w:color w:val="000000"/>
                <w:sz w:val="20"/>
              </w:rPr>
              <w:t>5 346 875,65</w:t>
            </w:r>
          </w:p>
        </w:tc>
      </w:tr>
    </w:tbl>
    <w:p w14:paraId="1899EDB7" w14:textId="77777777"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14:paraId="644139B4" w14:textId="77777777" w:rsidR="00A77B3E" w:rsidRDefault="00AD19A4">
      <w:pPr>
        <w:pStyle w:val="Heading1"/>
        <w:spacing w:before="100" w:after="0"/>
        <w:rPr>
          <w:rFonts w:ascii="Times New Roman" w:hAnsi="Times New Roman" w:cs="Times New Roman"/>
          <w:b w:val="0"/>
          <w:color w:val="000000"/>
          <w:sz w:val="24"/>
        </w:rPr>
      </w:pPr>
      <w:bookmarkStart w:id="20" w:name="_Toc256000068"/>
      <w:r>
        <w:rPr>
          <w:rFonts w:ascii="Times New Roman" w:hAnsi="Times New Roman" w:cs="Times New Roman"/>
          <w:b w:val="0"/>
          <w:color w:val="000000"/>
          <w:sz w:val="24"/>
        </w:rPr>
        <w:lastRenderedPageBreak/>
        <w:t>3. План за финансиране</w:t>
      </w:r>
      <w:bookmarkEnd w:id="20"/>
    </w:p>
    <w:p w14:paraId="354F9F62" w14:textId="77777777" w:rsidR="00A77B3E" w:rsidRDefault="00AD19A4">
      <w:pPr>
        <w:spacing w:before="100"/>
        <w:rPr>
          <w:color w:val="000000"/>
          <w:sz w:val="12"/>
        </w:rPr>
      </w:pPr>
      <w:r>
        <w:rPr>
          <w:color w:val="000000"/>
        </w:rPr>
        <w:t>Позоваване: буква (ж) от член 22, параграф 3 от РОР</w:t>
      </w:r>
    </w:p>
    <w:p w14:paraId="4AA24925" w14:textId="77777777" w:rsidR="00A77B3E" w:rsidRDefault="00AD19A4">
      <w:pPr>
        <w:pStyle w:val="Heading2"/>
        <w:spacing w:before="100" w:after="0"/>
        <w:rPr>
          <w:rFonts w:ascii="TimesNewRoman" w:eastAsia="TimesNewRoman" w:hAnsi="TimesNewRoman" w:cs="TimesNewRoman"/>
          <w:b w:val="0"/>
          <w:i w:val="0"/>
          <w:color w:val="000000"/>
          <w:sz w:val="24"/>
        </w:rPr>
      </w:pPr>
      <w:bookmarkStart w:id="21" w:name="_Toc256000069"/>
      <w:r>
        <w:rPr>
          <w:rFonts w:ascii="TimesNewRoman" w:eastAsia="TimesNewRoman" w:hAnsi="TimesNewRoman" w:cs="TimesNewRoman"/>
          <w:b w:val="0"/>
          <w:i w:val="0"/>
          <w:color w:val="000000"/>
          <w:sz w:val="24"/>
        </w:rPr>
        <w:t>3.1. Финансови бюджетни кредити по години</w:t>
      </w:r>
      <w:bookmarkEnd w:id="21"/>
    </w:p>
    <w:p w14:paraId="4EDCE26A" w14:textId="77777777" w:rsidR="00A77B3E" w:rsidRDefault="00AD19A4">
      <w:pPr>
        <w:pStyle w:val="Heading4"/>
        <w:spacing w:before="100" w:after="0"/>
        <w:rPr>
          <w:rFonts w:ascii="TimesNewRoman" w:eastAsia="TimesNewRoman" w:hAnsi="TimesNewRoman" w:cs="TimesNewRoman"/>
          <w:b w:val="0"/>
          <w:color w:val="000000"/>
          <w:sz w:val="24"/>
        </w:rPr>
      </w:pPr>
      <w:bookmarkStart w:id="22" w:name="_Toc256000070"/>
      <w:r>
        <w:rPr>
          <w:rFonts w:ascii="TimesNewRoman" w:eastAsia="TimesNewRoman" w:hAnsi="TimesNewRoman" w:cs="TimesNewRoman"/>
          <w:b w:val="0"/>
          <w:color w:val="000000"/>
          <w:sz w:val="24"/>
        </w:rPr>
        <w:t>Таблица 5: Финансови бюджетни кредити по години</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415"/>
        <w:gridCol w:w="1415"/>
        <w:gridCol w:w="1415"/>
        <w:gridCol w:w="1415"/>
        <w:gridCol w:w="1415"/>
        <w:gridCol w:w="1415"/>
        <w:gridCol w:w="1415"/>
        <w:gridCol w:w="1675"/>
      </w:tblGrid>
      <w:tr w:rsidR="00FE6FD5" w14:paraId="5498A29D"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E6CB69"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Тип разпределение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1638E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9129B8"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FA35BC"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EC487B"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A5990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EDB06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949B03"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B7BC8"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r>
    </w:tbl>
    <w:p w14:paraId="7EA33DB8"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5783B022" w14:textId="77777777" w:rsidR="00A77B3E" w:rsidRDefault="00AD19A4">
      <w:pPr>
        <w:pStyle w:val="Heading2"/>
        <w:spacing w:before="100" w:after="0"/>
        <w:rPr>
          <w:rFonts w:ascii="TimesNewRoman" w:eastAsia="TimesNewRoman" w:hAnsi="TimesNewRoman" w:cs="TimesNewRoman"/>
          <w:b w:val="0"/>
          <w:i w:val="0"/>
          <w:color w:val="000000"/>
          <w:sz w:val="24"/>
        </w:rPr>
      </w:pPr>
      <w:bookmarkStart w:id="23" w:name="_Toc256000071"/>
      <w:r>
        <w:rPr>
          <w:rFonts w:ascii="TimesNewRoman" w:eastAsia="TimesNewRoman" w:hAnsi="TimesNewRoman" w:cs="TimesNewRoman"/>
          <w:b w:val="0"/>
          <w:i w:val="0"/>
          <w:color w:val="000000"/>
          <w:sz w:val="24"/>
        </w:rPr>
        <w:lastRenderedPageBreak/>
        <w:t>3.2. Общо финансови разпределения</w:t>
      </w:r>
      <w:bookmarkEnd w:id="23"/>
    </w:p>
    <w:p w14:paraId="7208DE97" w14:textId="77777777" w:rsidR="00A77B3E" w:rsidRDefault="00AD19A4">
      <w:pPr>
        <w:pStyle w:val="Heading4"/>
        <w:spacing w:before="100" w:after="0"/>
        <w:rPr>
          <w:rFonts w:ascii="TimesNewRoman" w:eastAsia="TimesNewRoman" w:hAnsi="TimesNewRoman" w:cs="TimesNewRoman"/>
          <w:b w:val="0"/>
          <w:color w:val="000000"/>
          <w:sz w:val="24"/>
        </w:rPr>
      </w:pPr>
      <w:bookmarkStart w:id="24" w:name="_Toc256000072"/>
      <w:r>
        <w:rPr>
          <w:rFonts w:ascii="TimesNewRoman" w:eastAsia="TimesNewRoman" w:hAnsi="TimesNewRoman" w:cs="TimesNewRoman"/>
          <w:b w:val="0"/>
          <w:color w:val="000000"/>
          <w:sz w:val="24"/>
        </w:rPr>
        <w:t>Таблица 6: Общо финансови разпределения по фондове и национален принос</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18"/>
        <w:gridCol w:w="1517"/>
        <w:gridCol w:w="1517"/>
        <w:gridCol w:w="1517"/>
        <w:gridCol w:w="1517"/>
        <w:gridCol w:w="1517"/>
        <w:gridCol w:w="1517"/>
        <w:gridCol w:w="1517"/>
      </w:tblGrid>
      <w:tr w:rsidR="00FE6FD5" w14:paraId="56526771" w14:textId="77777777">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5049A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 (СЦ)</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2777B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действие</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29A491"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Основа за изчисляване на подкрепата на Съюза (обща или публична)</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9B21EB"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Вноска на Съюза (а)</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712D0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Национален принос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D86A2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Индикативно разпределение на националния принос</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6C9455"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Общо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8375F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съфинансиране (f)=(a)/(e)</w:t>
            </w:r>
          </w:p>
        </w:tc>
      </w:tr>
      <w:tr w:rsidR="00FE6FD5" w14:paraId="644E3D3E" w14:textId="77777777">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572F8C"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7CB00"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C3A13B"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0D334B"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759C97" w14:textId="77777777" w:rsidR="00A77B3E" w:rsidRDefault="00A77B3E">
            <w:pPr>
              <w:spacing w:before="100"/>
              <w:jc w:val="center"/>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050640"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Публично (в)</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CDA456"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Редник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263DF9" w14:textId="77777777" w:rsidR="00A77B3E" w:rsidRDefault="00A77B3E">
            <w:pPr>
              <w:spacing w:before="100"/>
              <w:jc w:val="center"/>
              <w:rPr>
                <w:rFonts w:ascii="TimesNewRoman" w:eastAsia="TimesNewRoman" w:hAnsi="TimesNewRoman" w:cs="TimesNewRoman"/>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46547" w14:textId="77777777" w:rsidR="00A77B3E" w:rsidRDefault="00A77B3E">
            <w:pPr>
              <w:spacing w:before="100"/>
              <w:jc w:val="center"/>
              <w:rPr>
                <w:rFonts w:ascii="TimesNewRoman" w:eastAsia="TimesNewRoman" w:hAnsi="TimesNewRoman" w:cs="TimesNewRoman"/>
                <w:color w:val="000000"/>
                <w:sz w:val="16"/>
              </w:rPr>
            </w:pPr>
          </w:p>
        </w:tc>
      </w:tr>
      <w:tr w:rsidR="00FE6FD5" w14:paraId="22118EC2"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90554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256CC0"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9CC4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F9BE9"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71 031 902,81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FD0FE4"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23 677 300,94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5753EE"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23 677 300,94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3B8A7C"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C734A"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94 709 203,75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1FB93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74.9999999974%</w:t>
            </w:r>
          </w:p>
        </w:tc>
      </w:tr>
      <w:tr w:rsidR="00FE6FD5" w14:paraId="60B4E4D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E743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DC76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37E80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CD290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136 780 787,09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AD2076"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18 420 087,46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C2F39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18 420 087,46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07751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4DF82"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155 200 874,55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9F4F6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88.1314538250%</w:t>
            </w:r>
          </w:p>
        </w:tc>
      </w:tr>
      <w:tr w:rsidR="00FE6FD5" w14:paraId="37F6E801"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BC43E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85E46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9874C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C4A799"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E5FFE"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954AB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605E9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8C5D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A3818" w14:textId="77777777" w:rsidR="00A77B3E" w:rsidRDefault="00A77B3E">
            <w:pPr>
              <w:spacing w:before="100"/>
              <w:jc w:val="right"/>
              <w:rPr>
                <w:rFonts w:ascii="TimesNewRoman" w:eastAsia="TimesNewRoman" w:hAnsi="TimesNewRoman" w:cs="TimesNewRoman"/>
                <w:color w:val="000000"/>
                <w:sz w:val="16"/>
              </w:rPr>
            </w:pPr>
          </w:p>
        </w:tc>
      </w:tr>
      <w:tr w:rsidR="00FE6FD5" w14:paraId="3EDDD6E8"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2F4EC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EB92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Оперативна поддръжка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43081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9D67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50 633 444,00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C535A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16 877 814,67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6FCE9"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16 877 814,67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4162EC"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C96E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67 511 258,67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60B5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74.9999999963%</w:t>
            </w:r>
          </w:p>
        </w:tc>
      </w:tr>
      <w:tr w:rsidR="00FE6FD5" w14:paraId="2063D6A7"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A5500"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BCF3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Член 85(2) от Регламента за ETIAS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9789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47CF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357 822,09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A10F3"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119 274,03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92D9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119 274,03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96E899"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62142"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477 096,12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6952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75.0000000000%</w:t>
            </w:r>
          </w:p>
        </w:tc>
      </w:tr>
      <w:tr w:rsidR="00FE6FD5" w14:paraId="680FF656"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E790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E6738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Член 85(3) от Регламента за ETIAS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EC299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053EC3"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45605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8D7E22"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2CD5B6"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F8E9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DE3123" w14:textId="77777777" w:rsidR="00A77B3E" w:rsidRDefault="00A77B3E">
            <w:pPr>
              <w:spacing w:before="100"/>
              <w:jc w:val="right"/>
              <w:rPr>
                <w:rFonts w:ascii="TimesNewRoman" w:eastAsia="TimesNewRoman" w:hAnsi="TimesNewRoman" w:cs="TimesNewRoman"/>
                <w:color w:val="000000"/>
                <w:sz w:val="16"/>
              </w:rPr>
            </w:pPr>
          </w:p>
        </w:tc>
      </w:tr>
      <w:tr w:rsidR="00FE6FD5" w14:paraId="6127E9EE"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A2D5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5B26B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Специфични действия по Пакта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EA3EA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739C7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49 104 884,91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4723E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5 456 098,33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38389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5 456 098,33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0E2F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70B25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54 560 983,24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778B4E"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89.9999999890%</w:t>
            </w:r>
          </w:p>
        </w:tc>
      </w:tr>
      <w:tr w:rsidR="00FE6FD5" w14:paraId="79D8C9BB"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462AF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Цялостно европейско интегрирано управление на границите</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EA7DCD"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E8ECED"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D6169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307 908 840,90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2C83A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64 550 575,43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47D3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64 550 575,43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5242A"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49300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372 459 416,33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C4756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82.6690982695%</w:t>
            </w:r>
          </w:p>
        </w:tc>
      </w:tr>
      <w:tr w:rsidR="00FE6FD5" w14:paraId="69B05CA9"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BFF88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Обща визова политика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F2F8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Редовни действия</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BF6D5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D282E4"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11 239 086,76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F427F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3 746 362,26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DFEF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3 746 362,26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1BAB44"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861F8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14 985 449,02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35C7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74.9999999666%</w:t>
            </w:r>
          </w:p>
        </w:tc>
      </w:tr>
      <w:tr w:rsidR="00FE6FD5" w14:paraId="15BA997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FA82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Обща визова политика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426AB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Действия по приложение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05793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08722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EF71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2AE3E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71DD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C0AF0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76500" w14:textId="77777777" w:rsidR="00A77B3E" w:rsidRDefault="00A77B3E">
            <w:pPr>
              <w:spacing w:before="100"/>
              <w:jc w:val="right"/>
              <w:rPr>
                <w:rFonts w:ascii="TimesNewRoman" w:eastAsia="TimesNewRoman" w:hAnsi="TimesNewRoman" w:cs="TimesNewRoman"/>
                <w:color w:val="000000"/>
                <w:sz w:val="16"/>
              </w:rPr>
            </w:pPr>
          </w:p>
        </w:tc>
      </w:tr>
      <w:tr w:rsidR="00FE6FD5" w14:paraId="230D8E8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DB2B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Обща визова политика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DDB31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Оперативна поддръжка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2CD51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F8D69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3 300 000,00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4D078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1 100 000,00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72B4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1 100 000,00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B3023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94BF3"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4 400 000,00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93A42A"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75.0000000000%</w:t>
            </w:r>
          </w:p>
        </w:tc>
      </w:tr>
      <w:tr w:rsidR="00FE6FD5" w14:paraId="0FE4557A"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220F3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Обща визова политика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AE649B"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66DEB"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C3A18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14 539 086,76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83A4A"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4 846 362,26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8113F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4 846 362,26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7672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C67F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19 385 449,02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DDFE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74.9999999742%</w:t>
            </w:r>
          </w:p>
        </w:tc>
      </w:tr>
      <w:tr w:rsidR="00FE6FD5" w14:paraId="5A22AB55"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FDCA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Техническа помощ - фиксирана ставка (чл. 36(5) от РОР)</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B0900B"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2B144"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A74B2E"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19 346 875,65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BF68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CA80D"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37D7DC"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0E44B"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19 346 875,65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22F52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100.0000000000%</w:t>
            </w:r>
          </w:p>
        </w:tc>
      </w:tr>
      <w:tr w:rsidR="00FE6FD5" w14:paraId="2AAD79E4" w14:textId="77777777">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3CC7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Крайна сума</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8FE34"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5CD141" w14:textId="77777777" w:rsidR="00A77B3E" w:rsidRDefault="00A77B3E">
            <w:pPr>
              <w:spacing w:before="100"/>
              <w:rPr>
                <w:rFonts w:ascii="TimesNewRoman" w:eastAsia="TimesNewRoman" w:hAnsi="TimesNewRoman" w:cs="TimesNewRoman"/>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D48594"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341 794 803,31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1545D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69 396 937,69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26645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69 396 937,69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E324E8"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0BBBEF"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411 191 741,00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35AFFE"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83.1229738415%</w:t>
            </w:r>
          </w:p>
        </w:tc>
      </w:tr>
    </w:tbl>
    <w:p w14:paraId="5C29F8C4"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sz w:val="16"/>
        </w:rPr>
        <w:br w:type="page"/>
      </w:r>
    </w:p>
    <w:p w14:paraId="51396858" w14:textId="77777777" w:rsidR="00A77B3E" w:rsidRDefault="00AD19A4">
      <w:pPr>
        <w:pStyle w:val="Heading2"/>
        <w:spacing w:before="100" w:after="0"/>
        <w:rPr>
          <w:rFonts w:ascii="TimesNewRoman" w:eastAsia="TimesNewRoman" w:hAnsi="TimesNewRoman" w:cs="TimesNewRoman"/>
          <w:b w:val="0"/>
          <w:i w:val="0"/>
          <w:color w:val="000000"/>
          <w:sz w:val="24"/>
        </w:rPr>
      </w:pPr>
      <w:bookmarkStart w:id="25" w:name="_Toc256000073"/>
      <w:r>
        <w:rPr>
          <w:rFonts w:ascii="TimesNewRoman" w:eastAsia="TimesNewRoman" w:hAnsi="TimesNewRoman" w:cs="TimesNewRoman"/>
          <w:b w:val="0"/>
          <w:i w:val="0"/>
          <w:color w:val="000000"/>
          <w:sz w:val="24"/>
        </w:rPr>
        <w:lastRenderedPageBreak/>
        <w:t>3.3. Трансфери</w:t>
      </w:r>
      <w:bookmarkEnd w:id="25"/>
    </w:p>
    <w:p w14:paraId="2264DC73" w14:textId="77777777" w:rsidR="00A77B3E" w:rsidRDefault="00AD19A4">
      <w:pPr>
        <w:spacing w:before="100"/>
        <w:rPr>
          <w:rFonts w:ascii="TimesNewRoman" w:eastAsia="TimesNewRoman" w:hAnsi="TimesNewRoman" w:cs="TimesNewRoman"/>
          <w:color w:val="000000"/>
          <w:sz w:val="0"/>
        </w:rPr>
      </w:pPr>
      <w:r>
        <w:rPr>
          <w:rFonts w:ascii="TimesNewRoman" w:eastAsia="TimesNewRoman" w:hAnsi="TimesNewRoman" w:cs="TimesNewRoman"/>
          <w:color w:val="000000"/>
        </w:rPr>
        <w:t xml:space="preserve">Таблица 7: Трансфери между фондове със споделено управление </w:t>
      </w:r>
      <w:r>
        <w:rPr>
          <w:rFonts w:ascii="TimesNewRoman" w:eastAsia="TimesNewRoman" w:hAnsi="TimesNewRoman" w:cs="TimesNewRoman"/>
          <w:color w:val="000000"/>
          <w:vertAlign w:val="superscript"/>
        </w:rPr>
        <w:t>1</w:t>
      </w:r>
    </w:p>
    <w:p w14:paraId="1269F183"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1996"/>
        <w:gridCol w:w="1478"/>
        <w:gridCol w:w="1662"/>
        <w:gridCol w:w="1726"/>
        <w:gridCol w:w="950"/>
        <w:gridCol w:w="2348"/>
        <w:gridCol w:w="1655"/>
      </w:tblGrid>
      <w:tr w:rsidR="00FE6FD5" w14:paraId="7BA55817" w14:textId="77777777">
        <w:trPr>
          <w:trHeight w:val="160"/>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62D7E1"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Прехвърляне на фонд</w:t>
            </w:r>
          </w:p>
        </w:tc>
        <w:tc>
          <w:tcPr>
            <w:tcW w:w="0" w:type="dxa"/>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008970"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Получаващ фонд</w:t>
            </w:r>
          </w:p>
        </w:tc>
      </w:tr>
      <w:tr w:rsidR="00FE6FD5" w14:paraId="162C36FA" w14:textId="77777777">
        <w:trPr>
          <w:trHeight w:val="160"/>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31525C" w14:textId="77777777" w:rsidR="00A77B3E" w:rsidRDefault="00A77B3E">
            <w:pPr>
              <w:spacing w:before="100"/>
              <w:jc w:val="center"/>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314B65"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ФАМИ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262F77"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ИСФ</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F7D6E7"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ЕФРР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FC1A56"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ЕСФ+</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8B147B"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CF</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9D9835"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ЕФМДФ</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E52E40"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Общо</w:t>
            </w:r>
          </w:p>
        </w:tc>
      </w:tr>
      <w:tr w:rsidR="00FE6FD5" w14:paraId="21824D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45D3B0" w14:textId="77777777" w:rsidR="00A77B3E" w:rsidRDefault="004B3C80">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ИУГВП</w:t>
            </w:r>
            <w:r w:rsidR="00AD19A4">
              <w:rPr>
                <w:rFonts w:ascii="TimesNewRoman" w:eastAsia="TimesNewRoman" w:hAnsi="TimesNewRoman" w:cs="TimesNewRoman"/>
                <w:color w:val="000000"/>
              </w:rPr>
              <w:t xml:space="preserve"> (Индекс на телесните клетки)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D6C9A0"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01CBED"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F923E8"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E348D5"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6DED25"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2F6F26" w14:textId="77777777" w:rsidR="00A77B3E" w:rsidRDefault="00A77B3E">
            <w:pPr>
              <w:spacing w:before="100"/>
              <w:jc w:val="right"/>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C7BBF3" w14:textId="77777777" w:rsidR="00A77B3E" w:rsidRDefault="00A77B3E">
            <w:pPr>
              <w:spacing w:before="100"/>
              <w:jc w:val="right"/>
              <w:rPr>
                <w:rFonts w:ascii="TimesNewRoman" w:eastAsia="TimesNewRoman" w:hAnsi="TimesNewRoman" w:cs="TimesNewRoman"/>
                <w:color w:val="000000"/>
              </w:rPr>
            </w:pPr>
          </w:p>
        </w:tc>
      </w:tr>
    </w:tbl>
    <w:p w14:paraId="1EE3AA20" w14:textId="77777777" w:rsidR="00A77B3E" w:rsidRDefault="00AD19A4">
      <w:pPr>
        <w:spacing w:before="100"/>
        <w:rPr>
          <w:rFonts w:ascii="TimesNewRoman" w:eastAsia="TimesNewRoman" w:hAnsi="TimesNewRoman" w:cs="TimesNewRoman"/>
          <w:color w:val="000000"/>
        </w:rPr>
      </w:pPr>
      <w:r>
        <w:rPr>
          <w:rFonts w:ascii="TimesNewRoman" w:eastAsia="TimesNewRoman" w:hAnsi="TimesNewRoman" w:cs="TimesNewRoman"/>
          <w:color w:val="000000"/>
          <w:vertAlign w:val="superscript"/>
        </w:rPr>
        <w:t xml:space="preserve">1 </w:t>
      </w:r>
      <w:r>
        <w:rPr>
          <w:rFonts w:ascii="TimesNewRoman" w:eastAsia="TimesNewRoman" w:hAnsi="TimesNewRoman" w:cs="TimesNewRoman"/>
          <w:color w:val="000000"/>
        </w:rPr>
        <w:t>Кумулативни суми за всички трансфери по време на програмния период.</w:t>
      </w:r>
    </w:p>
    <w:p w14:paraId="1F024ED1" w14:textId="77777777" w:rsidR="00A77B3E" w:rsidRDefault="00AD19A4">
      <w:pPr>
        <w:spacing w:before="100"/>
        <w:rPr>
          <w:rFonts w:ascii="TimesNewRoman" w:eastAsia="TimesNewRoman" w:hAnsi="TimesNewRoman" w:cs="TimesNewRoman"/>
          <w:color w:val="000000"/>
          <w:sz w:val="0"/>
        </w:rPr>
      </w:pPr>
      <w:r>
        <w:rPr>
          <w:rFonts w:ascii="TimesNewRoman" w:eastAsia="TimesNewRoman" w:hAnsi="TimesNewRoman" w:cs="TimesNewRoman"/>
          <w:color w:val="000000"/>
        </w:rPr>
        <w:br w:type="page"/>
      </w:r>
      <w:r>
        <w:rPr>
          <w:rFonts w:ascii="TimesNewRoman" w:eastAsia="TimesNewRoman" w:hAnsi="TimesNewRoman" w:cs="TimesNewRoman"/>
          <w:color w:val="000000"/>
        </w:rPr>
        <w:lastRenderedPageBreak/>
        <w:t xml:space="preserve">Таблица 8: Трансфери към инструменти под пряко или непряко управление </w:t>
      </w:r>
      <w:r>
        <w:rPr>
          <w:rFonts w:ascii="TimesNewRoman" w:eastAsia="TimesNewRoman" w:hAnsi="TimesNewRoman" w:cs="TimesNewRoman"/>
          <w:color w:val="000000"/>
          <w:vertAlign w:val="superscript"/>
        </w:rPr>
        <w:t>1</w:t>
      </w:r>
    </w:p>
    <w:p w14:paraId="36965C74"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6299"/>
      </w:tblGrid>
      <w:tr w:rsidR="00FE6FD5" w14:paraId="3696DF74"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658E48"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инструмент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102636" w14:textId="77777777" w:rsidR="00A77B3E" w:rsidRDefault="00AD19A4">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Сума на превода</w:t>
            </w:r>
          </w:p>
        </w:tc>
      </w:tr>
      <w:tr w:rsidR="00FE6FD5" w14:paraId="52F7FB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07261A" w14:textId="77777777" w:rsidR="00A77B3E" w:rsidRDefault="00A77B3E">
            <w:pPr>
              <w:spacing w:before="100"/>
              <w:jc w:val="center"/>
              <w:rPr>
                <w:rFonts w:ascii="TimesNewRoman" w:eastAsia="TimesNewRoman" w:hAnsi="TimesNewRoman" w:cs="TimesNewRoman"/>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4D9FCC" w14:textId="77777777" w:rsidR="00A77B3E" w:rsidRDefault="00AD19A4">
            <w:pPr>
              <w:spacing w:before="100"/>
              <w:jc w:val="right"/>
              <w:rPr>
                <w:rFonts w:ascii="TimesNewRoman" w:eastAsia="TimesNewRoman" w:hAnsi="TimesNewRoman" w:cs="TimesNewRoman"/>
                <w:color w:val="000000"/>
              </w:rPr>
            </w:pPr>
            <w:r>
              <w:rPr>
                <w:rFonts w:ascii="TimesNewRoman" w:eastAsia="TimesNewRoman" w:hAnsi="TimesNewRoman" w:cs="TimesNewRoman"/>
                <w:color w:val="000000"/>
              </w:rPr>
              <w:t>0.00</w:t>
            </w:r>
          </w:p>
        </w:tc>
      </w:tr>
    </w:tbl>
    <w:p w14:paraId="0E6E8B30" w14:textId="77777777" w:rsidR="00A77B3E" w:rsidRDefault="00AD19A4">
      <w:pPr>
        <w:spacing w:before="100"/>
        <w:rPr>
          <w:rFonts w:ascii="TimesNewRoman" w:eastAsia="TimesNewRoman" w:hAnsi="TimesNewRoman" w:cs="TimesNewRoman"/>
          <w:color w:val="000000"/>
        </w:rPr>
        <w:sectPr w:rsidR="00A77B3E">
          <w:headerReference w:type="even" r:id="rId50"/>
          <w:headerReference w:type="default" r:id="rId51"/>
          <w:footerReference w:type="even" r:id="rId52"/>
          <w:footerReference w:type="default" r:id="rId53"/>
          <w:headerReference w:type="first" r:id="rId54"/>
          <w:footerReference w:type="first" r:id="rId55"/>
          <w:pgSz w:w="16838" w:h="11906" w:orient="landscape"/>
          <w:pgMar w:top="720" w:right="720" w:bottom="864" w:left="936" w:header="288" w:footer="72" w:gutter="0"/>
          <w:cols w:space="720"/>
          <w:noEndnote/>
          <w:docGrid w:linePitch="360"/>
        </w:sectPr>
      </w:pPr>
      <w:r>
        <w:rPr>
          <w:rFonts w:ascii="TimesNewRoman" w:eastAsia="TimesNewRoman" w:hAnsi="TimesNewRoman" w:cs="TimesNewRoman"/>
          <w:color w:val="000000"/>
          <w:vertAlign w:val="superscript"/>
        </w:rPr>
        <w:t xml:space="preserve">1 </w:t>
      </w:r>
      <w:r>
        <w:rPr>
          <w:rFonts w:ascii="TimesNewRoman" w:eastAsia="TimesNewRoman" w:hAnsi="TimesNewRoman" w:cs="TimesNewRoman"/>
          <w:color w:val="000000"/>
        </w:rPr>
        <w:t>Кумулативни суми за всички трансфери по време на програмния период.</w:t>
      </w:r>
    </w:p>
    <w:p w14:paraId="41DE681C" w14:textId="77777777" w:rsidR="00A77B3E" w:rsidRDefault="00AD19A4">
      <w:pPr>
        <w:pStyle w:val="Heading1"/>
        <w:spacing w:before="100" w:after="0"/>
        <w:rPr>
          <w:rFonts w:ascii="Times New Roman" w:hAnsi="Times New Roman" w:cs="Times New Roman"/>
          <w:b w:val="0"/>
          <w:color w:val="000000"/>
          <w:sz w:val="24"/>
        </w:rPr>
      </w:pPr>
      <w:bookmarkStart w:id="26" w:name="_Toc256000074"/>
      <w:r>
        <w:rPr>
          <w:rFonts w:ascii="Times New Roman" w:hAnsi="Times New Roman" w:cs="Times New Roman"/>
          <w:b w:val="0"/>
          <w:color w:val="000000"/>
          <w:sz w:val="24"/>
        </w:rPr>
        <w:lastRenderedPageBreak/>
        <w:t>4. Благоприятстващи условия</w:t>
      </w:r>
      <w:bookmarkEnd w:id="26"/>
    </w:p>
    <w:p w14:paraId="0C4CD271" w14:textId="77777777" w:rsidR="00A77B3E" w:rsidRDefault="00AD19A4">
      <w:pPr>
        <w:spacing w:before="100"/>
        <w:rPr>
          <w:color w:val="000000"/>
        </w:rPr>
      </w:pPr>
      <w:r>
        <w:rPr>
          <w:color w:val="000000"/>
        </w:rPr>
        <w:t>Позоваване: член 22, параграф 3, точка (i) от РОР</w:t>
      </w:r>
    </w:p>
    <w:p w14:paraId="7A31EB79" w14:textId="77777777" w:rsidR="00A77B3E" w:rsidRDefault="00AD19A4">
      <w:pPr>
        <w:pStyle w:val="Heading2"/>
        <w:spacing w:before="100" w:after="0"/>
        <w:rPr>
          <w:rFonts w:ascii="Times New Roman" w:hAnsi="Times New Roman" w:cs="Times New Roman"/>
          <w:b w:val="0"/>
          <w:i w:val="0"/>
          <w:color w:val="000000"/>
          <w:sz w:val="24"/>
        </w:rPr>
      </w:pPr>
      <w:bookmarkStart w:id="27" w:name="_Toc256000075"/>
      <w:r>
        <w:rPr>
          <w:rFonts w:ascii="Times New Roman" w:hAnsi="Times New Roman" w:cs="Times New Roman"/>
          <w:b w:val="0"/>
          <w:i w:val="0"/>
          <w:color w:val="000000"/>
          <w:sz w:val="24"/>
        </w:rPr>
        <w:t>Таблица 9: Хоризонтални благоприятстващи условия</w:t>
      </w:r>
      <w:bookmarkEnd w:id="27"/>
    </w:p>
    <w:p w14:paraId="68238A86" w14:textId="77777777" w:rsidR="00A77B3E" w:rsidRDefault="00A77B3E">
      <w:pPr>
        <w:spacing w:before="100"/>
        <w:rPr>
          <w:color w:val="000000"/>
          <w:sz w:val="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FE6FD5" w14:paraId="25DCDC29"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862367" w14:textId="77777777" w:rsidR="00A77B3E" w:rsidRDefault="00AD19A4">
            <w:pPr>
              <w:spacing w:before="100"/>
              <w:jc w:val="center"/>
              <w:rPr>
                <w:color w:val="000000"/>
                <w:sz w:val="20"/>
              </w:rPr>
            </w:pPr>
            <w:r>
              <w:rPr>
                <w:color w:val="000000"/>
                <w:sz w:val="20"/>
              </w:rPr>
              <w:t>Активиращо условие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08EF66" w14:textId="77777777" w:rsidR="00A77B3E" w:rsidRDefault="00AD19A4">
            <w:pPr>
              <w:spacing w:before="100"/>
              <w:jc w:val="center"/>
              <w:rPr>
                <w:color w:val="000000"/>
                <w:sz w:val="20"/>
              </w:rPr>
            </w:pPr>
            <w:r>
              <w:rPr>
                <w:color w:val="000000"/>
                <w:sz w:val="20"/>
              </w:rPr>
              <w:t>Изпълнение на благоприятстващото условие</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D4F2C0" w14:textId="77777777" w:rsidR="00A77B3E" w:rsidRDefault="00AD19A4">
            <w:pPr>
              <w:spacing w:before="100"/>
              <w:jc w:val="center"/>
              <w:rPr>
                <w:color w:val="000000"/>
                <w:sz w:val="20"/>
              </w:rPr>
            </w:pPr>
            <w:r>
              <w:rPr>
                <w:color w:val="000000"/>
                <w:sz w:val="20"/>
              </w:rPr>
              <w:t>Критерии</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71694C" w14:textId="77777777" w:rsidR="00A77B3E" w:rsidRDefault="00AD19A4">
            <w:pPr>
              <w:spacing w:before="100"/>
              <w:jc w:val="center"/>
              <w:rPr>
                <w:color w:val="000000"/>
                <w:sz w:val="20"/>
              </w:rPr>
            </w:pPr>
            <w:r>
              <w:rPr>
                <w:color w:val="000000"/>
                <w:sz w:val="20"/>
              </w:rPr>
              <w:t>Изпълнение на критериите</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E14F44" w14:textId="77777777" w:rsidR="00A77B3E" w:rsidRDefault="00AD19A4">
            <w:pPr>
              <w:spacing w:before="100"/>
              <w:jc w:val="center"/>
              <w:rPr>
                <w:color w:val="000000"/>
                <w:sz w:val="20"/>
              </w:rPr>
            </w:pPr>
            <w:r>
              <w:rPr>
                <w:color w:val="000000"/>
                <w:sz w:val="20"/>
              </w:rPr>
              <w:t>Препратка към съответните документи</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AAC88F" w14:textId="77777777" w:rsidR="00A77B3E" w:rsidRDefault="00AD19A4">
            <w:pPr>
              <w:spacing w:before="100"/>
              <w:jc w:val="center"/>
              <w:rPr>
                <w:color w:val="000000"/>
                <w:sz w:val="20"/>
              </w:rPr>
            </w:pPr>
            <w:r>
              <w:rPr>
                <w:color w:val="000000"/>
                <w:sz w:val="20"/>
              </w:rPr>
              <w:t>Обосновка</w:t>
            </w:r>
          </w:p>
        </w:tc>
      </w:tr>
      <w:tr w:rsidR="00FE6FD5" w14:paraId="661612F1"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6CBF1" w14:textId="77777777" w:rsidR="00A77B3E" w:rsidRDefault="00AD19A4">
            <w:pPr>
              <w:spacing w:before="100"/>
              <w:rPr>
                <w:color w:val="000000"/>
                <w:sz w:val="20"/>
              </w:rPr>
            </w:pPr>
            <w:r>
              <w:rPr>
                <w:color w:val="000000"/>
                <w:sz w:val="20"/>
              </w:rPr>
              <w:t>1. Ефективни механизми за мониторинг на пазара на обществени поръчки</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A9520"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7A56B" w14:textId="77777777" w:rsidR="00A77B3E" w:rsidRDefault="00AD19A4">
            <w:pPr>
              <w:spacing w:before="100"/>
              <w:rPr>
                <w:color w:val="000000"/>
                <w:sz w:val="20"/>
              </w:rPr>
            </w:pPr>
            <w:r>
              <w:rPr>
                <w:color w:val="000000"/>
                <w:sz w:val="20"/>
              </w:rPr>
              <w:t>Въведени са механизми за мониторинг, които обхващат всички обществени поръчки и техните поръчки по фондовете в съответствие със законодателството на Съюза в областта на обществените поръчки. Това изискване включва:</w:t>
            </w:r>
          </w:p>
          <w:p w14:paraId="73D1EDEF" w14:textId="77777777" w:rsidR="00A77B3E" w:rsidRDefault="00AD19A4">
            <w:pPr>
              <w:spacing w:before="100"/>
              <w:rPr>
                <w:color w:val="000000"/>
                <w:sz w:val="20"/>
              </w:rPr>
            </w:pPr>
            <w:r>
              <w:rPr>
                <w:color w:val="000000"/>
                <w:sz w:val="20"/>
              </w:rPr>
              <w:t>1. Условия за осигуряване на събирането на ефективни и надеждни данни за процедурите за обществени поръчки над праговете на Съюза в съответствие със задълженията за докладване по членове 83 и 84 от Директива 2014/24/ЕС и членове 99 и 100 от Директива 2014/25/ЕС.</w:t>
            </w:r>
          </w:p>
          <w:p w14:paraId="57A1D186"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FEA80"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43520" w14:textId="77777777" w:rsidR="00A77B3E" w:rsidRDefault="00AD19A4">
            <w:pPr>
              <w:spacing w:before="100"/>
              <w:rPr>
                <w:color w:val="000000"/>
                <w:sz w:val="20"/>
              </w:rPr>
            </w:pPr>
            <w:r>
              <w:rPr>
                <w:color w:val="000000"/>
                <w:sz w:val="20"/>
              </w:rPr>
              <w:t>Закон за изменение и допълнение на Закона за обществените поръчки - обн. - ДВ, бр. 102 от 2019 г., в сила от 01.01.2020 г.</w:t>
            </w:r>
          </w:p>
          <w:p w14:paraId="0C76D396" w14:textId="77777777" w:rsidR="00A77B3E" w:rsidRDefault="00AD19A4">
            <w:pPr>
              <w:spacing w:before="100"/>
              <w:rPr>
                <w:color w:val="000000"/>
                <w:sz w:val="20"/>
              </w:rPr>
            </w:pPr>
            <w:r>
              <w:rPr>
                <w:color w:val="000000"/>
                <w:sz w:val="20"/>
              </w:rPr>
              <w:t>https://www.eufunds.bg/sites/default/files/uploads/eip/docs/2021-09.pdf</w:t>
            </w:r>
          </w:p>
          <w:p w14:paraId="459FD57E" w14:textId="77777777" w:rsidR="00A77B3E" w:rsidRDefault="00AD19A4">
            <w:pPr>
              <w:spacing w:before="100"/>
              <w:rPr>
                <w:color w:val="000000"/>
                <w:sz w:val="20"/>
              </w:rPr>
            </w:pPr>
            <w:r>
              <w:rPr>
                <w:color w:val="000000"/>
                <w:sz w:val="20"/>
              </w:rPr>
              <w:t>(Информацията продължава по-долу поради нейния обем и релевантност към всеки от критериите по точки 1-4)</w:t>
            </w:r>
          </w:p>
          <w:p w14:paraId="1FCE1EDD"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82C0D4" w14:textId="77777777" w:rsidR="00A77B3E" w:rsidRDefault="00AD19A4">
            <w:pPr>
              <w:spacing w:before="100"/>
              <w:rPr>
                <w:color w:val="000000"/>
                <w:sz w:val="20"/>
              </w:rPr>
            </w:pPr>
            <w:r>
              <w:rPr>
                <w:color w:val="000000"/>
                <w:sz w:val="20"/>
              </w:rPr>
              <w:t>Законодателството относно мониторинга на обществените поръчки е подробно регламентирано чрез:</w:t>
            </w:r>
          </w:p>
          <w:p w14:paraId="502C55DD" w14:textId="77777777" w:rsidR="00A77B3E" w:rsidRDefault="00AD19A4">
            <w:pPr>
              <w:spacing w:before="100"/>
              <w:rPr>
                <w:color w:val="000000"/>
                <w:sz w:val="20"/>
              </w:rPr>
            </w:pPr>
            <w:r>
              <w:rPr>
                <w:color w:val="000000"/>
                <w:sz w:val="20"/>
              </w:rPr>
              <w:t xml:space="preserve">- </w:t>
            </w:r>
            <w:r>
              <w:rPr>
                <w:color w:val="000000"/>
                <w:sz w:val="20"/>
              </w:rPr>
              <w:tab/>
              <w:t>прие в края на 2019 г. измененията на чл. 229 от ЗОП, част от които засягат правомощията на изпълнителната дирекция на Агенцията по обществени поръчки по отношение на провеждането на мониторинг на обществените поръчки (т. 14 и т. 24 в (1) се изменят, (4) и (9) се допълват);</w:t>
            </w:r>
          </w:p>
          <w:p w14:paraId="4FE6D8C0" w14:textId="77777777" w:rsidR="00A77B3E" w:rsidRDefault="00AD19A4">
            <w:pPr>
              <w:spacing w:before="100"/>
              <w:rPr>
                <w:color w:val="000000"/>
                <w:sz w:val="20"/>
              </w:rPr>
            </w:pPr>
            <w:r>
              <w:rPr>
                <w:color w:val="000000"/>
                <w:sz w:val="20"/>
              </w:rPr>
              <w:t xml:space="preserve">- </w:t>
            </w:r>
            <w:r>
              <w:rPr>
                <w:color w:val="000000"/>
                <w:sz w:val="20"/>
              </w:rPr>
              <w:tab/>
              <w:t>изменение на чл. 114 от ЗАПОП и новосъздаденото Приложение 3 към същия член (в приложението е включена информация, която различните органи с функции в областта на обществените поръчки следва да предоставят ежегодно на Агенцията по обществени поръчки за нуждите на мониторинга.)</w:t>
            </w:r>
          </w:p>
        </w:tc>
      </w:tr>
      <w:tr w:rsidR="00FE6FD5" w14:paraId="20A8164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1958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32E837"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33D0D" w14:textId="77777777" w:rsidR="00A77B3E" w:rsidRDefault="00AD19A4">
            <w:pPr>
              <w:spacing w:before="100"/>
              <w:rPr>
                <w:color w:val="000000"/>
                <w:sz w:val="20"/>
              </w:rPr>
            </w:pPr>
            <w:r>
              <w:rPr>
                <w:color w:val="000000"/>
                <w:sz w:val="20"/>
              </w:rPr>
              <w:t>2. Мерки, гарантиращи, че данните обхващат поне следните елементи:</w:t>
            </w:r>
          </w:p>
          <w:p w14:paraId="274A08F8" w14:textId="77777777" w:rsidR="00A77B3E" w:rsidRDefault="00AD19A4">
            <w:pPr>
              <w:spacing w:before="100"/>
              <w:rPr>
                <w:color w:val="000000"/>
                <w:sz w:val="20"/>
              </w:rPr>
            </w:pPr>
            <w:r>
              <w:rPr>
                <w:color w:val="000000"/>
                <w:sz w:val="20"/>
              </w:rPr>
              <w:t>а. Качество и интензивност на конкуренцията: имена на спечелилия търг, брой на първоначалните оференти и договорна стойност;</w:t>
            </w:r>
          </w:p>
          <w:p w14:paraId="5E46E57D" w14:textId="77777777" w:rsidR="00A77B3E" w:rsidRDefault="00AD19A4">
            <w:pPr>
              <w:spacing w:before="100"/>
              <w:rPr>
                <w:color w:val="000000"/>
                <w:sz w:val="20"/>
              </w:rPr>
            </w:pPr>
            <w:r>
              <w:rPr>
                <w:color w:val="000000"/>
                <w:sz w:val="20"/>
              </w:rPr>
              <w:t>б. Информация за крайната цена след завършване и за участието на МСП като директни оференти, когато националните системи предоставят такава информация.</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DECC9E"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CABED" w14:textId="77777777" w:rsidR="00A77B3E" w:rsidRDefault="00AD19A4">
            <w:pPr>
              <w:spacing w:before="100"/>
              <w:rPr>
                <w:color w:val="000000"/>
                <w:sz w:val="20"/>
              </w:rPr>
            </w:pPr>
            <w:r>
              <w:rPr>
                <w:color w:val="000000"/>
                <w:sz w:val="20"/>
              </w:rPr>
              <w:t>Постановление № 49/23 март 2020 г. за изменение и допълнение на Правилника за прилагане на Закона за обществените поръчки, приет с Постановление на Министерския съвет № 73/2016 г. (ДВ, 28/2016 г.) – обн., ДВ, бр. 29/2020 г., в сила от 1 април 2020 г.</w:t>
            </w:r>
          </w:p>
          <w:p w14:paraId="243C9DD5" w14:textId="77777777" w:rsidR="00A77B3E" w:rsidRDefault="00A77B3E">
            <w:pPr>
              <w:spacing w:before="100"/>
              <w:rPr>
                <w:color w:val="000000"/>
                <w:sz w:val="20"/>
              </w:rPr>
            </w:pPr>
          </w:p>
          <w:p w14:paraId="447FBC16" w14:textId="77777777" w:rsidR="00A77B3E" w:rsidRDefault="00AD19A4">
            <w:pPr>
              <w:spacing w:before="100"/>
              <w:rPr>
                <w:color w:val="000000"/>
                <w:sz w:val="20"/>
              </w:rPr>
            </w:pPr>
            <w:r>
              <w:rPr>
                <w:color w:val="000000"/>
                <w:sz w:val="20"/>
              </w:rPr>
              <w:t>https://www.eufunds.bg/sites/default/files/uploads/eip/docs/2021-HEC1.pdf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5F6B4F" w14:textId="77777777" w:rsidR="00A77B3E" w:rsidRDefault="00AD19A4">
            <w:pPr>
              <w:spacing w:before="100"/>
              <w:rPr>
                <w:color w:val="000000"/>
                <w:sz w:val="20"/>
              </w:rPr>
            </w:pPr>
            <w:r>
              <w:rPr>
                <w:color w:val="000000"/>
                <w:sz w:val="20"/>
              </w:rPr>
              <w:t>Изградена е и функционира централизирана електронна система – CAIS EEP.</w:t>
            </w:r>
          </w:p>
          <w:p w14:paraId="2EA4B54E" w14:textId="77777777" w:rsidR="00A77B3E" w:rsidRDefault="00AD19A4">
            <w:pPr>
              <w:spacing w:before="100"/>
              <w:rPr>
                <w:color w:val="000000"/>
                <w:sz w:val="20"/>
              </w:rPr>
            </w:pPr>
            <w:r>
              <w:rPr>
                <w:color w:val="000000"/>
                <w:sz w:val="20"/>
              </w:rPr>
              <w:t>Съгласно чл. 39а от ЗОП, той се използва при възлагане на обществени поръчки, включително чрез динамична система за покупка, рамково споразумение и система за квалификация, както и при конкурс за проект.</w:t>
            </w:r>
          </w:p>
          <w:p w14:paraId="7FCC31B2" w14:textId="77777777" w:rsidR="00A77B3E" w:rsidRDefault="00AD19A4">
            <w:pPr>
              <w:spacing w:before="100"/>
              <w:rPr>
                <w:color w:val="000000"/>
                <w:sz w:val="20"/>
              </w:rPr>
            </w:pPr>
            <w:r>
              <w:rPr>
                <w:color w:val="000000"/>
                <w:sz w:val="20"/>
              </w:rPr>
              <w:t xml:space="preserve">От 1 януари 2020 г. използването на CAIS EPP е задължително за някои </w:t>
            </w:r>
            <w:r>
              <w:rPr>
                <w:color w:val="000000"/>
                <w:sz w:val="20"/>
              </w:rPr>
              <w:lastRenderedPageBreak/>
              <w:t>групи възлагащи органи, а от 14 юни 2020 г. - за всички възлагащи органи.</w:t>
            </w:r>
          </w:p>
          <w:p w14:paraId="579B7AFD" w14:textId="77777777" w:rsidR="00A77B3E" w:rsidRDefault="00AD19A4">
            <w:pPr>
              <w:spacing w:before="100"/>
              <w:rPr>
                <w:color w:val="000000"/>
                <w:sz w:val="20"/>
              </w:rPr>
            </w:pPr>
            <w:r>
              <w:rPr>
                <w:color w:val="000000"/>
                <w:sz w:val="20"/>
              </w:rPr>
              <w:t>Системата се състои от 32 модула, част от които са задължителни за използване от възложителите: Те включват: електронна регистрация, електронно уведомление, електронен подател, електронен достъп, еЕДОП, обмен на информация, електронно подаване, електронно отваряне, динамична система за покупки, система за квалификация, мини конкурс по рамково споразумение, електронен каталог, електронно фактуриране и др.</w:t>
            </w:r>
          </w:p>
          <w:p w14:paraId="02CA2989" w14:textId="77777777" w:rsidR="00A77B3E" w:rsidRDefault="00AD19A4">
            <w:pPr>
              <w:spacing w:before="100"/>
              <w:rPr>
                <w:color w:val="000000"/>
                <w:sz w:val="20"/>
              </w:rPr>
            </w:pPr>
            <w:r>
              <w:rPr>
                <w:color w:val="000000"/>
                <w:sz w:val="20"/>
              </w:rPr>
              <w:t>Проведени са обучения за работа с CAIS EPP, насочени към различни целеви групи. Осигурено е и предоставяне на практическа помощ на потребителите на системата, включително чрез Центъра за обслужване на потребители, създаден през 2019 г.</w:t>
            </w:r>
          </w:p>
        </w:tc>
      </w:tr>
      <w:tr w:rsidR="00FE6FD5" w14:paraId="2218FC3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6B93C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074E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60E23D" w14:textId="77777777" w:rsidR="00A77B3E" w:rsidRDefault="00AD19A4">
            <w:pPr>
              <w:spacing w:before="100"/>
              <w:rPr>
                <w:color w:val="000000"/>
                <w:sz w:val="20"/>
              </w:rPr>
            </w:pPr>
            <w:r>
              <w:rPr>
                <w:color w:val="000000"/>
                <w:sz w:val="20"/>
              </w:rPr>
              <w:t>3. Организация за осигуряване на мониторинг и анализ на данните от компетентните национални органи в съответствие с член 83 (2) от Директива 2014/24/ЕС и член 99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D3F35C"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BE8EA" w14:textId="77777777" w:rsidR="00A77B3E" w:rsidRDefault="00AD19A4">
            <w:pPr>
              <w:spacing w:before="100"/>
              <w:rPr>
                <w:color w:val="000000"/>
                <w:sz w:val="20"/>
              </w:rPr>
            </w:pPr>
            <w:r>
              <w:rPr>
                <w:color w:val="000000"/>
                <w:sz w:val="20"/>
              </w:rPr>
              <w:t>Централизирана автоматизирана информационна система „Електронни обществени поръчки“ (ЦАИС ОПП)</w:t>
            </w:r>
          </w:p>
          <w:p w14:paraId="6F932056" w14:textId="77777777" w:rsidR="00A77B3E" w:rsidRDefault="00A77B3E">
            <w:pPr>
              <w:spacing w:before="100"/>
              <w:rPr>
                <w:color w:val="000000"/>
                <w:sz w:val="20"/>
              </w:rPr>
            </w:pPr>
          </w:p>
          <w:p w14:paraId="7A4C8072" w14:textId="77777777" w:rsidR="00A77B3E" w:rsidRDefault="00AD19A4">
            <w:pPr>
              <w:spacing w:before="100"/>
              <w:rPr>
                <w:color w:val="000000"/>
                <w:sz w:val="20"/>
              </w:rPr>
            </w:pPr>
            <w:r>
              <w:rPr>
                <w:color w:val="000000"/>
                <w:sz w:val="20"/>
              </w:rPr>
              <w:t>https://www.eop.bg</w:t>
            </w:r>
          </w:p>
          <w:p w14:paraId="63E88355" w14:textId="77777777" w:rsidR="00A77B3E" w:rsidRDefault="00AD19A4">
            <w:pPr>
              <w:spacing w:before="100"/>
              <w:rPr>
                <w:color w:val="000000"/>
                <w:sz w:val="20"/>
              </w:rPr>
            </w:pPr>
            <w:r>
              <w:rPr>
                <w:color w:val="000000"/>
                <w:sz w:val="20"/>
              </w:rPr>
              <w:t xml:space="preserve">• </w:t>
            </w:r>
            <w:r>
              <w:rPr>
                <w:color w:val="000000"/>
                <w:sz w:val="20"/>
              </w:rPr>
              <w:tab/>
              <w:t>CAIS EPP – електронна регистрация:</w:t>
            </w:r>
          </w:p>
          <w:p w14:paraId="6A033FB3" w14:textId="77777777" w:rsidR="00A77B3E" w:rsidRDefault="00AD19A4">
            <w:pPr>
              <w:spacing w:before="100"/>
              <w:rPr>
                <w:color w:val="000000"/>
                <w:sz w:val="20"/>
              </w:rPr>
            </w:pPr>
            <w:r>
              <w:rPr>
                <w:color w:val="000000"/>
                <w:sz w:val="20"/>
              </w:rPr>
              <w:t>https://app.eop.bg/today</w:t>
            </w:r>
          </w:p>
          <w:p w14:paraId="19AF9E7B" w14:textId="77777777" w:rsidR="00A77B3E" w:rsidRDefault="00AD19A4">
            <w:pPr>
              <w:spacing w:before="100"/>
              <w:rPr>
                <w:color w:val="000000"/>
                <w:sz w:val="20"/>
              </w:rPr>
            </w:pPr>
            <w:r>
              <w:rPr>
                <w:color w:val="000000"/>
                <w:sz w:val="20"/>
              </w:rPr>
              <w:t xml:space="preserve">• </w:t>
            </w:r>
            <w:r>
              <w:rPr>
                <w:color w:val="000000"/>
                <w:sz w:val="20"/>
              </w:rPr>
              <w:tab/>
              <w:t>CAIS EPP – Бюлетин:</w:t>
            </w:r>
          </w:p>
          <w:p w14:paraId="015F901B" w14:textId="77777777" w:rsidR="00A77B3E" w:rsidRDefault="00AD19A4">
            <w:pPr>
              <w:spacing w:before="100"/>
              <w:rPr>
                <w:color w:val="000000"/>
                <w:sz w:val="20"/>
              </w:rPr>
            </w:pPr>
            <w:r>
              <w:rPr>
                <w:color w:val="000000"/>
                <w:sz w:val="20"/>
              </w:rPr>
              <w:t>https://app.eop.bg/today/reporting/bulletin</w:t>
            </w:r>
          </w:p>
          <w:p w14:paraId="4A2810DC" w14:textId="77777777" w:rsidR="00A77B3E" w:rsidRDefault="00AD19A4">
            <w:pPr>
              <w:spacing w:before="100"/>
              <w:rPr>
                <w:color w:val="000000"/>
                <w:sz w:val="20"/>
              </w:rPr>
            </w:pPr>
            <w:r>
              <w:rPr>
                <w:color w:val="000000"/>
                <w:sz w:val="20"/>
              </w:rPr>
              <w:t xml:space="preserve">• </w:t>
            </w:r>
            <w:r>
              <w:rPr>
                <w:color w:val="000000"/>
                <w:sz w:val="20"/>
              </w:rPr>
              <w:tab/>
              <w:t>CAIS EPP – Статистика:</w:t>
            </w:r>
          </w:p>
          <w:p w14:paraId="7E1B9279" w14:textId="77777777" w:rsidR="00A77B3E" w:rsidRDefault="00AD19A4">
            <w:pPr>
              <w:spacing w:before="100"/>
              <w:rPr>
                <w:color w:val="000000"/>
                <w:sz w:val="20"/>
              </w:rPr>
            </w:pPr>
            <w:r>
              <w:rPr>
                <w:color w:val="000000"/>
                <w:sz w:val="20"/>
              </w:rPr>
              <w:t>https://app.eop.bg/today/reporting/statistics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F2D5D" w14:textId="77777777" w:rsidR="00A77B3E" w:rsidRDefault="00AD19A4">
            <w:pPr>
              <w:spacing w:before="100"/>
              <w:rPr>
                <w:color w:val="000000"/>
                <w:sz w:val="20"/>
              </w:rPr>
            </w:pPr>
            <w:r>
              <w:rPr>
                <w:color w:val="000000"/>
                <w:sz w:val="20"/>
              </w:rPr>
              <w:t>Системата се състои от 32 модула, част от които са задължителни за използване от възложителите: Те включват: електронна регистрация, електронно уведомление, електронен подател, електронен достъп, еЕДОП, обмен на информация, електронно подаване, електронно отваряне, динамична система за покупки, система за квалификация, мини конкурс по рамково споразумение, електронен каталог, електронно фактуриране и др.</w:t>
            </w:r>
          </w:p>
          <w:p w14:paraId="610BF092" w14:textId="77777777" w:rsidR="00A77B3E" w:rsidRDefault="00AD19A4">
            <w:pPr>
              <w:spacing w:before="100"/>
              <w:rPr>
                <w:color w:val="000000"/>
                <w:sz w:val="20"/>
              </w:rPr>
            </w:pPr>
            <w:r>
              <w:rPr>
                <w:color w:val="000000"/>
                <w:sz w:val="20"/>
              </w:rPr>
              <w:t xml:space="preserve">Проведени са обучения за работа с CAIS EPP, насочени към различни целеви групи. Осигурено е и предоставяне на практическа помощ на </w:t>
            </w:r>
            <w:r>
              <w:rPr>
                <w:color w:val="000000"/>
                <w:sz w:val="20"/>
              </w:rPr>
              <w:lastRenderedPageBreak/>
              <w:t>потребителите на системата, включително чрез Центъра за обслужване на потребители, създаден през 2019 г.</w:t>
            </w:r>
          </w:p>
        </w:tc>
      </w:tr>
      <w:tr w:rsidR="00FE6FD5" w14:paraId="0361E67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FA48A"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A81993"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E9F544" w14:textId="77777777" w:rsidR="00A77B3E" w:rsidRDefault="00AD19A4">
            <w:pPr>
              <w:spacing w:before="100"/>
              <w:rPr>
                <w:color w:val="000000"/>
                <w:sz w:val="20"/>
              </w:rPr>
            </w:pPr>
            <w:r>
              <w:rPr>
                <w:color w:val="000000"/>
                <w:sz w:val="20"/>
              </w:rPr>
              <w:t>4. Организация за предоставяне на резултатите от анализа на обществеността в съответствие с член 83 (3) от Директива 2014/24/ЕС и член 99 (3)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731BE0"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0148FA" w14:textId="77777777" w:rsidR="00A77B3E" w:rsidRDefault="00A77B3E">
            <w:pPr>
              <w:spacing w:before="100"/>
              <w:rPr>
                <w:color w:val="000000"/>
                <w:sz w:val="20"/>
              </w:rPr>
            </w:pPr>
          </w:p>
          <w:p w14:paraId="7459682C" w14:textId="77777777" w:rsidR="00A77B3E" w:rsidRDefault="00AD19A4">
            <w:pPr>
              <w:spacing w:before="100"/>
              <w:rPr>
                <w:color w:val="000000"/>
                <w:sz w:val="20"/>
              </w:rPr>
            </w:pPr>
            <w:r>
              <w:rPr>
                <w:color w:val="000000"/>
                <w:sz w:val="20"/>
              </w:rPr>
              <w:t>Регистър на обществените поръчки, проведени преди задължителното използване на CAIS EPP:</w:t>
            </w:r>
          </w:p>
          <w:p w14:paraId="24FE5985" w14:textId="77777777" w:rsidR="00A77B3E" w:rsidRDefault="00AD19A4">
            <w:pPr>
              <w:spacing w:before="100"/>
              <w:rPr>
                <w:color w:val="000000"/>
                <w:sz w:val="20"/>
              </w:rPr>
            </w:pPr>
            <w:r>
              <w:rPr>
                <w:color w:val="000000"/>
                <w:sz w:val="20"/>
              </w:rPr>
              <w:t>https://www.aop.bg</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D0EC5" w14:textId="77777777" w:rsidR="00A77B3E" w:rsidRDefault="00A77B3E">
            <w:pPr>
              <w:spacing w:before="100"/>
              <w:rPr>
                <w:color w:val="000000"/>
                <w:sz w:val="20"/>
              </w:rPr>
            </w:pPr>
          </w:p>
          <w:p w14:paraId="0BEC720A" w14:textId="77777777" w:rsidR="00A77B3E" w:rsidRDefault="00AD19A4">
            <w:pPr>
              <w:spacing w:before="100"/>
              <w:rPr>
                <w:color w:val="000000"/>
                <w:sz w:val="20"/>
              </w:rPr>
            </w:pPr>
            <w:r>
              <w:rPr>
                <w:color w:val="000000"/>
                <w:sz w:val="20"/>
              </w:rPr>
              <w:t>Вижте информацията за критерии 1-4.</w:t>
            </w:r>
          </w:p>
          <w:p w14:paraId="08DF8E47" w14:textId="77777777" w:rsidR="00A77B3E" w:rsidRDefault="00AD19A4">
            <w:pPr>
              <w:spacing w:before="100"/>
              <w:rPr>
                <w:color w:val="000000"/>
                <w:sz w:val="20"/>
              </w:rPr>
            </w:pPr>
            <w:r>
              <w:rPr>
                <w:color w:val="000000"/>
                <w:sz w:val="20"/>
              </w:rPr>
              <w:t>В допълнение, чл. 229 (2), т. 14 и 24 и (9) от Закона за опашките и чл. 114 (5) от Правилника за прилагане на Закона за опашките.</w:t>
            </w:r>
          </w:p>
        </w:tc>
      </w:tr>
      <w:tr w:rsidR="00FE6FD5" w14:paraId="6C9E1A0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2AD8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5724FF"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34380" w14:textId="77777777" w:rsidR="00A77B3E" w:rsidRDefault="00AD19A4">
            <w:pPr>
              <w:spacing w:before="100"/>
              <w:rPr>
                <w:color w:val="000000"/>
                <w:sz w:val="20"/>
              </w:rPr>
            </w:pPr>
            <w:r>
              <w:rPr>
                <w:color w:val="000000"/>
                <w:sz w:val="20"/>
              </w:rPr>
              <w:t>5. Мерки, гарантиращи, че цялата информация, сочеща към предполагаеми ситуации на тръжни манипулации, се съобщава на компетентните национални органи в съответствие с член 83, параграф 2 от Директива 2014/24/ЕС и член 99, параграф 2 от Директива 2014/25/ЕС.</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B13887"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D26144" w14:textId="77777777" w:rsidR="00A77B3E" w:rsidRDefault="00AD19A4">
            <w:pPr>
              <w:spacing w:before="100"/>
              <w:rPr>
                <w:color w:val="000000"/>
                <w:sz w:val="20"/>
              </w:rPr>
            </w:pPr>
            <w:r>
              <w:rPr>
                <w:color w:val="000000"/>
                <w:sz w:val="20"/>
              </w:rPr>
              <w:t>Закон за обществените поръчки (ЗОП) – чл. 106, (2) и (7),</w:t>
            </w:r>
          </w:p>
          <w:p w14:paraId="7FEA5FD1" w14:textId="77777777" w:rsidR="00A77B3E" w:rsidRDefault="00AD19A4">
            <w:pPr>
              <w:spacing w:before="100"/>
              <w:rPr>
                <w:color w:val="000000"/>
                <w:sz w:val="20"/>
              </w:rPr>
            </w:pPr>
            <w:r>
              <w:rPr>
                <w:color w:val="000000"/>
                <w:sz w:val="20"/>
              </w:rPr>
              <w:t>Правилник за прилагане на Закона за обществените поръчки (ПЗОП) – Приложение 3 към чл. 114, ал. 2 (нов ДВ, бр. 29/2020 г., в сила от 1 април 2020 г.), част Б, т. 17</w:t>
            </w:r>
          </w:p>
          <w:p w14:paraId="5D6AC757" w14:textId="77777777" w:rsidR="00A77B3E" w:rsidRDefault="00AD19A4">
            <w:pPr>
              <w:spacing w:before="100"/>
              <w:rPr>
                <w:color w:val="000000"/>
                <w:sz w:val="20"/>
              </w:rPr>
            </w:pPr>
            <w:r>
              <w:rPr>
                <w:color w:val="000000"/>
                <w:sz w:val="20"/>
              </w:rPr>
              <w:t>Закон за защита на конкуренцията</w:t>
            </w:r>
          </w:p>
          <w:p w14:paraId="646E3C87" w14:textId="77777777" w:rsidR="00A77B3E" w:rsidRDefault="00AD19A4">
            <w:pPr>
              <w:spacing w:before="100"/>
              <w:rPr>
                <w:color w:val="000000"/>
                <w:sz w:val="20"/>
              </w:rPr>
            </w:pPr>
            <w:r>
              <w:rPr>
                <w:color w:val="000000"/>
                <w:sz w:val="20"/>
              </w:rPr>
              <w:t>https://www.cpc.bg/General/Legislation.aspx</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504C5" w14:textId="77777777" w:rsidR="00A77B3E" w:rsidRDefault="00AD19A4">
            <w:pPr>
              <w:spacing w:before="100"/>
              <w:rPr>
                <w:color w:val="000000"/>
                <w:sz w:val="20"/>
              </w:rPr>
            </w:pPr>
            <w:r>
              <w:rPr>
                <w:color w:val="000000"/>
                <w:sz w:val="20"/>
              </w:rPr>
              <w:t>Вижте чл. 106 (2) и (7) от ЗОП и Приложение 3 към чл. 114 (2) от Правилника за прилагане на ЗОП (нов – ДВ, бр. 29 от 2020 г., в сила от 01.04.2020 г.), част Б, стр. 17.</w:t>
            </w:r>
          </w:p>
          <w:p w14:paraId="6564F1D3" w14:textId="77777777" w:rsidR="00A77B3E" w:rsidRDefault="00AD19A4">
            <w:pPr>
              <w:spacing w:before="100"/>
              <w:rPr>
                <w:color w:val="000000"/>
                <w:sz w:val="20"/>
              </w:rPr>
            </w:pPr>
            <w:r>
              <w:rPr>
                <w:color w:val="000000"/>
                <w:sz w:val="20"/>
              </w:rPr>
              <w:t>Чл. 15 и други относими текстове от Закона за защита на конкуренцията.</w:t>
            </w:r>
          </w:p>
        </w:tc>
      </w:tr>
      <w:tr w:rsidR="00FE6FD5" w14:paraId="7723A17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592104" w14:textId="77777777" w:rsidR="00A77B3E" w:rsidRDefault="00AD19A4">
            <w:pPr>
              <w:spacing w:before="100"/>
              <w:rPr>
                <w:color w:val="000000"/>
                <w:sz w:val="20"/>
              </w:rPr>
            </w:pPr>
            <w:r>
              <w:rPr>
                <w:color w:val="000000"/>
                <w:sz w:val="20"/>
              </w:rPr>
              <w:t>3. Ефективно прилагане и изпълнение на Хартата на основните права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5438D8"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159E9E" w14:textId="77777777" w:rsidR="00A77B3E" w:rsidRDefault="00AD19A4">
            <w:pPr>
              <w:spacing w:before="100"/>
              <w:rPr>
                <w:color w:val="000000"/>
                <w:sz w:val="20"/>
              </w:rPr>
            </w:pPr>
            <w:r>
              <w:rPr>
                <w:color w:val="000000"/>
                <w:sz w:val="20"/>
              </w:rPr>
              <w:t>Въведени са ефективни механизми за осигуряване на спазването на Хартата на основните права на Европейския съюз („Хартата“), които включват:</w:t>
            </w:r>
          </w:p>
          <w:p w14:paraId="3872FFAC" w14:textId="77777777" w:rsidR="00A77B3E" w:rsidRDefault="00AD19A4">
            <w:pPr>
              <w:spacing w:before="100"/>
              <w:rPr>
                <w:color w:val="000000"/>
                <w:sz w:val="20"/>
              </w:rPr>
            </w:pPr>
            <w:r>
              <w:rPr>
                <w:color w:val="000000"/>
                <w:sz w:val="20"/>
              </w:rPr>
              <w:t>1. Мерки за осигуряване на съответствието на програмите, подкрепяни от фондовете, и тяхното изпълнение със съответните разпоредби на Хартата.</w:t>
            </w:r>
          </w:p>
          <w:p w14:paraId="2EC72F05"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639BE0"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5F97AC" w14:textId="77777777" w:rsidR="00A77B3E" w:rsidRDefault="00AD19A4">
            <w:pPr>
              <w:spacing w:before="100"/>
              <w:rPr>
                <w:color w:val="000000"/>
                <w:sz w:val="20"/>
              </w:rPr>
            </w:pPr>
            <w:r>
              <w:rPr>
                <w:color w:val="000000"/>
                <w:sz w:val="20"/>
              </w:rPr>
              <w:t xml:space="preserve">Насоки за прилагане на Хартата на основните права на ЕС от управляващите, контролиращите и одитните органи по програмите, финансирани от ЕС, съфинансирани по ЕФРР, ЕФР+, КФ, ФТФ, ЕЗФРСР, ФУМИ, ИСФ, </w:t>
            </w:r>
            <w:r w:rsidR="004B3C80">
              <w:rPr>
                <w:color w:val="000000"/>
                <w:sz w:val="20"/>
              </w:rPr>
              <w:t>ИГУВП</w:t>
            </w:r>
            <w:r>
              <w:rPr>
                <w:color w:val="000000"/>
                <w:sz w:val="20"/>
              </w:rPr>
              <w:t xml:space="preserve">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504A7D45" w14:textId="77777777" w:rsidR="00A77B3E" w:rsidRDefault="00AD19A4">
            <w:pPr>
              <w:spacing w:before="100"/>
              <w:rPr>
                <w:color w:val="000000"/>
                <w:sz w:val="20"/>
              </w:rPr>
            </w:pPr>
            <w:r>
              <w:rPr>
                <w:color w:val="000000"/>
                <w:sz w:val="20"/>
              </w:rPr>
              <w:t>https://www.eufunds.bg/bg/node/8223</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B4AD76" w14:textId="77777777" w:rsidR="00A77B3E" w:rsidRDefault="00AD19A4">
            <w:pPr>
              <w:spacing w:before="100"/>
              <w:rPr>
                <w:color w:val="000000"/>
                <w:sz w:val="20"/>
              </w:rPr>
            </w:pPr>
            <w:r>
              <w:rPr>
                <w:color w:val="000000"/>
                <w:sz w:val="20"/>
              </w:rPr>
              <w:t xml:space="preserve">Приети са национални насоки за прилагане на Хартата. Целта е да се подпомогнат управляващите, контролиращите и одитиращите органи по програмите на ЕС, финансирани по ЕФРР, ЕФР+, КФ, ФТФ, ЕЗФРСР, ФУМИ, ФВС, </w:t>
            </w:r>
            <w:r w:rsidR="004B3C80">
              <w:rPr>
                <w:color w:val="000000"/>
                <w:sz w:val="20"/>
              </w:rPr>
              <w:t>ИГУ</w:t>
            </w:r>
            <w:r>
              <w:rPr>
                <w:color w:val="000000"/>
                <w:sz w:val="20"/>
              </w:rPr>
              <w:t>В, при практическото прилагане и спазване на Хартата. Националните органи следва да разработят и включат в работните си процедури правила за проверка на правата от Хартата и да докладват на Комитета за наблюдение (КМ) случаите на неспазване и жалбите в контекста на усвояването на средствата.</w:t>
            </w:r>
          </w:p>
          <w:p w14:paraId="326F6933" w14:textId="77777777" w:rsidR="00A77B3E" w:rsidRDefault="00AD19A4">
            <w:pPr>
              <w:spacing w:before="100"/>
              <w:rPr>
                <w:color w:val="000000"/>
                <w:sz w:val="20"/>
              </w:rPr>
            </w:pPr>
            <w:r>
              <w:rPr>
                <w:color w:val="000000"/>
                <w:sz w:val="20"/>
              </w:rPr>
              <w:lastRenderedPageBreak/>
              <w:t>Насоките включват Приложение 1, което очертава 3-те етапа на усвояване на средствата, отговорните национални органи, както и приложимия набор от права по Хартата, които трябва да бъдат гарантирани; Приложение 2, чрез което се извършва проверка за потенциално нарушение на основните права по Хартата при изпълнение на действията и/или подготовката на документите, и Приложение 3, в което са посочени компетентните органи на национално ниво за основните права на ЕС. Изискванията на Насоките и техните приложения ще бъдат включени в описанието на системите за управление и контрол на програмата.</w:t>
            </w:r>
          </w:p>
        </w:tc>
      </w:tr>
      <w:tr w:rsidR="00FE6FD5" w14:paraId="50ECAB4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F7420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ADE07D"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89E73D" w14:textId="77777777" w:rsidR="00A77B3E" w:rsidRDefault="00AD19A4">
            <w:pPr>
              <w:spacing w:before="100"/>
              <w:rPr>
                <w:color w:val="000000"/>
                <w:sz w:val="20"/>
              </w:rPr>
            </w:pPr>
            <w:r>
              <w:rPr>
                <w:color w:val="000000"/>
                <w:sz w:val="20"/>
              </w:rPr>
              <w:t>2. Докладване пред мониторинговия комитет относно случаи на несъответствие на операции, подкрепяни от фондовете, с Хартата и жалби относно Хартата, подадени в съответствие с договореностите, сключени съгласно член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78E21A"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870292" w14:textId="77777777" w:rsidR="00A77B3E" w:rsidRDefault="00AD19A4">
            <w:pPr>
              <w:spacing w:before="100"/>
              <w:rPr>
                <w:color w:val="000000"/>
                <w:sz w:val="20"/>
              </w:rPr>
            </w:pPr>
            <w:r>
              <w:rPr>
                <w:color w:val="000000"/>
                <w:sz w:val="20"/>
              </w:rPr>
              <w:t>Проект на постановление на Министерския съвет (МС) за създаване на УК на Споразумението за партньорство (СП) на Република България (Р България) и програмите, финансирани от ЕМФС за програмния период 2021–2027 г.</w:t>
            </w:r>
          </w:p>
          <w:p w14:paraId="0C7A7016" w14:textId="77777777" w:rsidR="00A77B3E" w:rsidRDefault="00AD19A4">
            <w:pPr>
              <w:spacing w:before="100"/>
              <w:rPr>
                <w:color w:val="000000"/>
                <w:sz w:val="20"/>
              </w:rPr>
            </w:pPr>
            <w:r>
              <w:rPr>
                <w:color w:val="000000"/>
                <w:sz w:val="20"/>
              </w:rPr>
              <w:t xml:space="preserve">Насоки за прилагане на Хартата от управляващите, контролиращите и одитиращите органи по програмите, финансирани от ЕС - ЕФРР, ЕФР+, КФ, ФТФ, ЕЗФРСР, ФУМИ, ИСФ, </w:t>
            </w:r>
            <w:r w:rsidR="004B3C80">
              <w:rPr>
                <w:color w:val="000000"/>
                <w:sz w:val="20"/>
              </w:rPr>
              <w:t>ИГУВП</w:t>
            </w:r>
            <w:r>
              <w:rPr>
                <w:color w:val="000000"/>
                <w:sz w:val="20"/>
              </w:rPr>
              <w:t xml:space="preserve"> за програмния период 2021–2027 г., приети със Заповед на заместник министър-председателя, отговарящ за европейските фондове, и министър на финансите № В-105/19.07.2022 г.</w:t>
            </w:r>
          </w:p>
          <w:p w14:paraId="502AB5B0" w14:textId="77777777" w:rsidR="00A77B3E" w:rsidRDefault="00AD19A4">
            <w:pPr>
              <w:spacing w:before="100"/>
              <w:rPr>
                <w:color w:val="000000"/>
                <w:sz w:val="20"/>
              </w:rPr>
            </w:pPr>
            <w:r>
              <w:rPr>
                <w:color w:val="000000"/>
                <w:sz w:val="20"/>
              </w:rPr>
              <w:t>https://www.eufunds.bg/bg/node/8223</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88F589" w14:textId="77777777" w:rsidR="00A77B3E" w:rsidRDefault="00AD19A4">
            <w:pPr>
              <w:spacing w:before="100"/>
              <w:rPr>
                <w:color w:val="000000"/>
                <w:sz w:val="20"/>
              </w:rPr>
            </w:pPr>
            <w:r>
              <w:rPr>
                <w:color w:val="000000"/>
                <w:sz w:val="20"/>
              </w:rPr>
              <w:t>Докладването на жалби по Хартата и на случаи на несъответствие на операции, подкрепяни от фондовете, с Хартата до КМ ще бъде регламентирано с постановление на МС за създаване на КМ на ПА на България и програмите, финансирани от ЕМФС за програмния период 2021-2027 г. Към 20.07.2022 г. проектът на постановление е във финален етап и предстои започване на обществени обсъждания и процедури за междуведомствено съгласуване.</w:t>
            </w:r>
          </w:p>
          <w:p w14:paraId="4E403F04" w14:textId="77777777" w:rsidR="00A77B3E" w:rsidRDefault="00AD19A4">
            <w:pPr>
              <w:spacing w:before="100"/>
              <w:rPr>
                <w:color w:val="000000"/>
                <w:sz w:val="20"/>
              </w:rPr>
            </w:pPr>
            <w:r>
              <w:rPr>
                <w:color w:val="000000"/>
                <w:sz w:val="20"/>
              </w:rPr>
              <w:t>Установените случаи на неспазване на Хартата в контекста на средствата от ЕС ще бъдат докладвани от съответния УО, който следва да поддържа актуална систематизирана информация по случаите.</w:t>
            </w:r>
          </w:p>
          <w:p w14:paraId="11BE69C7" w14:textId="77777777" w:rsidR="00A77B3E" w:rsidRDefault="00AD19A4">
            <w:pPr>
              <w:spacing w:before="100"/>
              <w:rPr>
                <w:color w:val="000000"/>
                <w:sz w:val="20"/>
              </w:rPr>
            </w:pPr>
            <w:r>
              <w:rPr>
                <w:color w:val="000000"/>
                <w:sz w:val="20"/>
              </w:rPr>
              <w:t xml:space="preserve">Жалбите, получени от граждани или други външни източници/заинтересовани страни </w:t>
            </w:r>
            <w:r>
              <w:rPr>
                <w:color w:val="000000"/>
                <w:sz w:val="20"/>
              </w:rPr>
              <w:lastRenderedPageBreak/>
              <w:t>относно нарушения на правата по Хартата в процеса на изпълнение на програмите, ще бъдат разглеждани от съответния компетентен орган на национално ниво и ще бъдат докладвани на Управителния съвет (УО) въз основа на информацията, предоставена на компетентните органи, разгледали жалбите, в съответствие с Приложение 3. Компетентните органи ще поддържат информация за получените жалби и резултатите от тяхното разглеждане в съответствие със своите вътрешни правила и процедури.</w:t>
            </w:r>
          </w:p>
        </w:tc>
      </w:tr>
      <w:tr w:rsidR="00FE6FD5" w14:paraId="7D6F1F3B"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43856" w14:textId="77777777" w:rsidR="00A77B3E" w:rsidRDefault="00AD19A4">
            <w:pPr>
              <w:spacing w:before="100"/>
              <w:rPr>
                <w:color w:val="000000"/>
                <w:sz w:val="20"/>
              </w:rPr>
            </w:pPr>
            <w:r>
              <w:rPr>
                <w:color w:val="000000"/>
                <w:sz w:val="20"/>
              </w:rPr>
              <w:lastRenderedPageBreak/>
              <w:t>4. Прилагане и изпълнение на Конвенцията на Организацията на обединените нации за правата на хората с увреждания (UNCRPD) в съответствие с Решение 2010/48/ЕО на Съвета</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A1F7C8"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ABAADE" w14:textId="77777777" w:rsidR="00A77B3E" w:rsidRDefault="00AD19A4">
            <w:pPr>
              <w:spacing w:before="100"/>
              <w:rPr>
                <w:color w:val="000000"/>
                <w:sz w:val="20"/>
              </w:rPr>
            </w:pPr>
            <w:r>
              <w:rPr>
                <w:color w:val="000000"/>
                <w:sz w:val="20"/>
              </w:rPr>
              <w:t>Въведена е национална рамка за осигуряване на прилагането на Конвенцията на ООН за правата на хората с увреждания, която включва:</w:t>
            </w:r>
          </w:p>
          <w:p w14:paraId="4BC6E01D" w14:textId="77777777" w:rsidR="00A77B3E" w:rsidRDefault="00AD19A4">
            <w:pPr>
              <w:spacing w:before="100"/>
              <w:rPr>
                <w:color w:val="000000"/>
                <w:sz w:val="20"/>
              </w:rPr>
            </w:pPr>
            <w:r>
              <w:rPr>
                <w:color w:val="000000"/>
                <w:sz w:val="20"/>
              </w:rPr>
              <w:t>1. Цели с измерими цели, събиране на данни и механизми за мониторинг.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08DBB"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9A0690" w14:textId="77777777" w:rsidR="00A77B3E" w:rsidRDefault="00AD19A4">
            <w:pPr>
              <w:spacing w:before="100"/>
              <w:rPr>
                <w:color w:val="000000"/>
                <w:sz w:val="20"/>
              </w:rPr>
            </w:pPr>
            <w:r>
              <w:rPr>
                <w:color w:val="000000"/>
                <w:sz w:val="20"/>
              </w:rPr>
              <w:t>Закон за хората с увреждания и Правилникът за неговото прилагане:</w:t>
            </w:r>
          </w:p>
          <w:p w14:paraId="02FAB508" w14:textId="77777777" w:rsidR="00A77B3E" w:rsidRDefault="00AD19A4">
            <w:pPr>
              <w:spacing w:before="100"/>
              <w:rPr>
                <w:color w:val="000000"/>
                <w:sz w:val="20"/>
              </w:rPr>
            </w:pPr>
            <w:r>
              <w:rPr>
                <w:color w:val="000000"/>
                <w:sz w:val="20"/>
              </w:rPr>
              <w:t>https://www.mlsp.government.bg/normativni-aktove</w:t>
            </w:r>
          </w:p>
          <w:p w14:paraId="66FFAAFA" w14:textId="77777777" w:rsidR="00A77B3E" w:rsidRDefault="00AD19A4">
            <w:pPr>
              <w:spacing w:before="100"/>
              <w:rPr>
                <w:color w:val="000000"/>
                <w:sz w:val="20"/>
              </w:rPr>
            </w:pPr>
            <w:r>
              <w:rPr>
                <w:color w:val="000000"/>
                <w:sz w:val="20"/>
              </w:rPr>
              <w:t>Информация за Националния съвет за хората с увреждания и всички документи за неговото функциониране, както и за Програмата за обществено развитие и нейното прилагане:</w:t>
            </w:r>
          </w:p>
          <w:p w14:paraId="794F2611" w14:textId="77777777" w:rsidR="00A77B3E" w:rsidRDefault="00AD19A4">
            <w:pPr>
              <w:spacing w:before="100"/>
              <w:rPr>
                <w:color w:val="000000"/>
                <w:sz w:val="20"/>
              </w:rPr>
            </w:pPr>
            <w:r>
              <w:rPr>
                <w:color w:val="000000"/>
                <w:sz w:val="20"/>
              </w:rPr>
              <w:t>https://saveti.government.bg/web/cc_11/1</w:t>
            </w:r>
          </w:p>
          <w:p w14:paraId="6C744492" w14:textId="77777777" w:rsidR="00A77B3E" w:rsidRDefault="00AD19A4">
            <w:pPr>
              <w:spacing w:before="100"/>
              <w:rPr>
                <w:color w:val="000000"/>
                <w:sz w:val="20"/>
              </w:rPr>
            </w:pPr>
            <w:r>
              <w:rPr>
                <w:color w:val="000000"/>
                <w:sz w:val="20"/>
              </w:rPr>
              <w:t>Информация за Комитета за наблюдение можете да намерите тук</w:t>
            </w:r>
          </w:p>
          <w:p w14:paraId="4377928B" w14:textId="77777777" w:rsidR="00A77B3E" w:rsidRDefault="00AD19A4">
            <w:pPr>
              <w:spacing w:before="100"/>
              <w:rPr>
                <w:color w:val="000000"/>
                <w:sz w:val="20"/>
              </w:rPr>
            </w:pPr>
            <w:r>
              <w:rPr>
                <w:color w:val="000000"/>
                <w:sz w:val="20"/>
              </w:rPr>
              <w:t>https://www.ombudsman.bg/pictures/Протокол%201.pdf</w:t>
            </w:r>
          </w:p>
          <w:p w14:paraId="5D3DC1ED" w14:textId="77777777" w:rsidR="00A77B3E" w:rsidRDefault="00AD19A4">
            <w:pPr>
              <w:spacing w:before="100"/>
              <w:rPr>
                <w:color w:val="000000"/>
                <w:sz w:val="20"/>
              </w:rPr>
            </w:pPr>
            <w:r>
              <w:rPr>
                <w:color w:val="000000"/>
                <w:sz w:val="20"/>
              </w:rPr>
              <w:t>https://mlsp.government.bg/uploads/38/khu/rms-6-11-2019-ap-2019-2020.pdf</w:t>
            </w:r>
          </w:p>
          <w:p w14:paraId="25457C5D" w14:textId="77777777" w:rsidR="00A77B3E" w:rsidRDefault="00AD19A4">
            <w:pPr>
              <w:spacing w:before="100"/>
              <w:rPr>
                <w:color w:val="000000"/>
                <w:sz w:val="20"/>
              </w:rPr>
            </w:pPr>
            <w:r>
              <w:rPr>
                <w:color w:val="000000"/>
                <w:sz w:val="20"/>
              </w:rPr>
              <w:t>https://mlsp.government.bg/strategicheski-dokumenti</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0B866" w14:textId="77777777" w:rsidR="00A77B3E" w:rsidRDefault="00AD19A4">
            <w:pPr>
              <w:spacing w:before="100"/>
              <w:rPr>
                <w:color w:val="000000"/>
                <w:sz w:val="20"/>
              </w:rPr>
            </w:pPr>
            <w:r>
              <w:rPr>
                <w:color w:val="000000"/>
                <w:sz w:val="20"/>
              </w:rPr>
              <w:t xml:space="preserve">Националната рамка, която гарантира прилагането на Конвенцията, включва PDA и ZRIPD, Правилник за дейността и организацията на работата на Националния съвет за хората с увреждания. Съветът е консултативен орган към МС с представители на правителството, национално представителни организации на и за хората с увреждания, национално представителни организации на работниците и служителите, както и представители на национално ниво на организациите на работодателите и Националното сдружение на общините в Република България. Създадена е информационна система за хората с увреждания, съдържаща данни за здраве, квалификация, образование, възможности за социално включване, професионална реализация, социално-икономически статус, демография и др. Данните се използват за наблюдение и анализ на социално-икономическия статус на хората с увреждания, за </w:t>
            </w:r>
            <w:r>
              <w:rPr>
                <w:color w:val="000000"/>
                <w:sz w:val="20"/>
              </w:rPr>
              <w:lastRenderedPageBreak/>
              <w:t>планиране на дейности за разработване на секторни политики. Наличен е профил на услугата, позволяващ индивидуален достъп до информация за допустимите услуги според специфичното увреждане на лицето. Приети са Национална стратегия за хората с увреждания 2021-2030 г. и план за действие по стратегията.</w:t>
            </w:r>
          </w:p>
        </w:tc>
      </w:tr>
      <w:tr w:rsidR="00FE6FD5" w14:paraId="0C38E28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0E1624"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438B8"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B0DC49" w14:textId="77777777" w:rsidR="00A77B3E" w:rsidRDefault="00AD19A4">
            <w:pPr>
              <w:spacing w:before="100"/>
              <w:rPr>
                <w:color w:val="000000"/>
                <w:sz w:val="20"/>
              </w:rPr>
            </w:pPr>
            <w:r>
              <w:rPr>
                <w:color w:val="000000"/>
                <w:sz w:val="20"/>
              </w:rPr>
              <w:t>2. Мерки за гарантиране, че политиката, законодателството и стандартите за достъпност са правилно отразени в подготовката и изпълнението на програмите.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FFB681"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978D5" w14:textId="77777777" w:rsidR="00A77B3E" w:rsidRDefault="00AD19A4">
            <w:pPr>
              <w:spacing w:before="100"/>
              <w:rPr>
                <w:color w:val="000000"/>
                <w:sz w:val="20"/>
              </w:rPr>
            </w:pPr>
            <w:r>
              <w:rPr>
                <w:color w:val="000000"/>
                <w:sz w:val="20"/>
              </w:rPr>
              <w:t xml:space="preserve">Насоки за осигуряване на спазването на Конвенцията на ООН за правата на хората с увреждания от страна на управляващите, контролиращите и одитните органи по програмите, финансирани от ЕС, съфинансирани по ЕФРР, ЕФР+, КФ, ФТФ, ЕЗФРСР, ФУМИ, ИСФ, </w:t>
            </w:r>
            <w:r w:rsidR="004B3C80">
              <w:rPr>
                <w:color w:val="000000"/>
                <w:sz w:val="20"/>
              </w:rPr>
              <w:t>ИГУВП</w:t>
            </w:r>
            <w:r>
              <w:rPr>
                <w:color w:val="000000"/>
                <w:sz w:val="20"/>
              </w:rPr>
              <w:t xml:space="preserve"> за програмния период 2021–2027 г., приети със Заповед на заместник министър-председателя, отговарящ за европейските фондове, и министър на финансите № В-105/19.07.2022 г.</w:t>
            </w:r>
          </w:p>
          <w:p w14:paraId="216D7AE4" w14:textId="77777777" w:rsidR="00A77B3E" w:rsidRDefault="00AD19A4">
            <w:pPr>
              <w:spacing w:before="100"/>
              <w:rPr>
                <w:color w:val="000000"/>
                <w:sz w:val="20"/>
              </w:rPr>
            </w:pPr>
            <w:r>
              <w:rPr>
                <w:color w:val="000000"/>
                <w:sz w:val="20"/>
              </w:rPr>
              <w:t>https://www.eufunds.bg/bg/node/8224</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04BCF" w14:textId="77777777" w:rsidR="00A77B3E" w:rsidRDefault="00AD19A4">
            <w:pPr>
              <w:spacing w:before="100"/>
              <w:rPr>
                <w:color w:val="000000"/>
                <w:sz w:val="20"/>
              </w:rPr>
            </w:pPr>
            <w:r>
              <w:rPr>
                <w:color w:val="000000"/>
                <w:sz w:val="20"/>
              </w:rPr>
              <w:t>Одобрени са Национални насоки за осигуряване на спазването на Конвенцията по време на изпълнението на програмите. Под формата на приложение към насоките са разработени контролни списъци за правата по Конвенцията на ООН за правата на хората с увреждания, приложими за различните етапи и документи в рамките на процеса на програмиране, управление, мониторинг и контрол на средствата, както и за проверка на потенциални нарушения на Конвенцията на ООН за правата на хората с увреждания, които да се прилагат от властите в системата за управление и контрол. Изискванията на Насоките и техните приложения ще бъдат включени в описанието на системите за управление и контрол на програмата.</w:t>
            </w:r>
          </w:p>
        </w:tc>
      </w:tr>
      <w:tr w:rsidR="00FE6FD5" w14:paraId="1BFEC6E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57DDF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C2532" w14:textId="77777777"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BC15D" w14:textId="77777777" w:rsidR="00A77B3E" w:rsidRDefault="00AD19A4">
            <w:pPr>
              <w:spacing w:before="100"/>
              <w:rPr>
                <w:color w:val="000000"/>
                <w:sz w:val="20"/>
              </w:rPr>
            </w:pPr>
            <w:r>
              <w:rPr>
                <w:color w:val="000000"/>
                <w:sz w:val="20"/>
              </w:rPr>
              <w:t>3. Докладване до мониторинговия комитет относно случаи на несъответствие на операции, подкрепяни от фондовете, с КПХУ на ООН и жалби относно КПХУ на ООН, подадени в съответствие с договореностите, сключени съгласно член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5CA3A" w14:textId="77777777" w:rsidR="00A77B3E" w:rsidRDefault="00AD19A4">
            <w:pPr>
              <w:spacing w:before="100"/>
              <w:jc w:val="center"/>
              <w:rPr>
                <w:color w:val="000000"/>
                <w:sz w:val="20"/>
              </w:rPr>
            </w:pPr>
            <w:r>
              <w:rPr>
                <w:color w:val="000000"/>
                <w:sz w:val="20"/>
              </w:rPr>
              <w:t>Да</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FBEAD0" w14:textId="77777777" w:rsidR="00A77B3E" w:rsidRDefault="00AD19A4">
            <w:pPr>
              <w:spacing w:before="100"/>
              <w:rPr>
                <w:color w:val="000000"/>
                <w:sz w:val="20"/>
              </w:rPr>
            </w:pPr>
            <w:r>
              <w:rPr>
                <w:color w:val="000000"/>
                <w:sz w:val="20"/>
              </w:rPr>
              <w:t>Проект на постановление на МС за създаване на УК на ПА на България и програмите, финансирани от ЕМФС за програмния период 2021–2027 г.</w:t>
            </w:r>
          </w:p>
          <w:p w14:paraId="786BFBEF" w14:textId="77777777" w:rsidR="00A77B3E" w:rsidRDefault="00AD19A4">
            <w:pPr>
              <w:spacing w:before="100"/>
              <w:rPr>
                <w:color w:val="000000"/>
                <w:sz w:val="20"/>
              </w:rPr>
            </w:pPr>
            <w:r>
              <w:rPr>
                <w:color w:val="000000"/>
                <w:sz w:val="20"/>
              </w:rPr>
              <w:t xml:space="preserve">Насоки за осигуряване на спазването на Конвенцията на ООН за правата на хората с увреждания от страна на управляващите, контролиращите и </w:t>
            </w:r>
            <w:r>
              <w:rPr>
                <w:color w:val="000000"/>
                <w:sz w:val="20"/>
              </w:rPr>
              <w:lastRenderedPageBreak/>
              <w:t xml:space="preserve">одитните органи по програмите, финансирани от ЕС, съфинансирани по ЕФРР, ЕФР+, КФ, ФТФ, ЕЗФРСР, ФУМИ, ИСФ, </w:t>
            </w:r>
            <w:r w:rsidR="004B3C80">
              <w:rPr>
                <w:color w:val="000000"/>
                <w:sz w:val="20"/>
              </w:rPr>
              <w:t>ИГУВП</w:t>
            </w:r>
            <w:r>
              <w:rPr>
                <w:color w:val="000000"/>
                <w:sz w:val="20"/>
              </w:rPr>
              <w:t xml:space="preserve"> за програмния период 2021 – 2027 г., приети със Заповед на заместник министър-председателя, отговарящ за европейските фондове, и министър на финансите № В-105/19.07.2022 г.</w:t>
            </w:r>
          </w:p>
          <w:p w14:paraId="61ACFFE0" w14:textId="77777777" w:rsidR="00A77B3E" w:rsidRDefault="00AD19A4">
            <w:pPr>
              <w:spacing w:before="100"/>
              <w:rPr>
                <w:color w:val="000000"/>
                <w:sz w:val="20"/>
              </w:rPr>
            </w:pPr>
            <w:r>
              <w:rPr>
                <w:color w:val="000000"/>
                <w:sz w:val="20"/>
              </w:rPr>
              <w:t>https://www.eufunds.bg/bg/node/8224</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E11E8C" w14:textId="77777777" w:rsidR="00A77B3E" w:rsidRDefault="00AD19A4">
            <w:pPr>
              <w:spacing w:before="100"/>
              <w:rPr>
                <w:color w:val="000000"/>
                <w:sz w:val="20"/>
              </w:rPr>
            </w:pPr>
            <w:r>
              <w:rPr>
                <w:color w:val="000000"/>
                <w:sz w:val="20"/>
              </w:rPr>
              <w:lastRenderedPageBreak/>
              <w:t xml:space="preserve">Докладването на жалби по Конвенцията на ООН за правата на хората с увреждания и на случаи на несъответствие на операции, подкрепяни от фондовете, с Конвенцията на ООН за правата на хората с увреждания, до КМ ще бъде регламентирано с постановление на МС </w:t>
            </w:r>
            <w:r>
              <w:rPr>
                <w:color w:val="000000"/>
                <w:sz w:val="20"/>
              </w:rPr>
              <w:lastRenderedPageBreak/>
              <w:t>за създаване на КМ на ПА на България и програмите, финансирани от ЕМФС за програмния период 2021-2027 г. Към 20.07.2022 г. проектът на постановление е във финален етап и предстои започване на обществени обсъждания и процедури за междуведомствено съгласуване.</w:t>
            </w:r>
          </w:p>
          <w:p w14:paraId="0B5DC976" w14:textId="77777777" w:rsidR="00A77B3E" w:rsidRDefault="00AD19A4">
            <w:pPr>
              <w:spacing w:before="100"/>
              <w:rPr>
                <w:color w:val="000000"/>
                <w:sz w:val="20"/>
              </w:rPr>
            </w:pPr>
            <w:r>
              <w:rPr>
                <w:color w:val="000000"/>
                <w:sz w:val="20"/>
              </w:rPr>
              <w:t>Идентифицираните случаи на неспазване на Конвенцията на ООН за правата на хората с увреждания в контекста на средствата от ЕС ще бъдат докладвани от съответния Управляващ орган, който следва да поддържа актуална систематизирана информация за тези случаи.</w:t>
            </w:r>
          </w:p>
          <w:p w14:paraId="28067D39" w14:textId="77777777" w:rsidR="00A77B3E" w:rsidRDefault="00AD19A4">
            <w:pPr>
              <w:spacing w:before="100"/>
              <w:rPr>
                <w:color w:val="000000"/>
                <w:sz w:val="20"/>
              </w:rPr>
            </w:pPr>
            <w:r>
              <w:rPr>
                <w:color w:val="000000"/>
                <w:sz w:val="20"/>
              </w:rPr>
              <w:t>Жалбите, получени от граждани или други външни източници/заинтересовани страни относно нарушения на правата по Конвенцията на ООН за правата на хората с увреждания в процеса на изпълнение на програмите, ще бъдат разглеждани от съответните компетентни органи на национално ниво и ще бъдат докладвани на Управителния съвет (УО) въз основа на информацията, предоставена от компетентните органи, разгледали жалбите, в съответствие с Приложение 3. Компетентните органи ще поддържат информация за получените жалби и резултатите от тяхното разглеждане в съответствие със своите вътрешни правила и процедури.</w:t>
            </w:r>
          </w:p>
        </w:tc>
      </w:tr>
    </w:tbl>
    <w:p w14:paraId="1820710B" w14:textId="77777777" w:rsidR="00A77B3E" w:rsidRDefault="00AD19A4">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28" w:name="_Toc256000076"/>
      <w:r>
        <w:rPr>
          <w:rFonts w:ascii="Times New Roman" w:hAnsi="Times New Roman" w:cs="Times New Roman"/>
          <w:b w:val="0"/>
          <w:color w:val="000000"/>
          <w:sz w:val="24"/>
        </w:rPr>
        <w:lastRenderedPageBreak/>
        <w:t>5. Програмни органи</w:t>
      </w:r>
      <w:bookmarkEnd w:id="28"/>
    </w:p>
    <w:p w14:paraId="2F9D7B87" w14:textId="77777777" w:rsidR="00A77B3E" w:rsidRDefault="00AD19A4">
      <w:pPr>
        <w:spacing w:before="100"/>
        <w:rPr>
          <w:color w:val="000000"/>
        </w:rPr>
      </w:pPr>
      <w:r>
        <w:rPr>
          <w:color w:val="000000"/>
        </w:rPr>
        <w:t>Позоваване: член 22, параграф 3, буква к) и членове 71 и 84 от РОР</w:t>
      </w:r>
    </w:p>
    <w:p w14:paraId="4798BD4A" w14:textId="77777777" w:rsidR="00A77B3E" w:rsidRDefault="00AD19A4">
      <w:pPr>
        <w:pStyle w:val="Heading2"/>
        <w:spacing w:before="100" w:after="0"/>
        <w:rPr>
          <w:rFonts w:ascii="Times New Roman" w:hAnsi="Times New Roman" w:cs="Times New Roman"/>
          <w:b w:val="0"/>
          <w:i w:val="0"/>
          <w:color w:val="000000"/>
          <w:sz w:val="24"/>
        </w:rPr>
      </w:pPr>
      <w:bookmarkStart w:id="29" w:name="_Toc256000077"/>
      <w:r>
        <w:rPr>
          <w:rFonts w:ascii="Times New Roman" w:hAnsi="Times New Roman" w:cs="Times New Roman"/>
          <w:b w:val="0"/>
          <w:i w:val="0"/>
          <w:color w:val="000000"/>
          <w:sz w:val="24"/>
        </w:rPr>
        <w:t>Таблица 10: Органи, отговарящи за програмата</w:t>
      </w:r>
      <w:bookmarkEnd w:id="29"/>
    </w:p>
    <w:p w14:paraId="49A2922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531"/>
        <w:gridCol w:w="2500"/>
        <w:gridCol w:w="3099"/>
        <w:gridCol w:w="3311"/>
      </w:tblGrid>
      <w:tr w:rsidR="00FE6FD5" w14:paraId="21CDF5C1"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CDCCF0" w14:textId="77777777" w:rsidR="00A77B3E" w:rsidRDefault="00AD19A4">
            <w:pPr>
              <w:spacing w:before="100"/>
              <w:jc w:val="center"/>
              <w:rPr>
                <w:color w:val="000000"/>
                <w:sz w:val="20"/>
              </w:rPr>
            </w:pPr>
            <w:r>
              <w:rPr>
                <w:color w:val="000000"/>
                <w:sz w:val="20"/>
              </w:rPr>
              <w:t>Програмен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C0D2B" w14:textId="77777777" w:rsidR="00A77B3E" w:rsidRDefault="00AD19A4">
            <w:pPr>
              <w:spacing w:before="100"/>
              <w:jc w:val="center"/>
              <w:rPr>
                <w:color w:val="000000"/>
                <w:sz w:val="20"/>
              </w:rPr>
            </w:pPr>
            <w:r>
              <w:rPr>
                <w:color w:val="000000"/>
                <w:sz w:val="20"/>
              </w:rPr>
              <w:t>Име на институцията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D21FBB" w14:textId="77777777" w:rsidR="00A77B3E" w:rsidRDefault="00AD19A4">
            <w:pPr>
              <w:spacing w:before="100"/>
              <w:jc w:val="center"/>
              <w:rPr>
                <w:color w:val="000000"/>
                <w:sz w:val="20"/>
              </w:rPr>
            </w:pPr>
            <w:r>
              <w:rPr>
                <w:color w:val="000000"/>
                <w:sz w:val="20"/>
              </w:rPr>
              <w:t>Име за контакт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184589" w14:textId="77777777" w:rsidR="00A77B3E" w:rsidRDefault="00AD19A4">
            <w:pPr>
              <w:spacing w:before="100"/>
              <w:jc w:val="center"/>
              <w:rPr>
                <w:color w:val="000000"/>
                <w:sz w:val="20"/>
              </w:rPr>
            </w:pPr>
            <w:r>
              <w:rPr>
                <w:color w:val="000000"/>
                <w:sz w:val="20"/>
              </w:rPr>
              <w:t>Позиция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309B98" w14:textId="77777777" w:rsidR="00A77B3E" w:rsidRDefault="00AD19A4">
            <w:pPr>
              <w:spacing w:before="100"/>
              <w:jc w:val="center"/>
              <w:rPr>
                <w:color w:val="000000"/>
                <w:sz w:val="20"/>
              </w:rPr>
            </w:pPr>
            <w:r>
              <w:rPr>
                <w:color w:val="000000"/>
                <w:sz w:val="20"/>
              </w:rPr>
              <w:t>Имейл</w:t>
            </w:r>
          </w:p>
        </w:tc>
      </w:tr>
      <w:tr w:rsidR="00FE6FD5" w14:paraId="053C05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59B74A" w14:textId="77777777" w:rsidR="00A77B3E" w:rsidRDefault="00AD19A4">
            <w:pPr>
              <w:spacing w:before="100"/>
              <w:rPr>
                <w:color w:val="000000"/>
                <w:sz w:val="20"/>
              </w:rPr>
            </w:pPr>
            <w:r>
              <w:rPr>
                <w:color w:val="000000"/>
                <w:sz w:val="20"/>
              </w:rPr>
              <w:t>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D98B58" w14:textId="77777777" w:rsidR="00A77B3E" w:rsidRDefault="00AD19A4">
            <w:pPr>
              <w:spacing w:before="100"/>
              <w:rPr>
                <w:color w:val="000000"/>
                <w:sz w:val="20"/>
              </w:rPr>
            </w:pPr>
            <w:r>
              <w:rPr>
                <w:color w:val="000000"/>
                <w:sz w:val="20"/>
              </w:rPr>
              <w:t>Дирекция „Международни проекти“ – Министерство на вътрешните работи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37360" w14:textId="77777777" w:rsidR="00A77B3E" w:rsidRDefault="00AD19A4">
            <w:pPr>
              <w:spacing w:before="100"/>
              <w:rPr>
                <w:color w:val="000000"/>
                <w:sz w:val="20"/>
              </w:rPr>
            </w:pPr>
            <w:r>
              <w:rPr>
                <w:color w:val="000000"/>
                <w:sz w:val="20"/>
              </w:rPr>
              <w:t>Мая Петкова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E23DB" w14:textId="77777777" w:rsidR="00A77B3E" w:rsidRDefault="00AD19A4">
            <w:pPr>
              <w:spacing w:before="100"/>
              <w:rPr>
                <w:color w:val="000000"/>
                <w:sz w:val="20"/>
              </w:rPr>
            </w:pPr>
            <w:r>
              <w:rPr>
                <w:color w:val="000000"/>
                <w:sz w:val="20"/>
              </w:rPr>
              <w:t>Директор на дирекция и ръководител на 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27DAC" w14:textId="77777777" w:rsidR="00A77B3E" w:rsidRDefault="00AD19A4">
            <w:pPr>
              <w:spacing w:before="100"/>
              <w:rPr>
                <w:color w:val="000000"/>
                <w:sz w:val="20"/>
              </w:rPr>
            </w:pPr>
            <w:r>
              <w:rPr>
                <w:color w:val="000000"/>
                <w:sz w:val="20"/>
              </w:rPr>
              <w:t>dmp@mvr.bg</w:t>
            </w:r>
          </w:p>
        </w:tc>
      </w:tr>
      <w:tr w:rsidR="00FE6FD5" w14:paraId="5E7E5A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B48D08" w14:textId="77777777" w:rsidR="00A77B3E" w:rsidRDefault="00AD19A4">
            <w:pPr>
              <w:spacing w:before="100"/>
              <w:rPr>
                <w:color w:val="000000"/>
                <w:sz w:val="20"/>
              </w:rPr>
            </w:pPr>
            <w:r>
              <w:rPr>
                <w:color w:val="000000"/>
                <w:sz w:val="20"/>
              </w:rPr>
              <w:t>Одитен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34B4B" w14:textId="77777777" w:rsidR="00A77B3E" w:rsidRDefault="00AD19A4">
            <w:pPr>
              <w:spacing w:before="100"/>
              <w:rPr>
                <w:color w:val="000000"/>
                <w:sz w:val="20"/>
              </w:rPr>
            </w:pPr>
            <w:r>
              <w:rPr>
                <w:color w:val="000000"/>
                <w:sz w:val="20"/>
              </w:rPr>
              <w:t>Изпълнителна агенция за одит на средствата на Европейския съюз - Министерство на финансите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C387D" w14:textId="77777777" w:rsidR="00A77B3E" w:rsidRDefault="00AD19A4">
            <w:pPr>
              <w:spacing w:before="100"/>
              <w:rPr>
                <w:color w:val="000000"/>
                <w:sz w:val="20"/>
              </w:rPr>
            </w:pPr>
            <w:r>
              <w:rPr>
                <w:color w:val="000000"/>
                <w:sz w:val="20"/>
              </w:rPr>
              <w:t>Людмила Рангуелова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CFEEBF" w14:textId="77777777" w:rsidR="00A77B3E" w:rsidRDefault="00AD19A4">
            <w:pPr>
              <w:spacing w:before="100"/>
              <w:rPr>
                <w:color w:val="000000"/>
                <w:sz w:val="20"/>
              </w:rPr>
            </w:pPr>
            <w:r>
              <w:rPr>
                <w:color w:val="000000"/>
                <w:sz w:val="20"/>
              </w:rPr>
              <w:t>Изпълнителен директор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06FF56" w14:textId="77777777" w:rsidR="00A77B3E" w:rsidRDefault="00AD19A4">
            <w:pPr>
              <w:spacing w:before="100"/>
              <w:rPr>
                <w:color w:val="000000"/>
                <w:sz w:val="20"/>
              </w:rPr>
            </w:pPr>
            <w:r>
              <w:rPr>
                <w:color w:val="000000"/>
                <w:sz w:val="20"/>
              </w:rPr>
              <w:t>aeuf@minfin.bg</w:t>
            </w:r>
          </w:p>
        </w:tc>
      </w:tr>
      <w:tr w:rsidR="00FE6FD5" w14:paraId="44A86DF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2E1A6" w14:textId="77777777" w:rsidR="00A77B3E" w:rsidRDefault="00AD19A4">
            <w:pPr>
              <w:spacing w:before="100"/>
              <w:rPr>
                <w:color w:val="000000"/>
                <w:sz w:val="20"/>
              </w:rPr>
            </w:pPr>
            <w:r>
              <w:rPr>
                <w:color w:val="000000"/>
                <w:sz w:val="20"/>
              </w:rPr>
              <w:t>Орган, който получава плащания от Комисията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7671B" w14:textId="77777777" w:rsidR="00A77B3E" w:rsidRDefault="00AD19A4">
            <w:pPr>
              <w:spacing w:before="100"/>
              <w:rPr>
                <w:color w:val="000000"/>
                <w:sz w:val="20"/>
              </w:rPr>
            </w:pPr>
            <w:r>
              <w:rPr>
                <w:color w:val="000000"/>
                <w:sz w:val="20"/>
              </w:rPr>
              <w:t>Дирекция „Международни проекти“ – Министерство на вътрешните работи</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2B73CB" w14:textId="77777777" w:rsidR="00A77B3E" w:rsidRDefault="00AD19A4">
            <w:pPr>
              <w:spacing w:before="100"/>
              <w:rPr>
                <w:color w:val="000000"/>
                <w:sz w:val="20"/>
              </w:rPr>
            </w:pPr>
            <w:r>
              <w:rPr>
                <w:color w:val="000000"/>
                <w:sz w:val="20"/>
              </w:rPr>
              <w:t>Мая Петкова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05E553" w14:textId="77777777" w:rsidR="00A77B3E" w:rsidRDefault="00AD19A4">
            <w:pPr>
              <w:spacing w:before="100"/>
              <w:rPr>
                <w:color w:val="000000"/>
                <w:sz w:val="20"/>
              </w:rPr>
            </w:pPr>
            <w:r>
              <w:rPr>
                <w:color w:val="000000"/>
                <w:sz w:val="20"/>
              </w:rPr>
              <w:t>Директор на дирекция и ръководител на управляващ орган</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3B6BEF" w14:textId="77777777" w:rsidR="00A77B3E" w:rsidRDefault="00AD19A4">
            <w:pPr>
              <w:spacing w:before="100"/>
              <w:rPr>
                <w:color w:val="000000"/>
                <w:sz w:val="20"/>
              </w:rPr>
            </w:pPr>
            <w:r>
              <w:rPr>
                <w:color w:val="000000"/>
                <w:sz w:val="20"/>
              </w:rPr>
              <w:t>dmp@mvr.bg</w:t>
            </w:r>
          </w:p>
        </w:tc>
      </w:tr>
    </w:tbl>
    <w:p w14:paraId="0C8E8049" w14:textId="77777777" w:rsidR="00A77B3E" w:rsidRDefault="00A77B3E">
      <w:pPr>
        <w:spacing w:before="100"/>
        <w:jc w:val="center"/>
        <w:rPr>
          <w:color w:val="000000"/>
          <w:sz w:val="20"/>
        </w:rPr>
        <w:sectPr w:rsidR="00A77B3E">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864" w:left="936" w:header="288" w:footer="72" w:gutter="0"/>
          <w:cols w:space="720"/>
          <w:noEndnote/>
          <w:docGrid w:linePitch="360"/>
        </w:sectPr>
      </w:pPr>
    </w:p>
    <w:p w14:paraId="51DC19CE" w14:textId="77777777" w:rsidR="00A77B3E" w:rsidRDefault="00AD19A4">
      <w:pPr>
        <w:pStyle w:val="Heading1"/>
        <w:spacing w:before="100" w:after="0"/>
        <w:rPr>
          <w:rFonts w:ascii="Times New Roman" w:hAnsi="Times New Roman" w:cs="Times New Roman"/>
          <w:b w:val="0"/>
          <w:color w:val="000000"/>
          <w:sz w:val="24"/>
        </w:rPr>
      </w:pPr>
      <w:bookmarkStart w:id="30" w:name="_Toc256000078"/>
      <w:r>
        <w:rPr>
          <w:rFonts w:ascii="Times New Roman" w:hAnsi="Times New Roman" w:cs="Times New Roman"/>
          <w:b w:val="0"/>
          <w:color w:val="000000"/>
          <w:sz w:val="24"/>
        </w:rPr>
        <w:lastRenderedPageBreak/>
        <w:t>6. Партньорство</w:t>
      </w:r>
      <w:bookmarkEnd w:id="30"/>
    </w:p>
    <w:p w14:paraId="03D6D0E7" w14:textId="77777777" w:rsidR="00A77B3E" w:rsidRDefault="00AD19A4">
      <w:pPr>
        <w:spacing w:before="100"/>
        <w:rPr>
          <w:color w:val="000000"/>
          <w:sz w:val="16"/>
        </w:rPr>
      </w:pPr>
      <w:r>
        <w:rPr>
          <w:color w:val="000000"/>
        </w:rPr>
        <w:t>Позоваване: член 22, параграф 3, буква з) от РОР</w:t>
      </w:r>
    </w:p>
    <w:p w14:paraId="6318D1F5"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6697B5F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3B8C01" w14:textId="77777777" w:rsidR="00A77B3E" w:rsidRDefault="00A77B3E">
            <w:pPr>
              <w:spacing w:before="100"/>
              <w:rPr>
                <w:color w:val="000000"/>
                <w:sz w:val="0"/>
              </w:rPr>
            </w:pPr>
          </w:p>
          <w:p w14:paraId="6976E0B2" w14:textId="77777777" w:rsidR="00A77B3E" w:rsidRDefault="00AD19A4">
            <w:pPr>
              <w:spacing w:before="100"/>
              <w:rPr>
                <w:color w:val="000000"/>
              </w:rPr>
            </w:pPr>
            <w:r>
              <w:rPr>
                <w:color w:val="000000"/>
              </w:rPr>
              <w:t>Принципът на партньорство се използва широко при подготовката, изпълнението, мониторинга и оценката на програмата по Инструмента за финансова подкрепа за управление на границите и визова политика (</w:t>
            </w:r>
            <w:r w:rsidR="004B3C80">
              <w:rPr>
                <w:color w:val="000000"/>
              </w:rPr>
              <w:t>ИГУ</w:t>
            </w:r>
            <w:r>
              <w:rPr>
                <w:color w:val="000000"/>
              </w:rPr>
              <w:t>В). Партньорството се прилага чрез: сътрудничество с компетентните органи, включително участието им в Тематичната работна група (ТРГ) за подготовката на програмата и Комитета за наблюдение (КМ); участие в междуинституционалните работни групи за разработване на другите програми по РЗП и тясно сътрудничество с Европейската комисия (ЕК) на всеки етап от процеса.</w:t>
            </w:r>
          </w:p>
          <w:p w14:paraId="109700CE" w14:textId="77777777" w:rsidR="00A77B3E" w:rsidRDefault="00AD19A4">
            <w:pPr>
              <w:spacing w:before="100"/>
              <w:rPr>
                <w:color w:val="000000"/>
              </w:rPr>
            </w:pPr>
            <w:r>
              <w:rPr>
                <w:color w:val="000000"/>
              </w:rPr>
              <w:t>С Решение № 196 от 11 април 2019 г. на Министерския съвет на Република България, Министерството на вътрешните работи (МВР) е определено за водеща институция за разработването на трите програми в областта на вътрешните работи.</w:t>
            </w:r>
          </w:p>
          <w:p w14:paraId="0C06A725" w14:textId="77777777" w:rsidR="00A77B3E" w:rsidRDefault="00AD19A4">
            <w:pPr>
              <w:spacing w:before="100"/>
              <w:rPr>
                <w:color w:val="000000"/>
              </w:rPr>
            </w:pPr>
            <w:r>
              <w:rPr>
                <w:color w:val="000000"/>
              </w:rPr>
              <w:t>В тази връзка, дирекция „Международни проекти“ към МВР е започнала процедура по създаване на ТРГ за подготовка на програмата по Инструмента за финансова подкрепа за управление на границите и визова политика за програмния период 2021-2027 г.</w:t>
            </w:r>
          </w:p>
          <w:p w14:paraId="7646F4C7" w14:textId="77777777" w:rsidR="00A77B3E" w:rsidRDefault="00AD19A4">
            <w:pPr>
              <w:spacing w:before="100"/>
              <w:rPr>
                <w:color w:val="000000"/>
              </w:rPr>
            </w:pPr>
            <w:r>
              <w:rPr>
                <w:color w:val="000000"/>
              </w:rPr>
              <w:t>В съответствие с принципа на партньорство, въз основа на чл. 8 от Регламента за общоприложимите разпоредби (</w:t>
            </w:r>
            <w:r w:rsidR="00A1192D">
              <w:rPr>
                <w:color w:val="000000"/>
                <w:lang w:val="bg-BG"/>
              </w:rPr>
              <w:t>РОР</w:t>
            </w:r>
            <w:r>
              <w:rPr>
                <w:color w:val="000000"/>
              </w:rPr>
              <w:t>), покана за участие в ТРГ беше отправена до компетентните органи и организации на национално ниво в областта на управлението на границите и визовата политика.</w:t>
            </w:r>
          </w:p>
          <w:p w14:paraId="1B297B4B" w14:textId="77777777" w:rsidR="00A77B3E" w:rsidRDefault="00AD19A4">
            <w:pPr>
              <w:spacing w:before="100"/>
              <w:rPr>
                <w:color w:val="000000"/>
              </w:rPr>
            </w:pPr>
            <w:r>
              <w:rPr>
                <w:color w:val="000000"/>
              </w:rPr>
              <w:t>Освен това на уеб страницата на Инструмента за периода 2021-2027 г. беше публикувана покана за избор на юридически лица с нестопанска цел от обществена полза, международни организации и институции, работещи в областта на управлението на границите и визовата политика, за участие в ТРГ.</w:t>
            </w:r>
          </w:p>
          <w:p w14:paraId="216BAF9C" w14:textId="77777777" w:rsidR="00A77B3E" w:rsidRDefault="00AD19A4">
            <w:pPr>
              <w:spacing w:before="100"/>
              <w:rPr>
                <w:color w:val="000000"/>
              </w:rPr>
            </w:pPr>
            <w:r>
              <w:rPr>
                <w:color w:val="000000"/>
              </w:rPr>
              <w:t xml:space="preserve">С наредба на министъра на вътрешните работи е създадена ТРГ за подготовка на програмата по </w:t>
            </w:r>
            <w:r w:rsidR="004B3C80">
              <w:rPr>
                <w:color w:val="000000"/>
              </w:rPr>
              <w:t>ИГУВП</w:t>
            </w:r>
            <w:r>
              <w:rPr>
                <w:color w:val="000000"/>
              </w:rPr>
              <w:t xml:space="preserve"> за периода 2021-2027 г., председателствана от заместник-министъра на вътрешните работи, с компетенции и функции за координация на използването на финансирането от ЕС, свързано с дейността на Министерството на вътрешните работи. ТРГ включва представители на съответните заинтересовани страни, работещи в областта на управлението на границите и визовата политика – Министерски съвет (Централно координационно звено; Дирекция „Добро управление“); Министерство на финансите (Агенция „Митници“); Министерство на външните работи; Национална комисия за борба с трафика на хора, Министерство на вътрешните работи (Главна дирекция „Гранична полиция“; Главна дирекция „Национална полиция“; Дирекция „Комуникационни и информационни системи“; Дирекция „Международно оперативно сътрудничество“; Дирекция „Български документи за самоличност“; Национален криминалистичен институт; Дирекция „Европейски съюз и международно сътрудничество“; Академия на МВР), академичната общност (Университет за национално и световно стопанство). Други заинтересовани страни могат да участват или да бъдат консултирани ad hoc.</w:t>
            </w:r>
          </w:p>
          <w:p w14:paraId="3B3CB276" w14:textId="77777777" w:rsidR="00A77B3E" w:rsidRDefault="00AD19A4">
            <w:pPr>
              <w:spacing w:before="100"/>
              <w:rPr>
                <w:color w:val="000000"/>
              </w:rPr>
            </w:pPr>
            <w:r>
              <w:rPr>
                <w:color w:val="000000"/>
              </w:rPr>
              <w:t xml:space="preserve">Посочените партньори са включени в по-късно сформирания Комитет за наблюдение на </w:t>
            </w:r>
            <w:r w:rsidR="004B3C80">
              <w:rPr>
                <w:color w:val="000000"/>
              </w:rPr>
              <w:t>ФВС</w:t>
            </w:r>
            <w:r w:rsidR="004B3C80">
              <w:rPr>
                <w:color w:val="000000"/>
                <w:lang w:val="bg-BG"/>
              </w:rPr>
              <w:t xml:space="preserve"> </w:t>
            </w:r>
            <w:r w:rsidR="004B3C80">
              <w:rPr>
                <w:color w:val="000000"/>
              </w:rPr>
              <w:t>Граници и визи</w:t>
            </w:r>
            <w:r>
              <w:rPr>
                <w:color w:val="000000"/>
              </w:rPr>
              <w:t xml:space="preserve">. При подготовката на програмата </w:t>
            </w:r>
            <w:r w:rsidR="004B3C80">
              <w:rPr>
                <w:color w:val="000000"/>
              </w:rPr>
              <w:t>ИУГВП</w:t>
            </w:r>
            <w:r>
              <w:rPr>
                <w:color w:val="000000"/>
              </w:rPr>
              <w:t xml:space="preserve"> бяха осъществени контакти и с други организации от икономическата и социалната сфера (напр. синдикати, представители на работодатели и предприемачи, браншови асоциации) и регионални партньори (напр. асоциации на региони, асоциации на градове и общини).</w:t>
            </w:r>
          </w:p>
          <w:p w14:paraId="22973AF3" w14:textId="77777777" w:rsidR="00A77B3E" w:rsidRDefault="00AD19A4">
            <w:pPr>
              <w:spacing w:before="100"/>
              <w:rPr>
                <w:color w:val="000000"/>
              </w:rPr>
            </w:pPr>
            <w:r>
              <w:rPr>
                <w:color w:val="000000"/>
              </w:rPr>
              <w:t>В периода януари 2020 г. – декември 2021 г. бяха проведени 4 заседания на ТРГ. Поради извънредното положение в България след март 2020 г. и последвалите ограничения, наложени във връзка с разпространението на COVID-19, бяха проведени неприсъствени дискусии по програмата и решенията бяха взети чрез писмена процедура. Членовете на ТРГ участват в процеса на подготовка на програмата, като представят предложения за стратегически приоритети, които да бъдат решени чрез финансирането, предоставено по програмата, разглеждат и предоставят коментари и забележки по проектите на програмата, преди да ги изпратят на ЕК.</w:t>
            </w:r>
          </w:p>
          <w:p w14:paraId="1EBD4D34" w14:textId="77777777" w:rsidR="00A77B3E" w:rsidRDefault="00AD19A4">
            <w:pPr>
              <w:spacing w:before="100"/>
              <w:rPr>
                <w:color w:val="000000"/>
              </w:rPr>
            </w:pPr>
            <w:r>
              <w:rPr>
                <w:color w:val="000000"/>
              </w:rPr>
              <w:lastRenderedPageBreak/>
              <w:t xml:space="preserve">Освен това беше проведена обществена консултация относно програмата </w:t>
            </w:r>
            <w:r w:rsidR="004B3C80">
              <w:rPr>
                <w:color w:val="000000"/>
              </w:rPr>
              <w:t>ИУГВП</w:t>
            </w:r>
            <w:r>
              <w:rPr>
                <w:color w:val="000000"/>
              </w:rPr>
              <w:t xml:space="preserve"> с участието на всички заинтересовани страни.</w:t>
            </w:r>
          </w:p>
          <w:p w14:paraId="5F477DF5" w14:textId="77777777" w:rsidR="00A77B3E" w:rsidRDefault="00AD19A4">
            <w:pPr>
              <w:spacing w:before="100"/>
              <w:rPr>
                <w:color w:val="000000"/>
              </w:rPr>
            </w:pPr>
            <w:r>
              <w:rPr>
                <w:color w:val="000000"/>
              </w:rPr>
              <w:t xml:space="preserve">С Решение № 712 от 6 октомври 2020 г. на Министерския съвет на Република България, Дирекция „Международни проекти“ е определена за Управляващ орган (УО) на програмата </w:t>
            </w:r>
            <w:r w:rsidR="004B3C80">
              <w:rPr>
                <w:color w:val="000000"/>
              </w:rPr>
              <w:t>ИГУВП</w:t>
            </w:r>
            <w:r>
              <w:rPr>
                <w:color w:val="000000"/>
              </w:rPr>
              <w:t xml:space="preserve"> за програмния период 2021-2027 г.</w:t>
            </w:r>
          </w:p>
          <w:p w14:paraId="54B81770" w14:textId="77777777" w:rsidR="00A77B3E" w:rsidRDefault="00AD19A4">
            <w:pPr>
              <w:spacing w:before="100"/>
              <w:rPr>
                <w:color w:val="000000"/>
              </w:rPr>
            </w:pPr>
            <w:r>
              <w:rPr>
                <w:color w:val="000000"/>
              </w:rPr>
              <w:t>В съответствие с принципа на партньорство, въз основа на чл. 8 от РОР, покана за участие в УК беше отправена до компетентните органи и организации на национално ниво в областта на управлението на границите и визовата политика. За да се осигури представителство на всички заинтересовани страни, УО може да покани представители на организации, които не участват в УК, както и на тези, които не получават подкрепа от Инструмента, за да обсъдят теми, свързани с конкретни въпроси или различни инициативи. УО може да се обърне и към други организации по време на изпълнението, ако такова сътрудничество се окаже подходящо и необходимо. Практическият опит и експертиза на тези организации се считат за ценни за изпълнението и оценката на предвидените дейности.</w:t>
            </w:r>
          </w:p>
          <w:p w14:paraId="3568120F" w14:textId="77777777" w:rsidR="00A77B3E" w:rsidRDefault="00AD19A4">
            <w:pPr>
              <w:spacing w:before="100"/>
              <w:rPr>
                <w:color w:val="000000"/>
              </w:rPr>
            </w:pPr>
            <w:r>
              <w:rPr>
                <w:color w:val="000000"/>
              </w:rPr>
              <w:t>Зачитането на неприкосновеността на личния живот и правата на човека също играят важна роля в проектите и когато това е чувствително, трябва да се обърне специално внимание на това чрез включване на съответните партньори във фазата на разработване, внедряване и наблюдение на различните аспекти, включително етичните, правните и свързаните с поверителността, на избраните проекти, свързани с ИИ, в рамките на различните специфични цели.</w:t>
            </w:r>
          </w:p>
          <w:p w14:paraId="74899247" w14:textId="77777777" w:rsidR="00A77B3E" w:rsidRDefault="00AD19A4">
            <w:pPr>
              <w:spacing w:before="100"/>
              <w:rPr>
                <w:color w:val="000000"/>
              </w:rPr>
            </w:pPr>
            <w:r>
              <w:rPr>
                <w:color w:val="000000"/>
              </w:rPr>
              <w:t>В съответствие с разпоредбите на чл. 39 от РОР, през януари 2023 г. със заповед на министъра на вътрешните работи, в изпълнение на Постановление № 302 на Министерския съвет, е създаден Комитет за наблюдение на програмите „Фонд за вътрешна сигурност“ и „Инструмент за управление на границите и визи“ за периода 2021-2027 г. Съгласно Постановление № 302 кръгът от организации, номиниращи членове в Комитета за наблюдение, е разширен, за да включва, подобно на ТРГ, неправителствени и международни организации, представители на социални и икономически партньори (синдикати и организации на работодателите), представители на регионални и местни власти, организации на хора в неравностойно положение, представители на академичната общност. Комитетът за наблюдение се председателства от ръководителя на УО. Представителите на съответните институции се определят въз основа на критерии, предварително определени и одобрени от УО, и разработени в съответствие с чл. 39(1) от РОР. Представители на ЕК и Одитния орган участват в работата на Комитета за наблюдение като наблюдатели.</w:t>
            </w:r>
          </w:p>
          <w:p w14:paraId="5CBD9CE9" w14:textId="77777777" w:rsidR="00A77B3E" w:rsidRDefault="00AD19A4">
            <w:pPr>
              <w:spacing w:before="100"/>
              <w:rPr>
                <w:color w:val="000000"/>
              </w:rPr>
            </w:pPr>
            <w:r>
              <w:rPr>
                <w:color w:val="000000"/>
              </w:rPr>
              <w:t xml:space="preserve">Списъкът на членовете на Комитета е публикуван на уебсайта съгласно чл. 49, (1) от </w:t>
            </w:r>
            <w:r w:rsidR="00A1192D">
              <w:rPr>
                <w:color w:val="000000"/>
              </w:rPr>
              <w:t>РОР</w:t>
            </w:r>
            <w:r>
              <w:rPr>
                <w:color w:val="000000"/>
              </w:rPr>
              <w:t>.</w:t>
            </w:r>
          </w:p>
          <w:p w14:paraId="71397EDE" w14:textId="77777777" w:rsidR="00A77B3E" w:rsidRDefault="00AD19A4">
            <w:pPr>
              <w:spacing w:before="100"/>
              <w:rPr>
                <w:color w:val="000000"/>
              </w:rPr>
            </w:pPr>
            <w:r>
              <w:rPr>
                <w:color w:val="000000"/>
              </w:rPr>
              <w:t>Работата на Комитета се регулира от Вътрешни правила, приети на първото му заседание през февруари 2023 г. Тези правила, които определят правомощията и отговорностите на председателя и членовете на Комитета, както и тяхното поведение, както и това на наблюдателите, се основават на следните принципи: законност, безкористност, безпристрастност, независимост, обективност, публичност, отговорност и професионално поведение.</w:t>
            </w:r>
          </w:p>
          <w:p w14:paraId="45C4FDE3" w14:textId="77777777" w:rsidR="00A77B3E" w:rsidRDefault="00AD19A4">
            <w:pPr>
              <w:spacing w:before="100"/>
              <w:rPr>
                <w:color w:val="000000"/>
              </w:rPr>
            </w:pPr>
            <w:r>
              <w:rPr>
                <w:color w:val="000000"/>
              </w:rPr>
              <w:t>УК се събира поне два пъти годишно (лично или чрез видеоконферентна връзка, в зависимост от текущата ситуация) и, ако е необходимо, ad hoc.</w:t>
            </w:r>
          </w:p>
          <w:p w14:paraId="314CD564" w14:textId="77777777" w:rsidR="00A77B3E" w:rsidRDefault="00AD19A4">
            <w:pPr>
              <w:spacing w:before="100"/>
              <w:rPr>
                <w:color w:val="000000"/>
              </w:rPr>
            </w:pPr>
            <w:r>
              <w:rPr>
                <w:color w:val="000000"/>
              </w:rPr>
              <w:t>Функциите на Управителния комитет (УК) са в съответствие с разпоредбите на чл. 40 (1) и (2) от РОР. Комитетът разглежда изпълнението на програмата, постигането на етапните цели и целите, както и всички проблеми, които влияят върху изпълнението на програмата, и предприетите мерки за справяне с тези проблеми, включително нередности. УК разглежда и приноса на програмата за справяне с предизвикателствата, установени в съответните специфични за всяка държава препоръки, които са свързани с изпълнението на програмата; изпълнението на действията за комуникация и видимост и не на последно място, постигнатия напредък при извършването на оценката, синтезите на оценката и последващите действия, предприети във връзка с констатациите. Освен това, Комитетът одобрява всяко предложение от УО за изменения на програмата, както и годишния доклад за изпълнението.</w:t>
            </w:r>
          </w:p>
          <w:p w14:paraId="6BA334B1" w14:textId="77777777" w:rsidR="00A77B3E" w:rsidRDefault="00AD19A4">
            <w:pPr>
              <w:spacing w:before="100"/>
              <w:rPr>
                <w:color w:val="000000"/>
              </w:rPr>
            </w:pPr>
            <w:r>
              <w:rPr>
                <w:color w:val="000000"/>
              </w:rPr>
              <w:t xml:space="preserve">Изпълнението на програмата </w:t>
            </w:r>
            <w:r w:rsidR="004B3C80">
              <w:rPr>
                <w:color w:val="000000"/>
              </w:rPr>
              <w:t>ИУГВП</w:t>
            </w:r>
            <w:r>
              <w:rPr>
                <w:color w:val="000000"/>
              </w:rPr>
              <w:t xml:space="preserve"> следва същите принципи на партньорство, както в процеса на нейната подготовка. Управляващият орган осигурява широка публичност за партньорите, като </w:t>
            </w:r>
            <w:r>
              <w:rPr>
                <w:color w:val="000000"/>
              </w:rPr>
              <w:lastRenderedPageBreak/>
              <w:t xml:space="preserve">предоставя съответната информация на уебсайта на Министерството на вътрешните работи, както и чрез провеждане на редовни информационни събития, отворени за всички заинтересовани страни. Комитетът играе и основна роля в наблюдението на напредъка по изпълнението на програмата </w:t>
            </w:r>
            <w:r w:rsidR="004B3C80">
              <w:rPr>
                <w:color w:val="000000"/>
              </w:rPr>
              <w:t>ИУГВП</w:t>
            </w:r>
            <w:r>
              <w:rPr>
                <w:color w:val="000000"/>
              </w:rPr>
              <w:t>, бъдещото развитие, консултациите и/или вземането на решения, свързани с преразглеждането на програмата и/или одобряването на мониторинговите доклади.</w:t>
            </w:r>
          </w:p>
          <w:p w14:paraId="6F29628F" w14:textId="77777777" w:rsidR="00A77B3E" w:rsidRDefault="00AD19A4">
            <w:pPr>
              <w:spacing w:before="100"/>
              <w:rPr>
                <w:color w:val="000000"/>
              </w:rPr>
            </w:pPr>
            <w:r>
              <w:rPr>
                <w:color w:val="000000"/>
              </w:rPr>
              <w:t>Освен това, Информационната система за управление и мониторинг ще продължи да се използва за наблюдение на показателите и информацията, необходими за проследяване на напредъка към целите, договорени в програмата.</w:t>
            </w:r>
          </w:p>
          <w:p w14:paraId="21B6F652" w14:textId="77777777" w:rsidR="00A77B3E" w:rsidRDefault="00AD19A4">
            <w:pPr>
              <w:spacing w:before="100"/>
              <w:rPr>
                <w:color w:val="000000"/>
              </w:rPr>
            </w:pPr>
            <w:r>
              <w:rPr>
                <w:color w:val="000000"/>
              </w:rPr>
              <w:t>Допълняемостта на програмата и съответните действия с други политики се осъществява на етап програмиране чрез участието на представители на Министерството на вътрешните работи в междуинституционалните тематични работни групи за разработване на другите програми, включени в РОР, както и участието на техни представители в подготовката на програмите по вътрешни работи. Понастоящем експерти от дирекция „Международни проекти“ участват в 14 УК на финансирани от ЕС програми и програми за териториално сътрудничество на Република България за програмния период 2021-2027 г., както и в УК за Споразумението за партньорство за програмния период 2021-2027 г.</w:t>
            </w:r>
          </w:p>
          <w:p w14:paraId="031470B3" w14:textId="77777777" w:rsidR="00A77B3E" w:rsidRDefault="00A77B3E">
            <w:pPr>
              <w:spacing w:before="100"/>
              <w:rPr>
                <w:color w:val="000000"/>
                <w:sz w:val="6"/>
              </w:rPr>
            </w:pPr>
          </w:p>
          <w:p w14:paraId="42342C63" w14:textId="77777777" w:rsidR="00A77B3E" w:rsidRDefault="00A77B3E">
            <w:pPr>
              <w:spacing w:before="100"/>
              <w:rPr>
                <w:color w:val="000000"/>
                <w:sz w:val="6"/>
              </w:rPr>
            </w:pPr>
          </w:p>
        </w:tc>
      </w:tr>
    </w:tbl>
    <w:p w14:paraId="652DD4EC" w14:textId="77777777" w:rsidR="00A77B3E" w:rsidRDefault="00AD19A4">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31" w:name="_Toc256000079"/>
      <w:r>
        <w:rPr>
          <w:rFonts w:ascii="Times New Roman" w:hAnsi="Times New Roman" w:cs="Times New Roman"/>
          <w:b w:val="0"/>
          <w:color w:val="000000"/>
          <w:sz w:val="24"/>
        </w:rPr>
        <w:lastRenderedPageBreak/>
        <w:t>7. Комуникация и видимост</w:t>
      </w:r>
      <w:bookmarkEnd w:id="31"/>
    </w:p>
    <w:p w14:paraId="2A4E410B" w14:textId="77777777" w:rsidR="00A77B3E" w:rsidRDefault="00AD19A4">
      <w:pPr>
        <w:spacing w:before="100"/>
        <w:rPr>
          <w:color w:val="000000"/>
          <w:sz w:val="16"/>
        </w:rPr>
      </w:pPr>
      <w:r>
        <w:rPr>
          <w:color w:val="000000"/>
        </w:rPr>
        <w:t>Позоваване: член 22, параграф 3, буква й) от РОР</w:t>
      </w:r>
    </w:p>
    <w:p w14:paraId="17221EA3"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FE6FD5" w14:paraId="7BCE5C70"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FE0C50" w14:textId="77777777" w:rsidR="00A77B3E" w:rsidRDefault="00A77B3E">
            <w:pPr>
              <w:spacing w:before="100"/>
              <w:rPr>
                <w:color w:val="000000"/>
                <w:sz w:val="0"/>
              </w:rPr>
            </w:pPr>
          </w:p>
          <w:p w14:paraId="372B1C46" w14:textId="77777777" w:rsidR="00A77B3E" w:rsidRDefault="00AD19A4">
            <w:pPr>
              <w:spacing w:before="100"/>
              <w:rPr>
                <w:color w:val="000000"/>
              </w:rPr>
            </w:pPr>
            <w:r>
              <w:rPr>
                <w:color w:val="000000"/>
              </w:rPr>
              <w:t>Целта на комуникационния подход е да се популяризира и разпространи информация за Инструмента и добавената стойност на интервенцията на ЕС, програмата и нейните цели, резултати и добри практики сред широката общественост, юридическите лица с нестопанска цел, публичните органи, ангажирани с управлението на средствата от ЕС в България, академичната общност и др.</w:t>
            </w:r>
          </w:p>
          <w:p w14:paraId="0BE880A6" w14:textId="77777777" w:rsidR="00A77B3E" w:rsidRDefault="00AD19A4">
            <w:pPr>
              <w:spacing w:before="100"/>
              <w:rPr>
                <w:color w:val="000000"/>
              </w:rPr>
            </w:pPr>
            <w:r>
              <w:rPr>
                <w:color w:val="000000"/>
              </w:rPr>
              <w:t>Сред целите на предвидените комуникационни мерки е гарантиране на прозрачността и видимостта на дейностите на управляващия орган (УО), повишаване на осведомеността и компетентността на бенефициентите при изпълнението на проекти; повишаване на осведомеността сред целевата аудитория за постигнатото с финансовата подкрепа от ЕС.</w:t>
            </w:r>
          </w:p>
          <w:p w14:paraId="719C2443" w14:textId="77777777" w:rsidR="00A77B3E" w:rsidRDefault="00AD19A4">
            <w:pPr>
              <w:spacing w:before="100"/>
              <w:rPr>
                <w:color w:val="000000"/>
              </w:rPr>
            </w:pPr>
            <w:r>
              <w:rPr>
                <w:color w:val="000000"/>
              </w:rPr>
              <w:t>Целевата аудитория включва: бенефициенти на програмата и потенциални такива, граждани, юридически лица с нестопанска цел, академичната общност, администрацията, ангажирана с управлението на европейските фондове в България.</w:t>
            </w:r>
          </w:p>
          <w:p w14:paraId="0E2814E1" w14:textId="77777777" w:rsidR="00A77B3E" w:rsidRDefault="00AD19A4">
            <w:pPr>
              <w:spacing w:before="100"/>
              <w:rPr>
                <w:color w:val="000000"/>
              </w:rPr>
            </w:pPr>
            <w:r>
              <w:rPr>
                <w:color w:val="000000"/>
              </w:rPr>
              <w:t>Мерките, свързани с комуникацията и видимостта в програмния период 2021-2027 г., ще следват изцяло разпоредбите на Регламента за общоприложимите разпоредби (РОР) в тази област.</w:t>
            </w:r>
          </w:p>
          <w:p w14:paraId="32B5BD01" w14:textId="77777777" w:rsidR="00A77B3E" w:rsidRDefault="00AD19A4">
            <w:pPr>
              <w:spacing w:before="100"/>
              <w:rPr>
                <w:color w:val="000000"/>
              </w:rPr>
            </w:pPr>
            <w:r>
              <w:rPr>
                <w:color w:val="000000"/>
              </w:rPr>
              <w:t>УО е назначил служител по комуникациите, който отговаря за трите програми в областта на вътрешните работи. УО участва в мрежата INFORM, където взаимодейства с други държави членки и участва в обучения, обменя опит и споделя добри практики.</w:t>
            </w:r>
          </w:p>
          <w:p w14:paraId="01208ADC" w14:textId="77777777" w:rsidR="00A77B3E" w:rsidRDefault="00AD19A4">
            <w:pPr>
              <w:spacing w:before="100"/>
              <w:rPr>
                <w:color w:val="000000"/>
              </w:rPr>
            </w:pPr>
            <w:r>
              <w:rPr>
                <w:color w:val="000000"/>
              </w:rPr>
              <w:t>Ще бъдат използвани подходящи и изпитани в практиката на УО комуникационни канали, чрез които ще се достигне до съответната целева аудитория и ще се осигури публичност и видимост на инициативите по програмата.</w:t>
            </w:r>
          </w:p>
          <w:p w14:paraId="587BD5F0" w14:textId="77777777" w:rsidR="00A77B3E" w:rsidRDefault="00AD19A4">
            <w:pPr>
              <w:spacing w:before="100"/>
              <w:rPr>
                <w:color w:val="000000"/>
              </w:rPr>
            </w:pPr>
            <w:r>
              <w:rPr>
                <w:color w:val="000000"/>
              </w:rPr>
              <w:t>Управляващият орган използва следните канали за комуникация със съответните заинтересовани страни:</w:t>
            </w:r>
          </w:p>
          <w:p w14:paraId="21CB44FD" w14:textId="77777777" w:rsidR="00A77B3E" w:rsidRDefault="00AD19A4">
            <w:pPr>
              <w:spacing w:before="100"/>
              <w:rPr>
                <w:color w:val="000000"/>
              </w:rPr>
            </w:pPr>
            <w:r>
              <w:rPr>
                <w:color w:val="000000"/>
              </w:rPr>
              <w:t>1. Уебсайтът на УО е основният комуникационен канал, чрез който информацията достига до най-широк кръг потребители.</w:t>
            </w:r>
            <w:r>
              <w:rPr>
                <w:i/>
                <w:iCs/>
                <w:color w:val="000000"/>
              </w:rPr>
              <w:t xml:space="preserve"> </w:t>
            </w:r>
            <w:r>
              <w:rPr>
                <w:color w:val="000000"/>
              </w:rPr>
              <w:t>Ще бъде налична информация за програмата, обхващаща целите на програмата, наличните възможности за финансиране, списък с избрани за подкрепа операции и постижения.</w:t>
            </w:r>
          </w:p>
          <w:p w14:paraId="0E2252F6" w14:textId="77777777" w:rsidR="00A77B3E" w:rsidRDefault="00AD19A4">
            <w:pPr>
              <w:spacing w:before="100"/>
              <w:rPr>
                <w:color w:val="000000"/>
              </w:rPr>
            </w:pPr>
            <w:r>
              <w:rPr>
                <w:color w:val="000000"/>
              </w:rPr>
              <w:t>Публикуваните документи ще бъдат в отворени, машинночетими формати, което ще позволи сортиране, търсене, извличане, сравняване и повторно използване на данни.</w:t>
            </w:r>
          </w:p>
          <w:p w14:paraId="55D571EB" w14:textId="77777777" w:rsidR="00A77B3E" w:rsidRDefault="00AD19A4">
            <w:pPr>
              <w:spacing w:before="100"/>
              <w:rPr>
                <w:color w:val="000000"/>
              </w:rPr>
            </w:pPr>
            <w:r>
              <w:rPr>
                <w:color w:val="000000"/>
              </w:rPr>
              <w:t>Освен това, на уебсайта и на страницата във Facebook могат да бъдат публикувани кратки видеоклипове, за да се популяризират истории за успех от национални и европейски проекти, подкрепяни по програмата.</w:t>
            </w:r>
          </w:p>
          <w:p w14:paraId="78803A4E" w14:textId="77777777" w:rsidR="00A77B3E" w:rsidRDefault="00AD19A4">
            <w:pPr>
              <w:spacing w:before="100"/>
              <w:rPr>
                <w:color w:val="000000"/>
              </w:rPr>
            </w:pPr>
            <w:r>
              <w:rPr>
                <w:color w:val="000000"/>
              </w:rPr>
              <w:t>2. Ще бъдат проведени информационни дни за потенциални бенефициенти, където ще бъдат дадени разяснения и насоки за разработването на проектните предложения, както и ще бъдат обсъдени установените проблеми. Освен това ще бъдат организирани публични събития по време на изпълнението на програмата.</w:t>
            </w:r>
          </w:p>
          <w:p w14:paraId="6A49BECA" w14:textId="77777777" w:rsidR="00A77B3E" w:rsidRDefault="00AD19A4">
            <w:pPr>
              <w:spacing w:before="100"/>
              <w:rPr>
                <w:color w:val="000000"/>
              </w:rPr>
            </w:pPr>
            <w:r>
              <w:rPr>
                <w:color w:val="000000"/>
              </w:rPr>
              <w:t>3. Facebook е допълнителен комуникационен канал, където на отделна страница за програмата ще бъдат публикувани новини и съобщения за различни събития и инициативи на УО, добри практики и др.</w:t>
            </w:r>
          </w:p>
          <w:p w14:paraId="2A294059" w14:textId="77777777" w:rsidR="00A77B3E" w:rsidRDefault="00AD19A4">
            <w:pPr>
              <w:spacing w:before="100"/>
              <w:rPr>
                <w:color w:val="000000"/>
              </w:rPr>
            </w:pPr>
            <w:r>
              <w:rPr>
                <w:color w:val="000000"/>
              </w:rPr>
              <w:t>4. Информационната система за управление и мониторинг на средствата от ЕС в България – ИСУН 2020 дава възможност на потенциалните бенефициенти да търсят и кандидатстват по покани за проектни предложения, а от друга страна, позволява на Управляващия орган да оценява проектните предложения и да наблюдава тяхното изпълнение.</w:t>
            </w:r>
          </w:p>
          <w:p w14:paraId="0B965E91" w14:textId="77777777" w:rsidR="00A77B3E" w:rsidRDefault="00AD19A4">
            <w:pPr>
              <w:spacing w:before="100"/>
              <w:rPr>
                <w:color w:val="000000"/>
              </w:rPr>
            </w:pPr>
            <w:r>
              <w:rPr>
                <w:color w:val="000000"/>
              </w:rPr>
              <w:t>5. Актуална информация за програмата, нейното изпълнение, инициативи на Управляващия орган, документи и др. ще бъде публикувана на Единния информационен портал за обща информация за прилагането и управлението на фондовете на ЕС в България (www.eufunds.bg).</w:t>
            </w:r>
          </w:p>
          <w:p w14:paraId="22B6980D" w14:textId="77777777" w:rsidR="00A77B3E" w:rsidRDefault="00AD19A4">
            <w:pPr>
              <w:spacing w:before="100"/>
              <w:rPr>
                <w:color w:val="000000"/>
              </w:rPr>
            </w:pPr>
            <w:r>
              <w:rPr>
                <w:color w:val="000000"/>
              </w:rPr>
              <w:lastRenderedPageBreak/>
              <w:t>Изпълнението на мерките, определени за комуникация и видимост, ще бъде редовно наблюдавано и оценявано. Целта е да се гарантира качеството на комуникационния процес, да се идентифицират слабостите и силните страни и да се предприемат коригиращи действия. В тази връзка ще се прилагат следните показатели:</w:t>
            </w:r>
          </w:p>
          <w:p w14:paraId="51F3E71D" w14:textId="77777777" w:rsidR="00A77B3E" w:rsidRDefault="00AD19A4">
            <w:pPr>
              <w:spacing w:before="100"/>
              <w:rPr>
                <w:color w:val="000000"/>
              </w:rPr>
            </w:pPr>
            <w:r>
              <w:rPr>
                <w:color w:val="000000"/>
              </w:rPr>
              <w:t>·Брой събития, вкл. онлайн (събития по откриване/закриване, информационни дни, обучения, заседания на Комитета за наблюдение и др.) – 9;</w:t>
            </w:r>
          </w:p>
          <w:p w14:paraId="14F62CD0" w14:textId="77777777" w:rsidR="00A77B3E" w:rsidRDefault="00AD19A4">
            <w:pPr>
              <w:spacing w:before="100"/>
              <w:rPr>
                <w:color w:val="000000"/>
              </w:rPr>
            </w:pPr>
            <w:r>
              <w:rPr>
                <w:color w:val="000000"/>
              </w:rPr>
              <w:t>·Брой участници (физически и онлайн) – 180;</w:t>
            </w:r>
          </w:p>
          <w:p w14:paraId="4321E2E8" w14:textId="77777777" w:rsidR="00A77B3E" w:rsidRDefault="00AD19A4">
            <w:pPr>
              <w:spacing w:before="100"/>
              <w:rPr>
                <w:color w:val="000000"/>
              </w:rPr>
            </w:pPr>
            <w:r>
              <w:rPr>
                <w:color w:val="000000"/>
              </w:rPr>
              <w:t>·Брой публикации на уебсайта и в социалните мрежи – 75;</w:t>
            </w:r>
          </w:p>
          <w:p w14:paraId="060AB2BB" w14:textId="77777777" w:rsidR="00A77B3E" w:rsidRDefault="00AD19A4">
            <w:pPr>
              <w:spacing w:before="100"/>
              <w:rPr>
                <w:color w:val="000000"/>
              </w:rPr>
            </w:pPr>
            <w:r>
              <w:rPr>
                <w:color w:val="000000"/>
              </w:rPr>
              <w:t>·Брой посетители/читатели/последователи в социалните мрежи – 150;</w:t>
            </w:r>
          </w:p>
          <w:p w14:paraId="6377583E" w14:textId="77777777" w:rsidR="00A77B3E" w:rsidRDefault="00AD19A4">
            <w:pPr>
              <w:spacing w:before="100"/>
              <w:rPr>
                <w:color w:val="000000"/>
              </w:rPr>
            </w:pPr>
            <w:r>
              <w:rPr>
                <w:color w:val="000000"/>
              </w:rPr>
              <w:t>·Повишаване на нивото на осведоменост на целевата аудитория относно политиката на ЕС и фондовете/програмите в резултат на събитията/публикациите (процент) – 25%.</w:t>
            </w:r>
          </w:p>
          <w:p w14:paraId="74813815" w14:textId="77777777" w:rsidR="00A77B3E" w:rsidRDefault="00AD19A4">
            <w:pPr>
              <w:spacing w:before="100"/>
              <w:rPr>
                <w:color w:val="000000"/>
              </w:rPr>
            </w:pPr>
            <w:r>
              <w:rPr>
                <w:color w:val="000000"/>
              </w:rPr>
              <w:t xml:space="preserve">В рамките на техническата помощ е предвидена сума от 1 000 000 евро за мерки за комуникация и видимост. Такива мерки ще бъдат включени и в проектите, изпълнявани по програмата </w:t>
            </w:r>
            <w:r w:rsidR="004B3C80">
              <w:rPr>
                <w:color w:val="000000"/>
              </w:rPr>
              <w:t>ИУГВП</w:t>
            </w:r>
            <w:r>
              <w:rPr>
                <w:color w:val="000000"/>
              </w:rPr>
              <w:t>.</w:t>
            </w:r>
          </w:p>
          <w:p w14:paraId="1C517D9C" w14:textId="77777777" w:rsidR="00A77B3E" w:rsidRDefault="00A77B3E">
            <w:pPr>
              <w:spacing w:before="100"/>
              <w:rPr>
                <w:color w:val="000000"/>
                <w:sz w:val="6"/>
              </w:rPr>
            </w:pPr>
          </w:p>
          <w:p w14:paraId="7D4C866F" w14:textId="77777777" w:rsidR="00A77B3E" w:rsidRDefault="00A77B3E">
            <w:pPr>
              <w:spacing w:before="100"/>
              <w:rPr>
                <w:color w:val="000000"/>
                <w:sz w:val="6"/>
              </w:rPr>
            </w:pPr>
          </w:p>
        </w:tc>
      </w:tr>
    </w:tbl>
    <w:p w14:paraId="36BD284E" w14:textId="77777777" w:rsidR="00A77B3E" w:rsidRDefault="00AD19A4">
      <w:pPr>
        <w:pStyle w:val="Heading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32" w:name="_Toc256000080"/>
      <w:r>
        <w:rPr>
          <w:rFonts w:ascii="Times New Roman" w:hAnsi="Times New Roman" w:cs="Times New Roman"/>
          <w:b w:val="0"/>
          <w:color w:val="000000"/>
          <w:sz w:val="24"/>
        </w:rPr>
        <w:lastRenderedPageBreak/>
        <w:t>8. Използване на единични разходи, еднократни суми, фиксирани ставки и финансиране, което не е свързано с разходи</w:t>
      </w:r>
      <w:bookmarkEnd w:id="32"/>
    </w:p>
    <w:p w14:paraId="11BFF64E" w14:textId="77777777" w:rsidR="00A77B3E" w:rsidRDefault="00AD19A4">
      <w:pPr>
        <w:spacing w:before="100"/>
        <w:rPr>
          <w:color w:val="000000"/>
          <w:sz w:val="16"/>
        </w:rPr>
      </w:pPr>
      <w:r>
        <w:rPr>
          <w:color w:val="000000"/>
        </w:rPr>
        <w:t xml:space="preserve">Препратка: Членове 94 и 95 от </w:t>
      </w:r>
      <w:r w:rsidR="00A1192D">
        <w:rPr>
          <w:color w:val="000000"/>
        </w:rPr>
        <w:t>РОР</w:t>
      </w:r>
    </w:p>
    <w:p w14:paraId="0C58CA22"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1613"/>
        <w:gridCol w:w="1631"/>
      </w:tblGrid>
      <w:tr w:rsidR="00FE6FD5" w14:paraId="6C829B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4F2BE1" w14:textId="77777777" w:rsidR="00A77B3E" w:rsidRDefault="00AD19A4">
            <w:pPr>
              <w:spacing w:before="100"/>
              <w:jc w:val="center"/>
              <w:rPr>
                <w:color w:val="000000"/>
                <w:sz w:val="20"/>
              </w:rPr>
            </w:pPr>
            <w:r>
              <w:rPr>
                <w:color w:val="000000"/>
                <w:sz w:val="20"/>
              </w:rPr>
              <w:t xml:space="preserve">Предназначение на членове 94 и 95 от </w:t>
            </w:r>
            <w:r w:rsidR="00A1192D">
              <w:rPr>
                <w:color w:val="000000"/>
                <w:sz w:val="20"/>
              </w:rPr>
              <w:t>РОР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53330E" w14:textId="77777777" w:rsidR="00A77B3E" w:rsidRDefault="00AD19A4">
            <w:pPr>
              <w:spacing w:before="100"/>
              <w:jc w:val="center"/>
              <w:rPr>
                <w:color w:val="000000"/>
                <w:sz w:val="20"/>
              </w:rPr>
            </w:pPr>
            <w:r>
              <w:rPr>
                <w:color w:val="000000"/>
                <w:sz w:val="20"/>
              </w:rPr>
              <w:t>Да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DA4B2B" w14:textId="77777777" w:rsidR="00A77B3E" w:rsidRDefault="00AD19A4">
            <w:pPr>
              <w:spacing w:before="100"/>
              <w:jc w:val="center"/>
              <w:rPr>
                <w:color w:val="000000"/>
                <w:sz w:val="20"/>
              </w:rPr>
            </w:pPr>
            <w:r>
              <w:rPr>
                <w:color w:val="000000"/>
                <w:sz w:val="20"/>
              </w:rPr>
              <w:t>Не</w:t>
            </w:r>
          </w:p>
        </w:tc>
      </w:tr>
      <w:tr w:rsidR="00FE6FD5" w14:paraId="254235B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93252E" w14:textId="77777777" w:rsidR="00A77B3E" w:rsidRDefault="00AD19A4">
            <w:pPr>
              <w:spacing w:before="100"/>
              <w:rPr>
                <w:color w:val="000000"/>
                <w:sz w:val="20"/>
              </w:rPr>
            </w:pPr>
            <w:r>
              <w:rPr>
                <w:color w:val="000000"/>
                <w:sz w:val="20"/>
              </w:rPr>
              <w:t>От приемането си програмата ще използва възстановяване на приноса на Съюза въз основа на единични разходи, еднократни суми и фиксирани ставки по приоритета съгласно член 94 от РОР.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0646C7" w14:textId="77777777" w:rsidR="00A77B3E" w:rsidRDefault="00AD19A4">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183280">
              <w:rPr>
                <w:color w:val="000000"/>
                <w:sz w:val="20"/>
              </w:rPr>
            </w:r>
            <w:r w:rsidR="00183280">
              <w:rPr>
                <w:color w:val="000000"/>
                <w:sz w:val="20"/>
              </w:rPr>
              <w:fldChar w:fldCharType="separate"/>
            </w:r>
            <w:r>
              <w:rPr>
                <w:color w:val="000000"/>
                <w:sz w:val="20"/>
              </w:rPr>
              <w:fldChar w:fldCharType="end"/>
            </w:r>
            <w:r>
              <w:rPr>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61DCF" w14:textId="77777777" w:rsidR="00A77B3E" w:rsidRDefault="00AD19A4">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183280">
              <w:rPr>
                <w:color w:val="000000"/>
                <w:sz w:val="20"/>
              </w:rPr>
            </w:r>
            <w:r w:rsidR="00183280">
              <w:rPr>
                <w:color w:val="000000"/>
                <w:sz w:val="20"/>
              </w:rPr>
              <w:fldChar w:fldCharType="separate"/>
            </w:r>
            <w:r>
              <w:rPr>
                <w:color w:val="000000"/>
                <w:sz w:val="20"/>
              </w:rPr>
              <w:fldChar w:fldCharType="end"/>
            </w:r>
            <w:r>
              <w:rPr>
                <w:color w:val="000000"/>
                <w:sz w:val="20"/>
              </w:rPr>
              <w:t xml:space="preserve"> </w:t>
            </w:r>
          </w:p>
        </w:tc>
      </w:tr>
      <w:tr w:rsidR="00FE6FD5" w14:paraId="5374CC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27035" w14:textId="77777777" w:rsidR="00A77B3E" w:rsidRDefault="00AD19A4">
            <w:pPr>
              <w:spacing w:before="100"/>
              <w:rPr>
                <w:color w:val="000000"/>
                <w:sz w:val="20"/>
              </w:rPr>
            </w:pPr>
            <w:r>
              <w:rPr>
                <w:color w:val="000000"/>
                <w:sz w:val="20"/>
              </w:rPr>
              <w:t>От приемането си програмата ще използва възстановяване на приноса на Съюза въз основа на финансиране, което не е свързано с разходи, съгласно член 95 от РОР.</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7A832" w14:textId="77777777" w:rsidR="00A77B3E" w:rsidRDefault="00AD19A4">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183280">
              <w:rPr>
                <w:color w:val="000000"/>
                <w:sz w:val="20"/>
              </w:rPr>
            </w:r>
            <w:r w:rsidR="00183280">
              <w:rPr>
                <w:color w:val="000000"/>
                <w:sz w:val="20"/>
              </w:rPr>
              <w:fldChar w:fldCharType="separate"/>
            </w:r>
            <w:r>
              <w:rPr>
                <w:color w:val="000000"/>
                <w:sz w:val="20"/>
              </w:rPr>
              <w:fldChar w:fldCharType="end"/>
            </w:r>
            <w:r>
              <w:rPr>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AC8B9E" w14:textId="77777777" w:rsidR="00A77B3E" w:rsidRDefault="00AD19A4">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183280">
              <w:rPr>
                <w:color w:val="000000"/>
                <w:sz w:val="20"/>
              </w:rPr>
            </w:r>
            <w:r w:rsidR="00183280">
              <w:rPr>
                <w:color w:val="000000"/>
                <w:sz w:val="20"/>
              </w:rPr>
              <w:fldChar w:fldCharType="separate"/>
            </w:r>
            <w:r>
              <w:rPr>
                <w:color w:val="000000"/>
                <w:sz w:val="20"/>
              </w:rPr>
              <w:fldChar w:fldCharType="end"/>
            </w:r>
            <w:r>
              <w:rPr>
                <w:color w:val="000000"/>
                <w:sz w:val="20"/>
              </w:rPr>
              <w:t xml:space="preserve"> </w:t>
            </w:r>
          </w:p>
        </w:tc>
      </w:tr>
    </w:tbl>
    <w:p w14:paraId="42E346E6" w14:textId="77777777" w:rsidR="00A77B3E" w:rsidRDefault="00A77B3E">
      <w:pPr>
        <w:spacing w:before="100"/>
        <w:jc w:val="center"/>
        <w:rPr>
          <w:color w:val="000000"/>
          <w:sz w:val="20"/>
        </w:rPr>
        <w:sectPr w:rsidR="00A77B3E">
          <w:headerReference w:type="even" r:id="rId62"/>
          <w:headerReference w:type="default" r:id="rId63"/>
          <w:footerReference w:type="even" r:id="rId64"/>
          <w:footerReference w:type="default" r:id="rId65"/>
          <w:headerReference w:type="first" r:id="rId66"/>
          <w:footerReference w:type="first" r:id="rId67"/>
          <w:pgSz w:w="11906" w:h="16838"/>
          <w:pgMar w:top="720" w:right="936" w:bottom="864" w:left="720" w:header="0" w:footer="72" w:gutter="0"/>
          <w:cols w:space="720"/>
          <w:noEndnote/>
          <w:docGrid w:linePitch="360"/>
        </w:sectPr>
      </w:pPr>
    </w:p>
    <w:p w14:paraId="2423BA87" w14:textId="77777777" w:rsidR="00A77B3E" w:rsidRDefault="00AD19A4">
      <w:pPr>
        <w:pStyle w:val="Heading1"/>
        <w:spacing w:before="100" w:after="0"/>
        <w:rPr>
          <w:rFonts w:ascii="Times New Roman" w:hAnsi="Times New Roman" w:cs="Times New Roman"/>
          <w:b w:val="0"/>
          <w:color w:val="000000"/>
          <w:sz w:val="24"/>
        </w:rPr>
      </w:pPr>
      <w:bookmarkStart w:id="33" w:name="_Toc256000081"/>
      <w:r>
        <w:rPr>
          <w:rFonts w:ascii="Times New Roman" w:hAnsi="Times New Roman" w:cs="Times New Roman"/>
          <w:b w:val="0"/>
          <w:color w:val="000000"/>
          <w:sz w:val="24"/>
        </w:rPr>
        <w:lastRenderedPageBreak/>
        <w:t>Приложение 1: Принос на Съюза въз основа на единични разходи, еднократни суми и фиксирани ставки</w:t>
      </w:r>
      <w:bookmarkEnd w:id="33"/>
    </w:p>
    <w:p w14:paraId="09B77FC6" w14:textId="77777777" w:rsidR="00A77B3E" w:rsidRDefault="00AD19A4">
      <w:pPr>
        <w:pStyle w:val="Heading2"/>
        <w:spacing w:before="100" w:after="0"/>
        <w:rPr>
          <w:rFonts w:ascii="Times New Roman" w:hAnsi="Times New Roman" w:cs="Times New Roman"/>
          <w:b w:val="0"/>
          <w:i w:val="0"/>
          <w:color w:val="000000"/>
          <w:sz w:val="24"/>
        </w:rPr>
      </w:pPr>
      <w:bookmarkStart w:id="34" w:name="_Toc256000082"/>
      <w:r>
        <w:rPr>
          <w:rFonts w:ascii="Times New Roman" w:hAnsi="Times New Roman" w:cs="Times New Roman"/>
          <w:b w:val="0"/>
          <w:i w:val="0"/>
          <w:color w:val="000000"/>
          <w:sz w:val="24"/>
        </w:rPr>
        <w:t>А. Обобщение на основните елементи</w:t>
      </w:r>
      <w:bookmarkEnd w:id="34"/>
    </w:p>
    <w:p w14:paraId="5FAD8148"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498"/>
        <w:gridCol w:w="1297"/>
        <w:gridCol w:w="1996"/>
        <w:gridCol w:w="1297"/>
        <w:gridCol w:w="1996"/>
        <w:gridCol w:w="1498"/>
        <w:gridCol w:w="1199"/>
        <w:gridCol w:w="1498"/>
      </w:tblGrid>
      <w:tr w:rsidR="00FE6FD5" w14:paraId="0AD53870" w14:textId="77777777">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458365" w14:textId="77777777" w:rsidR="00A77B3E" w:rsidRDefault="00AD19A4">
            <w:pPr>
              <w:spacing w:before="100"/>
              <w:jc w:val="center"/>
              <w:rPr>
                <w:color w:val="000000"/>
                <w:sz w:val="12"/>
              </w:rPr>
            </w:pPr>
            <w:r>
              <w:rPr>
                <w:color w:val="000000"/>
                <w:sz w:val="12"/>
              </w:rPr>
              <w:t>Специфична 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CE842B" w14:textId="77777777" w:rsidR="00A77B3E" w:rsidRDefault="00AD19A4">
            <w:pPr>
              <w:spacing w:before="100"/>
              <w:jc w:val="center"/>
              <w:rPr>
                <w:color w:val="000000"/>
                <w:sz w:val="12"/>
              </w:rPr>
            </w:pPr>
            <w:r>
              <w:rPr>
                <w:color w:val="000000"/>
                <w:sz w:val="12"/>
              </w:rPr>
              <w:t>Очакван дял от общото разпределение на финансовите средства в рамките на специфичната цел, към който ще се прилага овластяването на разходите (SCO) в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15496" w14:textId="77777777" w:rsidR="00A77B3E" w:rsidRDefault="00AD19A4">
            <w:pPr>
              <w:spacing w:before="100"/>
              <w:jc w:val="center"/>
              <w:rPr>
                <w:color w:val="000000"/>
                <w:sz w:val="12"/>
              </w:rPr>
            </w:pPr>
            <w:r>
              <w:rPr>
                <w:color w:val="000000"/>
                <w:sz w:val="12"/>
              </w:rPr>
              <w:t>Вид(ове) на обхванатата(ите) операция(и)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06FF24" w14:textId="77777777" w:rsidR="00A77B3E" w:rsidRDefault="00AD19A4">
            <w:pPr>
              <w:spacing w:before="100"/>
              <w:jc w:val="center"/>
              <w:rPr>
                <w:color w:val="000000"/>
                <w:sz w:val="12"/>
              </w:rPr>
            </w:pPr>
            <w:r>
              <w:rPr>
                <w:color w:val="000000"/>
                <w:sz w:val="12"/>
              </w:rPr>
              <w:t>Индикатор, задействащ възстановяване на разходи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7703A3" w14:textId="77777777" w:rsidR="00A77B3E" w:rsidRDefault="00AD19A4">
            <w:pPr>
              <w:spacing w:before="100"/>
              <w:jc w:val="center"/>
              <w:rPr>
                <w:color w:val="000000"/>
                <w:sz w:val="12"/>
              </w:rPr>
            </w:pPr>
            <w:r>
              <w:rPr>
                <w:color w:val="000000"/>
                <w:sz w:val="12"/>
              </w:rPr>
              <w:t>Мерна единица за показателя, задействащ възстановяването на разходи</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D34BD8" w14:textId="77777777" w:rsidR="00A77B3E" w:rsidRDefault="00AD19A4">
            <w:pPr>
              <w:spacing w:before="100"/>
              <w:jc w:val="center"/>
              <w:rPr>
                <w:color w:val="000000"/>
                <w:sz w:val="12"/>
              </w:rPr>
            </w:pPr>
            <w:r>
              <w:rPr>
                <w:color w:val="000000"/>
                <w:sz w:val="12"/>
              </w:rPr>
              <w:t>Вид на ОВР (стандартна скала на единичните разходи, еднократни суми или фиксирани ставки)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119030" w14:textId="77777777" w:rsidR="00A77B3E" w:rsidRDefault="00AD19A4">
            <w:pPr>
              <w:spacing w:before="100"/>
              <w:jc w:val="center"/>
              <w:rPr>
                <w:color w:val="000000"/>
                <w:sz w:val="12"/>
              </w:rPr>
            </w:pPr>
            <w:r>
              <w:rPr>
                <w:color w:val="000000"/>
                <w:sz w:val="12"/>
              </w:rPr>
              <w:t>Размер (в евро) или процент (в случай на фиксирани ставки) на овластителното плащане</w:t>
            </w:r>
          </w:p>
        </w:tc>
      </w:tr>
      <w:tr w:rsidR="00FE6FD5" w14:paraId="194E4B79" w14:textId="77777777">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2E09A"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CF4B77" w14:textId="77777777"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8ECDB3" w14:textId="77777777" w:rsidR="00A77B3E" w:rsidRDefault="00AD19A4">
            <w:pPr>
              <w:spacing w:before="100"/>
              <w:jc w:val="center"/>
              <w:rPr>
                <w:color w:val="000000"/>
                <w:sz w:val="12"/>
              </w:rPr>
            </w:pPr>
            <w:r>
              <w:rPr>
                <w:color w:val="000000"/>
                <w:sz w:val="12"/>
              </w:rPr>
              <w:t>Код(1)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763214" w14:textId="77777777" w:rsidR="00A77B3E" w:rsidRDefault="00AD19A4">
            <w:pPr>
              <w:spacing w:before="100"/>
              <w:jc w:val="center"/>
              <w:rPr>
                <w:color w:val="000000"/>
                <w:sz w:val="12"/>
              </w:rPr>
            </w:pPr>
            <w:r>
              <w:rPr>
                <w:color w:val="000000"/>
                <w:sz w:val="12"/>
              </w:rPr>
              <w:t>Описание</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C123E" w14:textId="77777777" w:rsidR="00A77B3E" w:rsidRDefault="00AD19A4">
            <w:pPr>
              <w:spacing w:before="100"/>
              <w:jc w:val="center"/>
              <w:rPr>
                <w:color w:val="000000"/>
                <w:sz w:val="12"/>
              </w:rPr>
            </w:pPr>
            <w:r>
              <w:rPr>
                <w:color w:val="000000"/>
                <w:sz w:val="12"/>
              </w:rPr>
              <w:t>Код (2)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049A6F" w14:textId="77777777" w:rsidR="00A77B3E" w:rsidRDefault="00AD19A4">
            <w:pPr>
              <w:spacing w:before="100"/>
              <w:jc w:val="center"/>
              <w:rPr>
                <w:color w:val="000000"/>
                <w:sz w:val="12"/>
              </w:rPr>
            </w:pPr>
            <w:r>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A559DC" w14:textId="77777777"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7515FA"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D8F57B" w14:textId="77777777" w:rsidR="00A77B3E" w:rsidRDefault="00A77B3E">
            <w:pPr>
              <w:spacing w:before="100"/>
              <w:jc w:val="center"/>
              <w:rPr>
                <w:color w:val="000000"/>
                <w:sz w:val="12"/>
              </w:rPr>
            </w:pPr>
          </w:p>
        </w:tc>
      </w:tr>
    </w:tbl>
    <w:p w14:paraId="6BB227FD" w14:textId="77777777" w:rsidR="00A77B3E" w:rsidRDefault="00AD19A4">
      <w:pPr>
        <w:spacing w:before="100"/>
        <w:rPr>
          <w:color w:val="000000"/>
          <w:sz w:val="12"/>
        </w:rPr>
      </w:pPr>
      <w:r>
        <w:rPr>
          <w:color w:val="000000"/>
          <w:sz w:val="12"/>
        </w:rPr>
        <w:t xml:space="preserve">(1) Това се отнася до кода в приложение VI към регламентите за ФУМИ, </w:t>
      </w:r>
      <w:r w:rsidR="004B3C80">
        <w:rPr>
          <w:color w:val="000000"/>
          <w:sz w:val="12"/>
        </w:rPr>
        <w:t>ИГУВП</w:t>
      </w:r>
      <w:r>
        <w:rPr>
          <w:color w:val="000000"/>
          <w:sz w:val="12"/>
        </w:rPr>
        <w:t xml:space="preserve"> и ИСФ.</w:t>
      </w:r>
    </w:p>
    <w:p w14:paraId="2CB4F63E" w14:textId="77777777" w:rsidR="00A77B3E" w:rsidRDefault="00AD19A4">
      <w:pPr>
        <w:spacing w:before="100"/>
        <w:rPr>
          <w:color w:val="000000"/>
          <w:sz w:val="12"/>
        </w:rPr>
      </w:pPr>
      <w:r>
        <w:rPr>
          <w:color w:val="000000"/>
          <w:sz w:val="12"/>
        </w:rPr>
        <w:t>(2) Това се отнася до кода на общ индикатор, ако е приложимо.</w:t>
      </w:r>
    </w:p>
    <w:p w14:paraId="35578091" w14:textId="77777777" w:rsidR="00A77B3E" w:rsidRDefault="00A77B3E">
      <w:pPr>
        <w:spacing w:before="100"/>
        <w:rPr>
          <w:color w:val="000000"/>
        </w:rPr>
        <w:sectPr w:rsidR="00A77B3E">
          <w:headerReference w:type="even" r:id="rId68"/>
          <w:headerReference w:type="default" r:id="rId69"/>
          <w:footerReference w:type="even" r:id="rId70"/>
          <w:footerReference w:type="default" r:id="rId71"/>
          <w:headerReference w:type="first" r:id="rId72"/>
          <w:footerReference w:type="first" r:id="rId73"/>
          <w:pgSz w:w="16838" w:h="11906" w:orient="landscape"/>
          <w:pgMar w:top="720" w:right="720" w:bottom="864" w:left="936" w:header="288" w:footer="72" w:gutter="0"/>
          <w:cols w:space="720"/>
          <w:noEndnote/>
          <w:docGrid w:linePitch="360"/>
        </w:sectPr>
      </w:pPr>
    </w:p>
    <w:p w14:paraId="78EBFE8F" w14:textId="77777777" w:rsidR="00A77B3E" w:rsidRDefault="00AD19A4">
      <w:pPr>
        <w:spacing w:before="100"/>
        <w:rPr>
          <w:color w:val="000000"/>
        </w:rPr>
      </w:pPr>
      <w:r>
        <w:rPr>
          <w:color w:val="000000"/>
        </w:rPr>
        <w:lastRenderedPageBreak/>
        <w:t>Приложение 1: Принос на Съюза въз основа на единични разходи, еднократни суми и фиксирани ставки</w:t>
      </w:r>
    </w:p>
    <w:p w14:paraId="1091A385" w14:textId="77777777" w:rsidR="00A77B3E" w:rsidRDefault="00AD19A4">
      <w:pPr>
        <w:pStyle w:val="Heading2"/>
        <w:spacing w:before="100" w:after="0"/>
        <w:rPr>
          <w:rFonts w:ascii="Times New Roman" w:hAnsi="Times New Roman" w:cs="Times New Roman"/>
          <w:b w:val="0"/>
          <w:i w:val="0"/>
          <w:color w:val="000000"/>
          <w:sz w:val="24"/>
        </w:rPr>
      </w:pPr>
      <w:bookmarkStart w:id="35" w:name="_Toc256000083"/>
      <w:r>
        <w:rPr>
          <w:rFonts w:ascii="Times New Roman" w:hAnsi="Times New Roman" w:cs="Times New Roman"/>
          <w:b w:val="0"/>
          <w:i w:val="0"/>
          <w:color w:val="000000"/>
          <w:sz w:val="24"/>
        </w:rPr>
        <w:t>Б. Подробности по вид операция</w:t>
      </w:r>
      <w:bookmarkEnd w:id="35"/>
    </w:p>
    <w:p w14:paraId="3E3AEAA0"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7547D6A3" w14:textId="77777777" w:rsidR="00A77B3E" w:rsidRDefault="00AD19A4">
      <w:pPr>
        <w:pStyle w:val="Heading2"/>
        <w:spacing w:before="100" w:after="0"/>
        <w:rPr>
          <w:rFonts w:ascii="TimesNewRoman" w:eastAsia="TimesNewRoman" w:hAnsi="TimesNewRoman" w:cs="TimesNewRoman"/>
          <w:b w:val="0"/>
          <w:i w:val="0"/>
          <w:color w:val="000000"/>
          <w:sz w:val="24"/>
        </w:rPr>
      </w:pPr>
      <w:bookmarkStart w:id="36" w:name="_Toc256000084"/>
      <w:r>
        <w:rPr>
          <w:rFonts w:ascii="TimesNewRoman" w:eastAsia="TimesNewRoman" w:hAnsi="TimesNewRoman" w:cs="TimesNewRoman"/>
          <w:b w:val="0"/>
          <w:i w:val="0"/>
          <w:color w:val="000000"/>
          <w:sz w:val="24"/>
        </w:rPr>
        <w:lastRenderedPageBreak/>
        <w:t>В. Изчисляване на стандартната скала на единичните разходи, еднократните суми или фиксираните ставки</w:t>
      </w:r>
      <w:bookmarkEnd w:id="36"/>
    </w:p>
    <w:p w14:paraId="6002153D" w14:textId="77777777" w:rsidR="00A77B3E" w:rsidRDefault="00AD19A4">
      <w:pPr>
        <w:pStyle w:val="Heading4"/>
        <w:spacing w:before="100" w:after="0"/>
        <w:rPr>
          <w:rFonts w:ascii="TimesNewRoman" w:eastAsia="TimesNewRoman" w:hAnsi="TimesNewRoman" w:cs="TimesNewRoman"/>
          <w:b w:val="0"/>
          <w:color w:val="000000"/>
          <w:sz w:val="24"/>
        </w:rPr>
      </w:pPr>
      <w:bookmarkStart w:id="37" w:name="_Toc256000085"/>
      <w:r>
        <w:rPr>
          <w:rFonts w:ascii="TimesNewRoman" w:eastAsia="TimesNewRoman" w:hAnsi="TimesNewRoman" w:cs="TimesNewRoman"/>
          <w:b w:val="0"/>
          <w:color w:val="000000"/>
          <w:sz w:val="24"/>
        </w:rPr>
        <w:t>1. Източник на данните, използвани за изчисляване на стандартната скала на единичните разходи, еднократните суми или фиксираните ставки (кой е изготвил, събрал и записал данните, къде се съхраняват данните, крайни срокове, валидиране и др.)</w:t>
      </w:r>
      <w:bookmarkEnd w:id="37"/>
    </w:p>
    <w:p w14:paraId="4AF59FE6" w14:textId="77777777" w:rsidR="00A77B3E" w:rsidRDefault="00A77B3E">
      <w:pPr>
        <w:spacing w:before="100"/>
        <w:rPr>
          <w:rFonts w:ascii="TimesNewRoman" w:eastAsia="TimesNewRoman" w:hAnsi="TimesNewRoman" w:cs="TimesNewRoman"/>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6FD5" w14:paraId="535E5A90"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4C04131F" w14:textId="77777777" w:rsidR="00A77B3E" w:rsidRDefault="00A77B3E">
            <w:pPr>
              <w:spacing w:before="100"/>
              <w:rPr>
                <w:color w:val="000000"/>
              </w:rPr>
            </w:pPr>
          </w:p>
        </w:tc>
      </w:tr>
    </w:tbl>
    <w:p w14:paraId="65C51908" w14:textId="77777777" w:rsidR="00A77B3E" w:rsidRDefault="00AD19A4">
      <w:pPr>
        <w:pStyle w:val="Heading4"/>
        <w:spacing w:before="100" w:after="0"/>
        <w:rPr>
          <w:b w:val="0"/>
          <w:color w:val="000000"/>
          <w:sz w:val="24"/>
        </w:rPr>
      </w:pPr>
      <w:r>
        <w:rPr>
          <w:b w:val="0"/>
          <w:color w:val="000000"/>
          <w:sz w:val="24"/>
        </w:rPr>
        <w:br w:type="page"/>
      </w:r>
      <w:bookmarkStart w:id="38" w:name="_Toc256000086"/>
      <w:r>
        <w:rPr>
          <w:b w:val="0"/>
          <w:color w:val="000000"/>
          <w:sz w:val="24"/>
        </w:rPr>
        <w:lastRenderedPageBreak/>
        <w:t xml:space="preserve">2. Моля, уточнете защо предложеният метод и изчисление, основани на член 94(2) от </w:t>
      </w:r>
      <w:r w:rsidR="00A1192D">
        <w:rPr>
          <w:b w:val="0"/>
          <w:color w:val="000000"/>
          <w:sz w:val="24"/>
        </w:rPr>
        <w:t>РОР</w:t>
      </w:r>
      <w:r>
        <w:rPr>
          <w:b w:val="0"/>
          <w:color w:val="000000"/>
          <w:sz w:val="24"/>
        </w:rPr>
        <w:t>, са от значение за вида операция.</w:t>
      </w:r>
      <w:bookmarkEnd w:id="38"/>
    </w:p>
    <w:p w14:paraId="555E3620"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6FD5" w14:paraId="6EF89119"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A4F4AE2" w14:textId="77777777" w:rsidR="00A77B3E" w:rsidRDefault="00A77B3E">
            <w:pPr>
              <w:spacing w:before="100"/>
              <w:rPr>
                <w:color w:val="000000"/>
              </w:rPr>
            </w:pPr>
          </w:p>
        </w:tc>
      </w:tr>
    </w:tbl>
    <w:p w14:paraId="50E3537B" w14:textId="77777777" w:rsidR="00A77B3E" w:rsidRDefault="00AD19A4">
      <w:pPr>
        <w:pStyle w:val="Heading4"/>
        <w:spacing w:before="100" w:after="0"/>
        <w:rPr>
          <w:b w:val="0"/>
          <w:color w:val="000000"/>
          <w:sz w:val="24"/>
        </w:rPr>
      </w:pPr>
      <w:r>
        <w:rPr>
          <w:b w:val="0"/>
          <w:color w:val="000000"/>
          <w:sz w:val="24"/>
        </w:rPr>
        <w:br w:type="page"/>
      </w:r>
      <w:bookmarkStart w:id="39" w:name="_Toc256000087"/>
      <w:r>
        <w:rPr>
          <w:b w:val="0"/>
          <w:color w:val="000000"/>
          <w:sz w:val="24"/>
        </w:rPr>
        <w:lastRenderedPageBreak/>
        <w:t>3. Моля, уточнете как са направени изчисленията, по-специално включително всички направени допускания по отношение на качеството или количествата. Когато е уместно, следва да се използват статистически данни и референтни показатели и, ако бъде поискано, да се предоставят във формат, който може да се използва от Комисията.</w:t>
      </w:r>
      <w:bookmarkEnd w:id="39"/>
    </w:p>
    <w:p w14:paraId="3C068900"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6FD5" w14:paraId="7FB6ADE8"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1C28D61" w14:textId="77777777" w:rsidR="00A77B3E" w:rsidRDefault="00A77B3E">
            <w:pPr>
              <w:spacing w:before="100"/>
              <w:rPr>
                <w:color w:val="000000"/>
              </w:rPr>
            </w:pPr>
          </w:p>
        </w:tc>
      </w:tr>
    </w:tbl>
    <w:p w14:paraId="1E3A9E29" w14:textId="77777777" w:rsidR="00A77B3E" w:rsidRDefault="00AD19A4">
      <w:pPr>
        <w:pStyle w:val="Heading4"/>
        <w:spacing w:before="100" w:after="0"/>
        <w:rPr>
          <w:b w:val="0"/>
          <w:color w:val="000000"/>
          <w:sz w:val="24"/>
        </w:rPr>
      </w:pPr>
      <w:r>
        <w:rPr>
          <w:b w:val="0"/>
          <w:color w:val="000000"/>
          <w:sz w:val="24"/>
        </w:rPr>
        <w:br w:type="page"/>
      </w:r>
      <w:bookmarkStart w:id="40" w:name="_Toc256000088"/>
      <w:r>
        <w:rPr>
          <w:b w:val="0"/>
          <w:color w:val="000000"/>
          <w:sz w:val="24"/>
        </w:rPr>
        <w:lastRenderedPageBreak/>
        <w:t>4. Моля, обяснете как сте гарантирали, че само допустимите разходи са включени в изчисляването на стандартната скала за единични разходи, еднократната сума или фиксираната ставка.</w:t>
      </w:r>
      <w:bookmarkEnd w:id="40"/>
    </w:p>
    <w:p w14:paraId="49D24E8E"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6FD5" w14:paraId="733E00D8"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41C7840" w14:textId="77777777" w:rsidR="00A77B3E" w:rsidRDefault="00A77B3E">
            <w:pPr>
              <w:spacing w:before="100"/>
              <w:rPr>
                <w:color w:val="000000"/>
              </w:rPr>
            </w:pPr>
          </w:p>
        </w:tc>
      </w:tr>
    </w:tbl>
    <w:p w14:paraId="2CB35741" w14:textId="77777777" w:rsidR="00A77B3E" w:rsidRDefault="00AD19A4">
      <w:pPr>
        <w:pStyle w:val="Heading4"/>
        <w:spacing w:before="100" w:after="0"/>
        <w:rPr>
          <w:b w:val="0"/>
          <w:color w:val="000000"/>
          <w:sz w:val="24"/>
        </w:rPr>
      </w:pPr>
      <w:r>
        <w:rPr>
          <w:b w:val="0"/>
          <w:color w:val="000000"/>
          <w:sz w:val="24"/>
        </w:rPr>
        <w:br w:type="page"/>
      </w:r>
      <w:bookmarkStart w:id="41" w:name="_Toc256000089"/>
      <w:r>
        <w:rPr>
          <w:b w:val="0"/>
          <w:color w:val="000000"/>
          <w:sz w:val="24"/>
        </w:rPr>
        <w:lastRenderedPageBreak/>
        <w:t>5. Оценка на одитния(ите) орган(и) на методологията за изчисление и сумите, както и на мерките за осигуряване на проверката, качеството, събирането и съхранението на данните.</w:t>
      </w:r>
      <w:bookmarkEnd w:id="41"/>
    </w:p>
    <w:p w14:paraId="77272AF5" w14:textId="77777777"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6FD5" w14:paraId="28E5710A" w14:textId="77777777">
        <w:tc>
          <w:tcPr>
            <w:tcW w:w="1650"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4A7EABF" w14:textId="77777777" w:rsidR="00A77B3E" w:rsidRDefault="00A77B3E">
            <w:pPr>
              <w:spacing w:before="100"/>
              <w:rPr>
                <w:color w:val="000000"/>
              </w:rPr>
            </w:pPr>
          </w:p>
        </w:tc>
      </w:tr>
    </w:tbl>
    <w:p w14:paraId="052E4356" w14:textId="77777777" w:rsidR="00A77B3E" w:rsidRDefault="00A77B3E">
      <w:pPr>
        <w:spacing w:before="100"/>
        <w:rPr>
          <w:color w:val="000000"/>
        </w:rPr>
        <w:sectPr w:rsidR="00A77B3E">
          <w:headerReference w:type="even" r:id="rId74"/>
          <w:headerReference w:type="default" r:id="rId75"/>
          <w:footerReference w:type="even" r:id="rId76"/>
          <w:footerReference w:type="default" r:id="rId77"/>
          <w:headerReference w:type="first" r:id="rId78"/>
          <w:footerReference w:type="first" r:id="rId79"/>
          <w:pgSz w:w="11906" w:h="16838"/>
          <w:pgMar w:top="720" w:right="936" w:bottom="864" w:left="720" w:header="0" w:footer="72" w:gutter="0"/>
          <w:cols w:space="720"/>
          <w:noEndnote/>
          <w:docGrid w:linePitch="360"/>
        </w:sectPr>
      </w:pPr>
    </w:p>
    <w:p w14:paraId="5AD9DE48" w14:textId="77777777" w:rsidR="00A77B3E" w:rsidRDefault="00AD19A4">
      <w:pPr>
        <w:pStyle w:val="Heading1"/>
        <w:spacing w:before="100" w:after="0"/>
        <w:rPr>
          <w:rFonts w:ascii="Times New Roman" w:hAnsi="Times New Roman" w:cs="Times New Roman"/>
          <w:b w:val="0"/>
          <w:color w:val="000000"/>
          <w:sz w:val="24"/>
        </w:rPr>
      </w:pPr>
      <w:bookmarkStart w:id="42" w:name="_Toc256000090"/>
      <w:r>
        <w:rPr>
          <w:rFonts w:ascii="Times New Roman" w:hAnsi="Times New Roman" w:cs="Times New Roman"/>
          <w:b w:val="0"/>
          <w:color w:val="000000"/>
          <w:sz w:val="24"/>
        </w:rPr>
        <w:lastRenderedPageBreak/>
        <w:t>Приложение 2: Принос на Съюза въз основа на финансиране, което не е свързано с разходи</w:t>
      </w:r>
      <w:bookmarkEnd w:id="42"/>
    </w:p>
    <w:p w14:paraId="73315827" w14:textId="77777777" w:rsidR="00A77B3E" w:rsidRDefault="00AD19A4">
      <w:pPr>
        <w:pStyle w:val="Heading2"/>
        <w:spacing w:before="100" w:after="0"/>
        <w:rPr>
          <w:rFonts w:ascii="Times New Roman" w:hAnsi="Times New Roman" w:cs="Times New Roman"/>
          <w:b w:val="0"/>
          <w:i w:val="0"/>
          <w:color w:val="000000"/>
          <w:sz w:val="24"/>
        </w:rPr>
      </w:pPr>
      <w:bookmarkStart w:id="43" w:name="_Toc256000091"/>
      <w:r>
        <w:rPr>
          <w:rFonts w:ascii="Times New Roman" w:hAnsi="Times New Roman" w:cs="Times New Roman"/>
          <w:b w:val="0"/>
          <w:i w:val="0"/>
          <w:color w:val="000000"/>
          <w:sz w:val="24"/>
        </w:rPr>
        <w:t>А. Обобщение на основните елементи</w:t>
      </w:r>
      <w:bookmarkEnd w:id="43"/>
    </w:p>
    <w:p w14:paraId="470FD4DE"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569"/>
        <w:gridCol w:w="1255"/>
        <w:gridCol w:w="1570"/>
        <w:gridCol w:w="1883"/>
        <w:gridCol w:w="1570"/>
        <w:gridCol w:w="1570"/>
        <w:gridCol w:w="1570"/>
        <w:gridCol w:w="2093"/>
      </w:tblGrid>
      <w:tr w:rsidR="00FE6FD5" w14:paraId="7396BF89" w14:textId="77777777">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661680" w14:textId="77777777" w:rsidR="00A77B3E" w:rsidRDefault="00AD19A4">
            <w:pPr>
              <w:spacing w:before="100"/>
              <w:jc w:val="center"/>
              <w:rPr>
                <w:color w:val="000000"/>
                <w:sz w:val="12"/>
              </w:rPr>
            </w:pPr>
            <w:r>
              <w:rPr>
                <w:color w:val="000000"/>
                <w:sz w:val="12"/>
              </w:rPr>
              <w:t>Специфична цел</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79FBC5" w14:textId="77777777" w:rsidR="00A77B3E" w:rsidRDefault="00AD19A4">
            <w:pPr>
              <w:spacing w:before="100"/>
              <w:jc w:val="center"/>
              <w:rPr>
                <w:color w:val="000000"/>
                <w:sz w:val="12"/>
              </w:rPr>
            </w:pPr>
            <w:r>
              <w:rPr>
                <w:color w:val="000000"/>
                <w:sz w:val="12"/>
              </w:rPr>
              <w:t>Сумата, покрита от финансирането, не е свързана с разходи</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BCBB82" w14:textId="77777777" w:rsidR="00A77B3E" w:rsidRDefault="00AD19A4">
            <w:pPr>
              <w:spacing w:before="100"/>
              <w:jc w:val="center"/>
              <w:rPr>
                <w:color w:val="000000"/>
                <w:sz w:val="12"/>
              </w:rPr>
            </w:pPr>
            <w:r>
              <w:rPr>
                <w:color w:val="000000"/>
                <w:sz w:val="12"/>
              </w:rPr>
              <w:t>Вид(ове) на обхванатата(ите) операция(и)</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726FAD" w14:textId="77777777" w:rsidR="00A77B3E" w:rsidRDefault="00AD19A4">
            <w:pPr>
              <w:spacing w:before="100"/>
              <w:jc w:val="center"/>
              <w:rPr>
                <w:color w:val="000000"/>
                <w:sz w:val="12"/>
              </w:rPr>
            </w:pPr>
            <w:r>
              <w:rPr>
                <w:color w:val="000000"/>
                <w:sz w:val="12"/>
              </w:rPr>
              <w:t>Условия, които трябва да бъдат изпълнени/резултати, които трябва да бъдат постигнати, за да се даде възможност за възстановяване на разходите от Комисията</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3306A9" w14:textId="77777777" w:rsidR="00A77B3E" w:rsidRDefault="00AD19A4">
            <w:pPr>
              <w:spacing w:before="100"/>
              <w:jc w:val="center"/>
              <w:rPr>
                <w:color w:val="000000"/>
                <w:sz w:val="12"/>
              </w:rPr>
            </w:pPr>
            <w:r>
              <w:rPr>
                <w:color w:val="000000"/>
                <w:sz w:val="12"/>
              </w:rPr>
              <w:t>Индикатори</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932774" w14:textId="77777777" w:rsidR="00A77B3E" w:rsidRDefault="00AD19A4">
            <w:pPr>
              <w:spacing w:before="100"/>
              <w:jc w:val="center"/>
              <w:rPr>
                <w:color w:val="000000"/>
                <w:sz w:val="12"/>
              </w:rPr>
            </w:pPr>
            <w:r>
              <w:rPr>
                <w:color w:val="000000"/>
                <w:sz w:val="12"/>
              </w:rPr>
              <w:t>Мерна единица за условията, които трябва да бъдат изпълнени/резултатите, които трябва да бъдат постигнати, за да се даде възможност за възстановяване на разходите от Комисията</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A5D97D5" w14:textId="77777777" w:rsidR="00A77B3E" w:rsidRDefault="00AD19A4">
            <w:pPr>
              <w:spacing w:before="100"/>
              <w:jc w:val="center"/>
              <w:rPr>
                <w:color w:val="000000"/>
                <w:sz w:val="12"/>
              </w:rPr>
            </w:pPr>
            <w:r>
              <w:rPr>
                <w:color w:val="000000"/>
                <w:sz w:val="12"/>
              </w:rPr>
              <w:t>Предвиден вид метод за възстановяване на разходите, използван за възстановяване на средствата на бенефициера(ите)</w:t>
            </w:r>
          </w:p>
        </w:tc>
      </w:tr>
      <w:tr w:rsidR="00FE6FD5" w14:paraId="49817181" w14:textId="77777777">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3EE007" w14:textId="77777777"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257715" w14:textId="77777777"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565B49" w14:textId="77777777" w:rsidR="00A77B3E" w:rsidRDefault="00AD19A4">
            <w:pPr>
              <w:spacing w:before="100"/>
              <w:jc w:val="center"/>
              <w:rPr>
                <w:color w:val="000000"/>
                <w:sz w:val="12"/>
              </w:rPr>
            </w:pPr>
            <w:r>
              <w:rPr>
                <w:color w:val="000000"/>
                <w:sz w:val="12"/>
              </w:rPr>
              <w:t>Код(1)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F8E6B2" w14:textId="77777777" w:rsidR="00A77B3E" w:rsidRDefault="00AD19A4">
            <w:pPr>
              <w:spacing w:before="100"/>
              <w:jc w:val="center"/>
              <w:rPr>
                <w:color w:val="000000"/>
                <w:sz w:val="12"/>
              </w:rPr>
            </w:pPr>
            <w:r>
              <w:rPr>
                <w:color w:val="000000"/>
                <w:sz w:val="12"/>
              </w:rPr>
              <w:t>Описание</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B71913" w14:textId="77777777"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49C2A5" w14:textId="77777777" w:rsidR="00A77B3E" w:rsidRDefault="00AD19A4">
            <w:pPr>
              <w:spacing w:before="100"/>
              <w:jc w:val="center"/>
              <w:rPr>
                <w:color w:val="000000"/>
                <w:sz w:val="12"/>
              </w:rPr>
            </w:pPr>
            <w:r>
              <w:rPr>
                <w:color w:val="000000"/>
                <w:sz w:val="12"/>
              </w:rPr>
              <w:t>Код (2)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BD1E7D" w14:textId="77777777" w:rsidR="00A77B3E" w:rsidRDefault="00AD19A4">
            <w:pPr>
              <w:spacing w:before="100"/>
              <w:jc w:val="center"/>
              <w:rPr>
                <w:color w:val="000000"/>
                <w:sz w:val="12"/>
              </w:rPr>
            </w:pPr>
            <w:r>
              <w:rPr>
                <w:color w:val="000000"/>
                <w:sz w:val="12"/>
              </w:rPr>
              <w:t>Описание</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4786A4" w14:textId="77777777"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050444" w14:textId="77777777" w:rsidR="00A77B3E" w:rsidRDefault="00A77B3E">
            <w:pPr>
              <w:spacing w:before="100"/>
              <w:jc w:val="center"/>
              <w:rPr>
                <w:color w:val="000000"/>
                <w:sz w:val="12"/>
              </w:rPr>
            </w:pPr>
          </w:p>
        </w:tc>
      </w:tr>
    </w:tbl>
    <w:p w14:paraId="05EC42AD" w14:textId="77777777" w:rsidR="00A77B3E" w:rsidRDefault="00AD19A4">
      <w:pPr>
        <w:spacing w:before="100"/>
        <w:rPr>
          <w:color w:val="000000"/>
          <w:sz w:val="12"/>
        </w:rPr>
      </w:pPr>
      <w:r>
        <w:rPr>
          <w:color w:val="000000"/>
          <w:sz w:val="12"/>
        </w:rPr>
        <w:t xml:space="preserve">(1) Отнася се за кода в приложение VI към регламентите за ФУМИ, </w:t>
      </w:r>
      <w:r w:rsidR="004B3C80">
        <w:rPr>
          <w:color w:val="000000"/>
          <w:sz w:val="12"/>
        </w:rPr>
        <w:t>ИГУ</w:t>
      </w:r>
      <w:r>
        <w:rPr>
          <w:color w:val="000000"/>
          <w:sz w:val="12"/>
        </w:rPr>
        <w:t>В и ИСФ.</w:t>
      </w:r>
    </w:p>
    <w:p w14:paraId="53C68E09" w14:textId="77777777" w:rsidR="00A77B3E" w:rsidRDefault="00AD19A4">
      <w:pPr>
        <w:spacing w:before="100"/>
        <w:rPr>
          <w:color w:val="000000"/>
          <w:sz w:val="12"/>
        </w:rPr>
      </w:pPr>
      <w:r>
        <w:rPr>
          <w:color w:val="000000"/>
          <w:sz w:val="12"/>
        </w:rPr>
        <w:t>(2) Отнася се до кода на общ индикатор, ако е приложимо.</w:t>
      </w:r>
    </w:p>
    <w:p w14:paraId="0343C90A" w14:textId="77777777" w:rsidR="00A77B3E" w:rsidRDefault="00A77B3E">
      <w:pPr>
        <w:spacing w:before="100"/>
        <w:rPr>
          <w:color w:val="000000"/>
          <w:sz w:val="12"/>
        </w:rPr>
        <w:sectPr w:rsidR="00A77B3E">
          <w:headerReference w:type="even" r:id="rId80"/>
          <w:headerReference w:type="default" r:id="rId81"/>
          <w:footerReference w:type="even" r:id="rId82"/>
          <w:footerReference w:type="default" r:id="rId83"/>
          <w:headerReference w:type="first" r:id="rId84"/>
          <w:footerReference w:type="first" r:id="rId85"/>
          <w:pgSz w:w="16838" w:h="11906" w:orient="landscape"/>
          <w:pgMar w:top="720" w:right="720" w:bottom="864" w:left="936" w:header="288" w:footer="72" w:gutter="0"/>
          <w:cols w:space="720"/>
          <w:noEndnote/>
          <w:docGrid w:linePitch="360"/>
        </w:sectPr>
      </w:pPr>
    </w:p>
    <w:p w14:paraId="5A8428F9" w14:textId="77777777" w:rsidR="00A77B3E" w:rsidRDefault="00AD19A4">
      <w:pPr>
        <w:pStyle w:val="Heading2"/>
        <w:spacing w:before="100" w:after="0"/>
        <w:rPr>
          <w:rFonts w:ascii="TimesNewRoman" w:eastAsia="TimesNewRoman" w:hAnsi="TimesNewRoman" w:cs="TimesNewRoman"/>
          <w:b w:val="0"/>
          <w:i w:val="0"/>
          <w:color w:val="000000"/>
          <w:sz w:val="24"/>
        </w:rPr>
      </w:pPr>
      <w:bookmarkStart w:id="44" w:name="_Toc256000092"/>
      <w:r>
        <w:rPr>
          <w:rFonts w:ascii="TimesNewRoman" w:eastAsia="TimesNewRoman" w:hAnsi="TimesNewRoman" w:cs="TimesNewRoman"/>
          <w:b w:val="0"/>
          <w:i w:val="0"/>
          <w:color w:val="000000"/>
          <w:sz w:val="24"/>
        </w:rPr>
        <w:lastRenderedPageBreak/>
        <w:t>Б. Подробности по вид операция</w:t>
      </w:r>
      <w:bookmarkEnd w:id="44"/>
    </w:p>
    <w:p w14:paraId="1B24B5F9" w14:textId="77777777" w:rsidR="00A77B3E" w:rsidRDefault="00A77B3E">
      <w:pPr>
        <w:spacing w:before="100"/>
        <w:rPr>
          <w:rFonts w:ascii="TimesNewRoman" w:eastAsia="TimesNewRoman" w:hAnsi="TimesNewRoman" w:cs="TimesNewRoman"/>
          <w:color w:val="000000"/>
        </w:rPr>
        <w:sectPr w:rsidR="00A77B3E">
          <w:headerReference w:type="even" r:id="rId86"/>
          <w:headerReference w:type="default" r:id="rId87"/>
          <w:footerReference w:type="even" r:id="rId88"/>
          <w:footerReference w:type="default" r:id="rId89"/>
          <w:headerReference w:type="first" r:id="rId90"/>
          <w:footerReference w:type="first" r:id="rId91"/>
          <w:pgSz w:w="11906" w:h="16838"/>
          <w:pgMar w:top="720" w:right="936" w:bottom="864" w:left="720" w:header="0" w:footer="72" w:gutter="0"/>
          <w:cols w:space="720"/>
          <w:noEndnote/>
          <w:docGrid w:linePitch="360"/>
        </w:sectPr>
      </w:pPr>
    </w:p>
    <w:p w14:paraId="6A65CFF2" w14:textId="77777777" w:rsidR="00A77B3E" w:rsidRDefault="00AD19A4">
      <w:pPr>
        <w:pStyle w:val="Heading1"/>
        <w:spacing w:before="100" w:after="0"/>
        <w:rPr>
          <w:rFonts w:ascii="TimesNewRoman" w:eastAsia="TimesNewRoman" w:hAnsi="TimesNewRoman" w:cs="TimesNewRoman"/>
          <w:b w:val="0"/>
          <w:color w:val="000000"/>
          <w:sz w:val="24"/>
        </w:rPr>
      </w:pPr>
      <w:bookmarkStart w:id="45" w:name="_Toc256000093"/>
      <w:r>
        <w:rPr>
          <w:rFonts w:ascii="TimesNewRoman" w:eastAsia="TimesNewRoman" w:hAnsi="TimesNewRoman" w:cs="TimesNewRoman"/>
          <w:b w:val="0"/>
          <w:color w:val="000000"/>
          <w:sz w:val="24"/>
        </w:rPr>
        <w:lastRenderedPageBreak/>
        <w:t>Приложение 3</w:t>
      </w:r>
      <w:bookmarkEnd w:id="45"/>
    </w:p>
    <w:p w14:paraId="5EE7637C" w14:textId="77777777" w:rsidR="00A77B3E" w:rsidRDefault="00AD19A4">
      <w:pPr>
        <w:pStyle w:val="Heading2"/>
        <w:spacing w:before="100" w:after="0"/>
        <w:rPr>
          <w:rFonts w:ascii="TimesNewRoman" w:eastAsia="TimesNewRoman" w:hAnsi="TimesNewRoman" w:cs="TimesNewRoman"/>
          <w:b w:val="0"/>
          <w:i w:val="0"/>
          <w:color w:val="000000"/>
          <w:sz w:val="24"/>
        </w:rPr>
      </w:pPr>
      <w:bookmarkStart w:id="46" w:name="_Toc256000094"/>
      <w:r>
        <w:rPr>
          <w:rFonts w:ascii="TimesNewRoman" w:eastAsia="TimesNewRoman" w:hAnsi="TimesNewRoman" w:cs="TimesNewRoman"/>
          <w:b w:val="0"/>
          <w:i w:val="0"/>
          <w:color w:val="000000"/>
          <w:sz w:val="24"/>
        </w:rPr>
        <w:t xml:space="preserve">Тематичен механизъм (член 11 от Регламента за ФУМИ, член 8 от Регламента за </w:t>
      </w:r>
      <w:r w:rsidR="004B3C80">
        <w:rPr>
          <w:rFonts w:ascii="TimesNewRoman" w:eastAsia="TimesNewRoman" w:hAnsi="TimesNewRoman" w:cs="TimesNewRoman"/>
          <w:b w:val="0"/>
          <w:i w:val="0"/>
          <w:color w:val="000000"/>
          <w:sz w:val="24"/>
        </w:rPr>
        <w:t>ИГУВП</w:t>
      </w:r>
      <w:r>
        <w:rPr>
          <w:rFonts w:ascii="TimesNewRoman" w:eastAsia="TimesNewRoman" w:hAnsi="TimesNewRoman" w:cs="TimesNewRoman"/>
          <w:b w:val="0"/>
          <w:i w:val="0"/>
          <w:color w:val="000000"/>
          <w:sz w:val="24"/>
        </w:rPr>
        <w:t>, член 8 от Регламента за ИСФ)</w:t>
      </w:r>
      <w:bookmarkEnd w:id="46"/>
    </w:p>
    <w:p w14:paraId="6DE06D74"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740"/>
        <w:gridCol w:w="1905"/>
        <w:gridCol w:w="4875"/>
        <w:gridCol w:w="2667"/>
      </w:tblGrid>
      <w:tr w:rsidR="00FE6FD5" w14:paraId="224512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D3DA1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61EA2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60156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21342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DBB1E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FE6FD5" w14:paraId="4D2B7F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F122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C(2022)8993 - 12 декември 2022 г. - 4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8C9E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4.0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F7357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CA915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юли 2025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3757AF" w14:textId="77777777" w:rsidR="00A77B3E" w:rsidRDefault="00A77B3E">
            <w:pPr>
              <w:spacing w:before="100"/>
              <w:rPr>
                <w:rFonts w:ascii="TimesNewRoman" w:eastAsia="TimesNewRoman" w:hAnsi="TimesNewRoman" w:cs="TimesNewRoman"/>
                <w:color w:val="000000"/>
                <w:sz w:val="16"/>
              </w:rPr>
            </w:pPr>
          </w:p>
        </w:tc>
      </w:tr>
      <w:tr w:rsidR="00FE6FD5" w14:paraId="3A007E4E"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BBFBA8"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64"/>
              <w:gridCol w:w="2449"/>
              <w:gridCol w:w="1578"/>
              <w:gridCol w:w="2812"/>
              <w:gridCol w:w="3310"/>
            </w:tblGrid>
            <w:tr w:rsidR="00FE6FD5" w14:paraId="632B0F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B228FB"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DB13E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9856EB"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4B5DD3"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5B231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5D44F4"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FE6FD5" w14:paraId="31D933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F2C0B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Европейско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D8E8C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Специфични действия по Пакта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6602A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800ED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49 104 884,91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C62FF7"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AD2C0"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Специфични действия за подкрепа на държавите членки при прилагането на Пакта за миграция и убежище (принос на ЕС 52 051 178 евро, включително техническа помощ).</w:t>
                  </w:r>
                </w:p>
                <w:p w14:paraId="6AE3D62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това специфично действие финансирането ще допринесе за изпълнението на градивни елементи 1 и 2 от Общия план за изпълнение на Пакта за миграция и убежище „Нова система за управление на миграционните потоци по външните граници на ЕС“ чрез подкрепа на:</w:t>
                  </w:r>
                </w:p>
                <w:p w14:paraId="419C990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1: Адаптиране на националните системи Евродак и Cafis и доставка на оборудване и лицензи. Това ще включва следните дейности:</w:t>
                  </w:r>
                </w:p>
                <w:p w14:paraId="2FA74DD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Адаптиране на Националната автоматизирана система за идентификация на пръстови отпечатъци Евродак към изискванията на Регламент 2024/1358.</w:t>
                  </w:r>
                </w:p>
                <w:p w14:paraId="40617EE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Надграждане и модификация на Националната автоматизирана система за идентификация на пръстови отпечатъци CAFIS и Евродак - CAFIS v5.5 до текущата версия - CABIS v7 или нова /Базова инсталация/ за прилагане на Регламент (ЕС) 2024/1358.</w:t>
                  </w:r>
                </w:p>
                <w:p w14:paraId="774E494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 рамките на градивен блок 2: Развитие на национален капацитет за скрининг и процедура за убежище на границата и обучение на служителите на дирекция „Миграция“ за скрининг. Това ще включва следните дейности:</w:t>
                  </w:r>
                </w:p>
                <w:p w14:paraId="115EB93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Изграждане на два скринингови центъра от затворен тип на външните граници – в Регионалната дирекция на Гранична полиция в Елхово с капацитет 100 души и в Регионалната дирекция на Гранична полиция в Драгоман с капацитет 50 души.</w:t>
                  </w:r>
                </w:p>
                <w:p w14:paraId="79F4F75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 Персонал за скрининговите центрове на Главна дирекция „Гранична полиция“. Дейността предвижда преназначаването на 88 лица от вътрешните граници на новите длъжности, разпределени в двата нови скринингови центъра в Елхово и Драгоман, което представлява 100% от необходимия скринингов персонал.</w:t>
                  </w:r>
                </w:p>
                <w:p w14:paraId="45C23F9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Обучение на персонал за скрининговите центрове на Главна дирекция „Гранична полиция“.</w:t>
                  </w:r>
                </w:p>
                <w:p w14:paraId="480F570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Доставка на 16 превозни средства, които ще се използват изключително за нуждите на скрининговите центрове на Главна дирекция „Гранична полиция“.</w:t>
                  </w:r>
                </w:p>
                <w:p w14:paraId="0F8B98F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Доставка на 36 превозни средства, които ще се използват изключително за нуждите на скрининговите центрове на Дирекция „Миграция“.</w:t>
                  </w:r>
                </w:p>
                <w:p w14:paraId="79771BC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Създаване на скрининг център за непридружени непълнолетни лица чрез извършване на строително-ремонтни дейности и осигуряване на оборудване на съществуващия сграден фонд на Дирекция „Миграция“ в Елхово с капацитет 90 души.</w:t>
                  </w:r>
                </w:p>
                <w:p w14:paraId="6970C2E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Създаване на скринингов център чрез изграждане на разширение на Специализирания дом за временно настаняване на чужденци в Любимец с капацитет 540 души. Създаване на скринингов център за непридружени непълнолетни в рамките на съществуващия сграден фонд на Дирекция „Миграция“ в София с капацитет 50 души.</w:t>
                  </w:r>
                </w:p>
                <w:p w14:paraId="25F1370A" w14:textId="77777777" w:rsidR="00A77B3E" w:rsidRDefault="00A77B3E">
                  <w:pPr>
                    <w:spacing w:before="100"/>
                    <w:rPr>
                      <w:rFonts w:ascii="TimesNewRoman" w:eastAsia="TimesNewRoman" w:hAnsi="TimesNewRoman" w:cs="TimesNewRoman"/>
                      <w:color w:val="000000"/>
                      <w:sz w:val="16"/>
                    </w:rPr>
                  </w:pPr>
                </w:p>
              </w:tc>
            </w:tr>
            <w:tr w:rsidR="00FE6FD5" w14:paraId="51576F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96D0A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 xml:space="preserve">TA.36(5). Техническа помощ - фиксирана ставка (чл. 36(5) от </w:t>
                  </w:r>
                  <w:r w:rsidR="00A1192D">
                    <w:rPr>
                      <w:rFonts w:ascii="TimesNewRoman" w:eastAsia="TimesNewRoman" w:hAnsi="TimesNewRoman" w:cs="TimesNewRoman"/>
                      <w:color w:val="000000"/>
                      <w:sz w:val="16"/>
                    </w:rPr>
                    <w:t>РОР</w:t>
                  </w:r>
                  <w:r>
                    <w:rPr>
                      <w:rFonts w:ascii="TimesNewRoman" w:eastAsia="TimesNewRoman" w:hAnsi="TimesNewRoman" w:cs="TimesNewRoman"/>
                      <w:color w:val="000000"/>
                      <w:sz w:val="16"/>
                    </w:rPr>
                    <w: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CFCB1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F408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4BF2C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2 946 293,09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ACC34A"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CC940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Увеличение на техническата помощ (6%), произтичащо от: Специфични действия за подкрепа на държавите членки при прилагането на Пакта за миграция и убежище (принос на ЕС 52 051 178 евро, включително техническа помощ).</w:t>
                  </w:r>
                </w:p>
              </w:tc>
            </w:tr>
          </w:tbl>
          <w:p w14:paraId="224E8993" w14:textId="77777777" w:rsidR="00A77B3E" w:rsidRDefault="00A77B3E">
            <w:pPr>
              <w:spacing w:before="100"/>
              <w:rPr>
                <w:rFonts w:ascii="TimesNewRoman" w:eastAsia="TimesNewRoman" w:hAnsi="TimesNewRoman" w:cs="TimesNewRoman"/>
                <w:color w:val="000000"/>
                <w:sz w:val="16"/>
              </w:rPr>
            </w:pPr>
          </w:p>
        </w:tc>
      </w:tr>
    </w:tbl>
    <w:p w14:paraId="3FFA4F20"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741"/>
        <w:gridCol w:w="1904"/>
        <w:gridCol w:w="4874"/>
        <w:gridCol w:w="2667"/>
      </w:tblGrid>
      <w:tr w:rsidR="00FE6FD5" w14:paraId="33E068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A61D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7EEB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9E91A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4622C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B0CE1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FE6FD5" w14:paraId="4E47E1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1D465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C(2022)8993 - 12 декември 2022 г. - 3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202AA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3.0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10571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E9660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14 ноември 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FB99CC" w14:textId="77777777" w:rsidR="00A77B3E" w:rsidRDefault="00A77B3E">
            <w:pPr>
              <w:spacing w:before="100"/>
              <w:rPr>
                <w:rFonts w:ascii="TimesNewRoman" w:eastAsia="TimesNewRoman" w:hAnsi="TimesNewRoman" w:cs="TimesNewRoman"/>
                <w:color w:val="000000"/>
                <w:sz w:val="16"/>
              </w:rPr>
            </w:pPr>
          </w:p>
        </w:tc>
      </w:tr>
      <w:tr w:rsidR="00FE6FD5" w14:paraId="0013A6FA"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A7B202"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005"/>
              <w:gridCol w:w="2250"/>
              <w:gridCol w:w="1450"/>
              <w:gridCol w:w="2584"/>
              <w:gridCol w:w="4521"/>
            </w:tblGrid>
            <w:tr w:rsidR="00FE6FD5" w14:paraId="63EC2DE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64CC5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012396"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BF31D9"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E80B13"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FDCF69"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0AE47B"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FE6FD5" w14:paraId="2B4239C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A9F45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Европейско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0FD6B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AD295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78FA7"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47 033 657,84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EEB11E"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0D8F42"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/2024/SA/1.5.1/013 - Специфично действие „Подкрепа за държавите членки за интелигентни граници“. Референтен номер на процедурата: C(2022)8993 - 12.12.2022 (Ares(2024)5488258).</w:t>
                  </w:r>
                </w:p>
                <w:p w14:paraId="323DBC2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 принос на ЕС 1 633 333,00 EUR = 1 540 880,19 EUR + 92 452,81 EUR (TA).</w:t>
                  </w:r>
                </w:p>
                <w:p w14:paraId="0567201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По Лот 1: подготовка на национално ниво за въвеждането в експлоатация на Системата за влизане/излизане (EES) и Европейската система за информация за пътуванията и разрешаване на пътувания (ETIAS). Това включва адаптиране на националните системи, свързани с или използвани във връзка с EES и/или ETIAS, адаптиране на инфраструктурата или помещенията, свързани с функционирането на EES и/или ETIAS, снабдяване с материали и оборудване, както и услуги.</w:t>
                  </w:r>
                </w:p>
                <w:p w14:paraId="60462376" w14:textId="77777777" w:rsidR="00A77B3E" w:rsidRDefault="00A77B3E">
                  <w:pPr>
                    <w:spacing w:before="100"/>
                    <w:rPr>
                      <w:rFonts w:ascii="TimesNewRoman" w:eastAsia="TimesNewRoman" w:hAnsi="TimesNewRoman" w:cs="TimesNewRoman"/>
                      <w:color w:val="000000"/>
                      <w:sz w:val="16"/>
                    </w:rPr>
                  </w:pPr>
                </w:p>
                <w:p w14:paraId="7DCB464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По Лот 2: промени в системата за управление на случаи на бюрата SIRENE, свързани с внедряването и функционирането на ETIAS. Това включва разработването и внедряването на национални процеси и ИТ решения, както и национални процедури, наръчници и обучение.</w:t>
                  </w:r>
                </w:p>
                <w:p w14:paraId="7A54C90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Специфичното действие предоставя опция за гъвкавост, която се състои във възможността за прехвърляне на цялата или част от разпределените средства за Лот 2 (500 000 евро, включително техническа помощ) към Лот 1, при условие че държавата членка потвърди, че дейностите по Лот 2 ще бъдат извършени изцяло и че разходите ще бъдат покрити от националния бюджет или други действия, финансирани от програмата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 България реши да не използва тази възможност.</w:t>
                  </w:r>
                </w:p>
                <w:p w14:paraId="21B19984" w14:textId="77777777" w:rsidR="00A77B3E" w:rsidRDefault="00A77B3E">
                  <w:pPr>
                    <w:spacing w:before="100"/>
                    <w:rPr>
                      <w:rFonts w:ascii="TimesNewRoman" w:eastAsia="TimesNewRoman" w:hAnsi="TimesNewRoman" w:cs="TimesNewRoman"/>
                      <w:color w:val="000000"/>
                      <w:sz w:val="16"/>
                    </w:rPr>
                  </w:pPr>
                </w:p>
                <w:p w14:paraId="355B33C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06DEE098" w14:textId="77777777" w:rsidR="00A77B3E" w:rsidRDefault="00A77B3E">
                  <w:pPr>
                    <w:spacing w:before="100"/>
                    <w:rPr>
                      <w:rFonts w:ascii="TimesNewRoman" w:eastAsia="TimesNewRoman" w:hAnsi="TimesNewRoman" w:cs="TimesNewRoman"/>
                      <w:color w:val="000000"/>
                      <w:sz w:val="16"/>
                    </w:rPr>
                  </w:pPr>
                </w:p>
                <w:p w14:paraId="2F5AE5A3"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/2024/SA/1.1.6/04- Специфично действие „Модернизация и разширяване на съществуващата Интегрирана система за наблюдение (ИСН) част I с ново техническо оборудване и доставка на 6 специализирани мобилни системи за наблюдение (SMSS), интегрирани в ИСН“.</w:t>
                  </w:r>
                </w:p>
                <w:p w14:paraId="4D285D7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Референтен номер на процедурата: C(2022)8993 – 12.12.2022 (Ares(2024)7136433)</w:t>
                  </w:r>
                </w:p>
                <w:p w14:paraId="209610A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 принос на ЕС 27 491 417,05 EUR = 25 935 299,10 EUR + 1 556 117,95 EUR (TA).</w:t>
                  </w:r>
                </w:p>
                <w:p w14:paraId="380A4EA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Общата цел на действието е изграждането и модернизирането на (част от) Интегрираната система за наблюдение (ИСН) на българо-турската граница, а именно в участъка от ГКПП </w:t>
                  </w:r>
                  <w:r>
                    <w:rPr>
                      <w:rFonts w:ascii="TimesNewRoman" w:eastAsia="TimesNewRoman" w:hAnsi="TimesNewRoman" w:cs="TimesNewRoman"/>
                      <w:color w:val="000000"/>
                      <w:sz w:val="16"/>
                    </w:rPr>
                    <w:lastRenderedPageBreak/>
                    <w:t>Капитан Андреево до ГКПП Лесово (ИСН част 1): обновяване с ново техническо оборудване на ИСН част 1 – 20 км и изграждане на нови сензорни линии за покриване на непокритите участъци от ИСН част 1 – 10 км. Проектът има за цел:</w:t>
                  </w:r>
                </w:p>
                <w:p w14:paraId="7E794BE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Изграждане и модернизация на Интегрираната система1 (ИСН1) за контрол и наблюдение на българо-турската граница в участъка от ГКПП Капитан Андреево до ГКПП Лесово – Модернизация на 20 км от съществуващата ИСН1 + Удължаване на последните 10 км от откритите участъци на ИСН1</w:t>
                  </w:r>
                </w:p>
                <w:p w14:paraId="0E614C2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Закупуване на 6 специализирани мобилни системи за наблюдение</w:t>
                  </w:r>
                </w:p>
                <w:p w14:paraId="45B29A2E" w14:textId="77777777" w:rsidR="00A77B3E" w:rsidRDefault="00A77B3E">
                  <w:pPr>
                    <w:spacing w:before="100"/>
                    <w:rPr>
                      <w:rFonts w:ascii="TimesNewRoman" w:eastAsia="TimesNewRoman" w:hAnsi="TimesNewRoman" w:cs="TimesNewRoman"/>
                      <w:color w:val="000000"/>
                      <w:sz w:val="16"/>
                    </w:rPr>
                  </w:pPr>
                </w:p>
                <w:p w14:paraId="6FD1AAC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59918CDA" w14:textId="77777777" w:rsidR="00A77B3E" w:rsidRDefault="00A77B3E">
                  <w:pPr>
                    <w:spacing w:before="100"/>
                    <w:rPr>
                      <w:rFonts w:ascii="TimesNewRoman" w:eastAsia="TimesNewRoman" w:hAnsi="TimesNewRoman" w:cs="TimesNewRoman"/>
                      <w:color w:val="000000"/>
                      <w:sz w:val="16"/>
                    </w:rPr>
                  </w:pPr>
                </w:p>
                <w:p w14:paraId="3FD56B13"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/2024/SA/1.1.7/04 Специфично действие „Модернизация на интегрираната система за наблюдение „Синя граница“ - работен пакет 1“.</w:t>
                  </w:r>
                </w:p>
                <w:p w14:paraId="7979969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Референтен номер на процедурата: C(2022)8993 – 12.12.2022 (Ares(2024)5258266)</w:t>
                  </w:r>
                </w:p>
                <w:p w14:paraId="4893CF4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 принос на ЕС 20 001 999,47 EUR = 18 869 810,82 EUR + 1 132 188,65 EUR (TA).</w:t>
                  </w:r>
                </w:p>
                <w:p w14:paraId="6984240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Проектът ще подпомогне интегрирането на 12 нови радара и 12 модерни термовизионни и дневни камери в стационарните пунктове за техническо наблюдение, както и модернизацията/подмяната на друго необходимо оборудване и системи в тези пунктове, Координационния и информационен център на Черноморската граница Бургас и Местните координационни центрове Созопол и Галата.</w:t>
                  </w:r>
                </w:p>
                <w:p w14:paraId="0D66C15D" w14:textId="77777777" w:rsidR="00A77B3E" w:rsidRDefault="00A77B3E">
                  <w:pPr>
                    <w:spacing w:before="100"/>
                    <w:rPr>
                      <w:rFonts w:ascii="TimesNewRoman" w:eastAsia="TimesNewRoman" w:hAnsi="TimesNewRoman" w:cs="TimesNewRoman"/>
                      <w:color w:val="000000"/>
                      <w:sz w:val="16"/>
                    </w:rPr>
                  </w:pPr>
                </w:p>
                <w:p w14:paraId="3A14D5B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4C56B706" w14:textId="77777777" w:rsidR="00A77B3E" w:rsidRDefault="00A77B3E">
                  <w:pPr>
                    <w:spacing w:before="100"/>
                    <w:rPr>
                      <w:rFonts w:ascii="TimesNewRoman" w:eastAsia="TimesNewRoman" w:hAnsi="TimesNewRoman" w:cs="TimesNewRoman"/>
                      <w:color w:val="000000"/>
                      <w:sz w:val="16"/>
                    </w:rPr>
                  </w:pPr>
                </w:p>
                <w:p w14:paraId="35B84536"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/2023-2025/SA/1.3.1/12 Специфично действие „Засилване на националната централизирана управленска функция“.</w:t>
                  </w:r>
                </w:p>
                <w:p w14:paraId="7943EEE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Референтен номер на процедурата: C(2022) 8993 -12.12.2022 </w:t>
                  </w:r>
                  <w:r>
                    <w:rPr>
                      <w:rFonts w:ascii="TimesNewRoman" w:eastAsia="TimesNewRoman" w:hAnsi="TimesNewRoman" w:cs="TimesNewRoman"/>
                      <w:color w:val="000000"/>
                      <w:sz w:val="16"/>
                    </w:rPr>
                    <w:tab/>
                    <w:t>(Ares(2024)7108986)</w:t>
                  </w:r>
                </w:p>
                <w:p w14:paraId="3E30D5E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Общ принос на ЕС 728 927,79 EUR = 687 667,73 EUR + 41 260,06 EUR (TA)</w:t>
                  </w:r>
                </w:p>
                <w:p w14:paraId="728BE65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Това специфично действие ще подкрепи България в прилагането на Европейското интегрирано управление на границите (EIBM) чрез съфинансиране на: а) едно симулационно учение и едно практическо учение за подобряване на Плана за действие при извънредна ситуация, дължаща се на засилен миграционен натиск по границата на </w:t>
                  </w:r>
                  <w:r>
                    <w:rPr>
                      <w:rFonts w:ascii="TimesNewRoman" w:eastAsia="TimesNewRoman" w:hAnsi="TimesNewRoman" w:cs="TimesNewRoman"/>
                      <w:color w:val="000000"/>
                      <w:sz w:val="16"/>
                    </w:rPr>
                    <w:lastRenderedPageBreak/>
                    <w:t>Република България с Република Турция, с цел подобряване на междуведомственото сътрудничество между националните органи, отговорни за граничния контрол или други задачи, изпълнявани на външните граници, и б) разработване на ИТ приложение за управление на информацията, получена от Frontex в Националната точка за контакт, съгласно чл. 13 от Регламент (ЕС) 2019/1896.</w:t>
                  </w:r>
                </w:p>
                <w:p w14:paraId="7C10CAD5" w14:textId="77777777" w:rsidR="00A77B3E" w:rsidRDefault="00A77B3E">
                  <w:pPr>
                    <w:spacing w:before="100"/>
                    <w:rPr>
                      <w:rFonts w:ascii="TimesNewRoman" w:eastAsia="TimesNewRoman" w:hAnsi="TimesNewRoman" w:cs="TimesNewRoman"/>
                      <w:color w:val="000000"/>
                      <w:sz w:val="16"/>
                    </w:rPr>
                  </w:pPr>
                </w:p>
              </w:tc>
            </w:tr>
            <w:tr w:rsidR="00FE6FD5" w14:paraId="38EC91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B0410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 xml:space="preserve">TA.36(5). Техническа помощ - фиксирана ставка (чл. 36(5) от </w:t>
                  </w:r>
                  <w:r w:rsidR="00A1192D">
                    <w:rPr>
                      <w:rFonts w:ascii="TimesNewRoman" w:eastAsia="TimesNewRoman" w:hAnsi="TimesNewRoman" w:cs="TimesNewRoman"/>
                      <w:color w:val="000000"/>
                      <w:sz w:val="16"/>
                    </w:rPr>
                    <w:t>РОР</w:t>
                  </w:r>
                  <w:r>
                    <w:rPr>
                      <w:rFonts w:ascii="TimesNewRoman" w:eastAsia="TimesNewRoman" w:hAnsi="TimesNewRoman" w:cs="TimesNewRoman"/>
                      <w:color w:val="000000"/>
                      <w:sz w:val="16"/>
                    </w:rPr>
                    <w: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BB249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77DBD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3ACF21"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2 822 019,47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290C05"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BEC5E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Увеличение на техническата помощ (6%), произтичащо от:</w:t>
                  </w:r>
                </w:p>
                <w:p w14:paraId="16BBF216" w14:textId="77777777" w:rsidR="00A77B3E" w:rsidRDefault="00A77B3E">
                  <w:pPr>
                    <w:spacing w:before="100"/>
                    <w:rPr>
                      <w:rFonts w:ascii="TimesNewRoman" w:eastAsia="TimesNewRoman" w:hAnsi="TimesNewRoman" w:cs="TimesNewRoman"/>
                      <w:color w:val="000000"/>
                      <w:sz w:val="16"/>
                    </w:rPr>
                  </w:pPr>
                </w:p>
                <w:p w14:paraId="4342F96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/2024/SA/1.5.1 (Финансов принос на ЕС 92 452,81 евро). Референтен номер на процедурата: C(2022)8993 - 12.12.2022 (Ares(2024)5488258).</w:t>
                  </w:r>
                </w:p>
                <w:p w14:paraId="7B67B6B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54D98EC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/2024/SA/1.1.6/04 (Финансов принос на ЕС 1 556 117,95 евро). Референтен номер на процедурата: C(2022)8993 – 12.12.2022 (Ares(2024)7136433)</w:t>
                  </w:r>
                </w:p>
                <w:p w14:paraId="3948464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24BD230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/2024/SA/1.1.7/04 (Финансов принос на ЕС 1 132 188,65 евро). Референтен номер на процедурата: C(2022)8993 – 12.12.2022 (Ares(2024)5258266)</w:t>
                  </w:r>
                </w:p>
                <w:p w14:paraId="06F4B7F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7541D64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 xml:space="preserve">/2023-2025/SA/1.3.1/12 (Финансов принос на ЕС 41 260,06 евро). Референтен номер на процедурата: C(2022) 8993 -12.12.2022 </w:t>
                  </w:r>
                  <w:r>
                    <w:rPr>
                      <w:rFonts w:ascii="TimesNewRoman" w:eastAsia="TimesNewRoman" w:hAnsi="TimesNewRoman" w:cs="TimesNewRoman"/>
                      <w:color w:val="000000"/>
                      <w:sz w:val="16"/>
                    </w:rPr>
                    <w:tab/>
                    <w:t>(Ares(2024)7108986)</w:t>
                  </w:r>
                </w:p>
                <w:p w14:paraId="79C5EB9B" w14:textId="77777777" w:rsidR="00A77B3E" w:rsidRDefault="00A77B3E">
                  <w:pPr>
                    <w:spacing w:before="100"/>
                    <w:rPr>
                      <w:rFonts w:ascii="TimesNewRoman" w:eastAsia="TimesNewRoman" w:hAnsi="TimesNewRoman" w:cs="TimesNewRoman"/>
                      <w:color w:val="000000"/>
                      <w:sz w:val="16"/>
                    </w:rPr>
                  </w:pPr>
                </w:p>
              </w:tc>
            </w:tr>
          </w:tbl>
          <w:p w14:paraId="669F15C9" w14:textId="77777777" w:rsidR="00A77B3E" w:rsidRDefault="00A77B3E">
            <w:pPr>
              <w:spacing w:before="100"/>
              <w:rPr>
                <w:rFonts w:ascii="TimesNewRoman" w:eastAsia="TimesNewRoman" w:hAnsi="TimesNewRoman" w:cs="TimesNewRoman"/>
                <w:color w:val="000000"/>
                <w:sz w:val="16"/>
              </w:rPr>
            </w:pPr>
          </w:p>
        </w:tc>
      </w:tr>
    </w:tbl>
    <w:p w14:paraId="0CF967F7"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740"/>
        <w:gridCol w:w="1904"/>
        <w:gridCol w:w="4874"/>
        <w:gridCol w:w="2667"/>
      </w:tblGrid>
      <w:tr w:rsidR="00FE6FD5" w14:paraId="38EC24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16297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1FE0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B894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8EDCE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DA83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FE6FD5" w14:paraId="2E399E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22A4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C(2022)8993 - 12 декември 2022 г. - 2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2C17B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96BD5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AA81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16 януари 2024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3F735D" w14:textId="77777777" w:rsidR="00A77B3E" w:rsidRDefault="00A77B3E">
            <w:pPr>
              <w:spacing w:before="100"/>
              <w:rPr>
                <w:rFonts w:ascii="TimesNewRoman" w:eastAsia="TimesNewRoman" w:hAnsi="TimesNewRoman" w:cs="TimesNewRoman"/>
                <w:color w:val="000000"/>
                <w:sz w:val="16"/>
              </w:rPr>
            </w:pPr>
          </w:p>
        </w:tc>
      </w:tr>
      <w:tr w:rsidR="00FE6FD5" w14:paraId="7CEAC38E"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0B01C"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049"/>
              <w:gridCol w:w="2300"/>
              <w:gridCol w:w="1482"/>
              <w:gridCol w:w="2641"/>
              <w:gridCol w:w="4288"/>
            </w:tblGrid>
            <w:tr w:rsidR="00FE6FD5" w14:paraId="679F03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211124"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9B6C5E"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992745"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8442BA"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00D067"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4802C4"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FE6FD5" w14:paraId="678DFF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5E2F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Европейско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22041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049E3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3630A5"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23 200 000,00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F4F82C"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1555F"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/2023/SA/1.1.4/06 Специфично действие „Система за електронно наблюдение на външната граница (е-наблюдение)“ – работен пакет 1 „Разширяване на обхвата на МКС по българо-турската граница чрез изграждане на сензорни линии и стационарни постове за техническо наблюдение“ (Общ принос на ЕС 24 592 000,00 евро, 23 200 000,00 евро + 1 392 000,00 евро).</w:t>
                  </w:r>
                </w:p>
                <w:p w14:paraId="6E950FD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Този проект включва изграждането на 15 сензорни линии по българо-турската граница с обща дължина 50,2 км. В зоната на отговорност на ППО Елхово ще бъдат изградени и два безпилотни стационарни поста за техническо наблюдение. </w:t>
                  </w:r>
                  <w:r>
                    <w:rPr>
                      <w:rFonts w:ascii="TimesNewRoman" w:eastAsia="TimesNewRoman" w:hAnsi="TimesNewRoman" w:cs="TimesNewRoman"/>
                      <w:color w:val="000000"/>
                      <w:sz w:val="16"/>
                    </w:rPr>
                    <w:lastRenderedPageBreak/>
                    <w:t>Сензорните линии и стационарните постове за техническо наблюдение са елементи от интегрираната система за наблюдение по българо-турската граница и ще се управляват дистанционно от вече изградените дистанционни командни центрове.</w:t>
                  </w:r>
                </w:p>
              </w:tc>
            </w:tr>
            <w:tr w:rsidR="00FE6FD5" w14:paraId="28768C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F76D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 xml:space="preserve">TA.36(5). Техническа помощ - фиксирана ставка (чл. 36(5) от </w:t>
                  </w:r>
                  <w:r w:rsidR="00A1192D">
                    <w:rPr>
                      <w:rFonts w:ascii="TimesNewRoman" w:eastAsia="TimesNewRoman" w:hAnsi="TimesNewRoman" w:cs="TimesNewRoman"/>
                      <w:color w:val="000000"/>
                      <w:sz w:val="16"/>
                    </w:rPr>
                    <w:t>РОР</w:t>
                  </w:r>
                  <w:r>
                    <w:rPr>
                      <w:rFonts w:ascii="TimesNewRoman" w:eastAsia="TimesNewRoman" w:hAnsi="TimesNewRoman" w:cs="TimesNewRoman"/>
                      <w:color w:val="000000"/>
                      <w:sz w:val="16"/>
                    </w:rPr>
                    <w: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FFB28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70F8B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02D1F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1 392 000,00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3C99E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9628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Увеличение на техническата помощ (6%), произтичащо от 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/2023/SA/1.1.4/06 (принос на ЕС: 1 392 000,00 евро).</w:t>
                  </w:r>
                </w:p>
              </w:tc>
            </w:tr>
          </w:tbl>
          <w:p w14:paraId="66E86800" w14:textId="77777777" w:rsidR="00A77B3E" w:rsidRDefault="00A77B3E">
            <w:pPr>
              <w:spacing w:before="100"/>
              <w:rPr>
                <w:rFonts w:ascii="TimesNewRoman" w:eastAsia="TimesNewRoman" w:hAnsi="TimesNewRoman" w:cs="TimesNewRoman"/>
                <w:color w:val="000000"/>
                <w:sz w:val="16"/>
              </w:rPr>
            </w:pPr>
          </w:p>
        </w:tc>
      </w:tr>
    </w:tbl>
    <w:p w14:paraId="555D0C94"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739"/>
        <w:gridCol w:w="1904"/>
        <w:gridCol w:w="4875"/>
        <w:gridCol w:w="2667"/>
      </w:tblGrid>
      <w:tr w:rsidR="00FE6FD5" w14:paraId="53CD24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B87C7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C580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A846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5708B0"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F51FAE"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FE6FD5" w14:paraId="0623F7A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16830"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C(2022)8993 - 12 декември 2022 г. - 1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0696C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D464D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2D1AB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7 юли 2023 г.</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66C86E" w14:textId="77777777" w:rsidR="00A77B3E" w:rsidRDefault="00A77B3E">
            <w:pPr>
              <w:spacing w:before="100"/>
              <w:rPr>
                <w:rFonts w:ascii="TimesNewRoman" w:eastAsia="TimesNewRoman" w:hAnsi="TimesNewRoman" w:cs="TimesNewRoman"/>
                <w:color w:val="000000"/>
                <w:sz w:val="16"/>
              </w:rPr>
            </w:pPr>
          </w:p>
        </w:tc>
      </w:tr>
      <w:tr w:rsidR="00FE6FD5" w14:paraId="1DBA50E4"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E0BDC0"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024"/>
              <w:gridCol w:w="2272"/>
              <w:gridCol w:w="1464"/>
              <w:gridCol w:w="2609"/>
              <w:gridCol w:w="4420"/>
            </w:tblGrid>
            <w:tr w:rsidR="00FE6FD5" w14:paraId="6A55BE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DC40CC"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AEA7FA"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6F01CD"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A50976"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68D499"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B0DE88"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FE6FD5" w14:paraId="48FB08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8A7AC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Европейско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5786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395D0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31D0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65 565 000,00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C7711"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20C0D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/2023/SA/1.1.2/002 - Подкрепа за държавите членки (Република България) за укрепване на капацитета за граничен контрол (принос на ЕС: 42 453 000,00 евро).</w:t>
                  </w:r>
                </w:p>
                <w:p w14:paraId="0693912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Целта на действието е да се повиши капацитетът и способностите на българските гранични власти за по-ефективни мерки за противодействие на незаконната миграция чрез:</w:t>
                  </w:r>
                </w:p>
                <w:p w14:paraId="6634B88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Разширяване на интегрираните системи за наблюдение на българо-турската граница с 13 сензорни линии с обща дължина 59,5 км;</w:t>
                  </w:r>
                </w:p>
                <w:p w14:paraId="0F98A6D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Модернизирането на автопарка със закупуване на патрулни автомобили;</w:t>
                  </w:r>
                </w:p>
                <w:p w14:paraId="6E45EAC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Временното назначаване на допълнителен персонал и командироване на полицейски служители за максимален срок от 15 месеца</w:t>
                  </w:r>
                </w:p>
                <w:p w14:paraId="0B4D08F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255D035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 xml:space="preserve">/2023-2024/SA/1.2.2/07 - Оборудване за националните компоненти на EBCG, закупено по линия на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 xml:space="preserve"> и предоставено на разположение на Frontex (принос на ЕС: 21 474 000,00 евро).</w:t>
                  </w:r>
                </w:p>
                <w:p w14:paraId="7C5692E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Това специфично действие има за цел да увеличи оперативния капацитет на Frontex и оперативния капацитет на Гражданската служба за изпълнение на задълженията си по отношение на цялостната защита на външните граници на ЕС чрез закупуване на оборудване – което ще бъде предоставено на разположение на агенцията – в следните категории:</w:t>
                  </w:r>
                </w:p>
                <w:p w14:paraId="204F51E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Морски транспортни средства и капацитет за наблюдение:</w:t>
                  </w:r>
                </w:p>
                <w:p w14:paraId="1E0619F5"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- 1 крайбрежен патрулен кораб</w:t>
                  </w:r>
                </w:p>
                <w:p w14:paraId="6B1E9C5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2. Наземни транспортни средства и капацитет за наблюдение</w:t>
                  </w:r>
                </w:p>
                <w:p w14:paraId="1060119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- 20 патрулни коли</w:t>
                  </w:r>
                </w:p>
                <w:p w14:paraId="508EB36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- 5 патрулни коли, оборудвани с екипни вложки за кучета</w:t>
                  </w:r>
                </w:p>
                <w:p w14:paraId="0D864EF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3. Въздушни транспортни средства и капацитет за наблюдение</w:t>
                  </w:r>
                </w:p>
                <w:p w14:paraId="748F2E1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- 1 свързана система за наблюдение</w:t>
                  </w:r>
                </w:p>
                <w:p w14:paraId="33E73D0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491E3E1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/2023/SA/1.1.3/004 - Интегрирани решения за улесняване и автоматизиране на преминаването на границите (Принос на ЕС: 1 638 000,00 евро)</w:t>
                  </w:r>
                </w:p>
                <w:p w14:paraId="2840E9CC"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Целта на специфичното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/2023/SA/1.1.3 относно интегрирани решения за улесняване и автоматизиране на преминаването на границите е да се подпомогне дейността на държавите членки при оптимизирането на граничния контрол в контекста на въвеждането в експлоатация на Системата за влизане/излизане (EES), да се улесни внедряването и функционирането на системата и да се предотврати прекомерното увеличаване на времето за чакане на външните сухопътни и морски граници на ЕС след нейното стартиране.</w:t>
                  </w:r>
                </w:p>
                <w:p w14:paraId="5D56111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Очаква се проектите да постигнат: намаление с поне 20% на времената за преминаване на границите на гранично-пропускателните пунктове, обхванати от проекта, в сравнение със съществуващите нива преди изпълнението на проекта; или намаление с поне 20% на очакваното увеличение на времената за преминаване на границите в резултат на въвеждането в експлоатация на Системата за влизане/излизане (EES) на гранично-пропускателните пунктове, обхванати от проекта.</w:t>
                  </w:r>
                </w:p>
                <w:p w14:paraId="49DACBB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Основната цел на проект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/2023/SA/1.1.3/004 е да се създаде автоматизирана система за граничен контрол, която да осигурява бърза и сигурна гранична проверка на лица, преминаващи външната сухопътна граница на два от най-натоварените контролно-пропускателни пунктове в Република България.</w:t>
                  </w:r>
                </w:p>
                <w:p w14:paraId="69C5167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Вторият компонент на проекта е създаването на зони за граничен контрол и инсталирането на системи за сигурност на речните гранични контролно-пропускателни пунктове.</w:t>
                  </w:r>
                </w:p>
              </w:tc>
            </w:tr>
            <w:tr w:rsidR="00FE6FD5" w14:paraId="7B5C342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8B98D2"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 xml:space="preserve">TA.36(5). Техническа помощ - фиксирана ставка (чл. 36(5) от </w:t>
                  </w:r>
                  <w:r w:rsidR="00A1192D">
                    <w:rPr>
                      <w:rFonts w:ascii="TimesNewRoman" w:eastAsia="TimesNewRoman" w:hAnsi="TimesNewRoman" w:cs="TimesNewRoman"/>
                      <w:color w:val="000000"/>
                      <w:sz w:val="16"/>
                    </w:rPr>
                    <w:t>РОР</w:t>
                  </w:r>
                  <w:r>
                    <w:rPr>
                      <w:rFonts w:ascii="TimesNewRoman" w:eastAsia="TimesNewRoman" w:hAnsi="TimesNewRoman" w:cs="TimesNewRoman"/>
                      <w:color w:val="000000"/>
                      <w:sz w:val="16"/>
                    </w:rPr>
                    <w: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729FC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8A04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D9E830"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3 933 900,00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AD40D8"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D7C4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Увеличение на техническата помощ (6%), произтичащо от 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/2023/SA/1.1.2/002 (принос на ЕС: 2 547 180,00 евро).</w:t>
                  </w:r>
                </w:p>
                <w:p w14:paraId="6AB5998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w:t>
                  </w:r>
                </w:p>
                <w:p w14:paraId="53CF421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Увеличение на техническата помощ (6%), произтичаща от 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/2023-2024/SA/1.2.2/07 (принос на ЕС: 1 288 440,00 евро)</w:t>
                  </w:r>
                </w:p>
                <w:p w14:paraId="5127E7E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и</w:t>
                  </w:r>
                </w:p>
                <w:p w14:paraId="02F7E6C1"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Увеличение на техническата помощ (6%), произтичащо от специфично действие </w:t>
                  </w:r>
                  <w:r w:rsidR="004B3C80">
                    <w:rPr>
                      <w:rFonts w:ascii="TimesNewRoman" w:eastAsia="TimesNewRoman" w:hAnsi="TimesNewRoman" w:cs="TimesNewRoman"/>
                      <w:color w:val="000000"/>
                      <w:sz w:val="16"/>
                    </w:rPr>
                    <w:t>ИУГВП</w:t>
                  </w:r>
                  <w:r>
                    <w:rPr>
                      <w:rFonts w:ascii="TimesNewRoman" w:eastAsia="TimesNewRoman" w:hAnsi="TimesNewRoman" w:cs="TimesNewRoman"/>
                      <w:color w:val="000000"/>
                      <w:sz w:val="16"/>
                    </w:rPr>
                    <w:t>/2023/SA/1.1.3/004 (принос на ЕС: 98 280,00 евро)</w:t>
                  </w:r>
                </w:p>
              </w:tc>
            </w:tr>
          </w:tbl>
          <w:p w14:paraId="1B4AC027" w14:textId="77777777" w:rsidR="00A77B3E" w:rsidRDefault="00A77B3E">
            <w:pPr>
              <w:spacing w:before="100"/>
              <w:rPr>
                <w:rFonts w:ascii="TimesNewRoman" w:eastAsia="TimesNewRoman" w:hAnsi="TimesNewRoman" w:cs="TimesNewRoman"/>
                <w:color w:val="000000"/>
                <w:sz w:val="16"/>
              </w:rPr>
            </w:pPr>
          </w:p>
        </w:tc>
      </w:tr>
    </w:tbl>
    <w:p w14:paraId="0FBE0190" w14:textId="77777777" w:rsidR="00A77B3E" w:rsidRDefault="00A77B3E">
      <w:pPr>
        <w:spacing w:before="100"/>
        <w:rPr>
          <w:rFonts w:ascii="TimesNewRoman" w:eastAsia="TimesNewRoman" w:hAnsi="TimesNewRoman" w:cs="TimesNewRoman"/>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739"/>
        <w:gridCol w:w="1904"/>
        <w:gridCol w:w="4875"/>
        <w:gridCol w:w="2667"/>
      </w:tblGrid>
      <w:tr w:rsidR="00FE6FD5" w14:paraId="7B9FFF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4EB6C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Справка за процедурата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C68C0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Версия на програмата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6573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Статус</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7D744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Дата на приемане/отхвърляне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2E60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Коментари</w:t>
            </w:r>
          </w:p>
        </w:tc>
      </w:tr>
      <w:tr w:rsidR="00FE6FD5" w14:paraId="3F91D33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17B53F"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C(2022)3163 - 19 май 2022 г. - 1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90FD0A"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484997"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Прието</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3C0159"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C5E7D" w14:textId="77777777" w:rsidR="00A77B3E" w:rsidRDefault="00A77B3E">
            <w:pPr>
              <w:spacing w:before="100"/>
              <w:rPr>
                <w:rFonts w:ascii="TimesNewRoman" w:eastAsia="TimesNewRoman" w:hAnsi="TimesNewRoman" w:cs="TimesNewRoman"/>
                <w:color w:val="000000"/>
                <w:sz w:val="16"/>
              </w:rPr>
            </w:pPr>
          </w:p>
        </w:tc>
      </w:tr>
      <w:tr w:rsidR="00FE6FD5" w14:paraId="7503E457" w14:textId="77777777">
        <w:tc>
          <w:tcPr>
            <w:tcW w:w="0" w:type="dxa"/>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612E89"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024"/>
              <w:gridCol w:w="2272"/>
              <w:gridCol w:w="1464"/>
              <w:gridCol w:w="2609"/>
              <w:gridCol w:w="4420"/>
            </w:tblGrid>
            <w:tr w:rsidR="00FE6FD5" w14:paraId="089B9A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432F23"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Специфична цел</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424BC"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Модалност</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B22406"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Вид интервенция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CF151"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Принос на Съюза</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628312"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Процент на предварително финансиране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4B30CA" w14:textId="77777777" w:rsidR="00A77B3E" w:rsidRDefault="00AD19A4">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Описание на действието</w:t>
                  </w:r>
                </w:p>
              </w:tc>
            </w:tr>
            <w:tr w:rsidR="00FE6FD5" w14:paraId="0AF2E4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2BB34"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Европейско интегрирано управление на границите</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49C93"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Конкретни действия</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976F5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9768CC"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982 129,25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9C2E2F"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46CE8" w14:textId="77777777" w:rsidR="00A77B3E" w:rsidRDefault="004B3C80">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 xml:space="preserve">/2021/SA/1.5.4/003 - 982.129,25 - Подкрепа за спазване на прилагането на съответната правна рамка за оперативна съвместимост“ по </w:t>
                  </w:r>
                  <w:r>
                    <w:rPr>
                      <w:rFonts w:ascii="TimesNewRoman" w:eastAsia="TimesNewRoman" w:hAnsi="TimesNewRoman" w:cs="TimesNewRoman"/>
                      <w:color w:val="000000"/>
                      <w:sz w:val="16"/>
                    </w:rPr>
                    <w:t>ИУГВП</w:t>
                  </w:r>
                  <w:r w:rsidR="00AD19A4">
                    <w:rPr>
                      <w:rFonts w:ascii="TimesNewRoman" w:eastAsia="TimesNewRoman" w:hAnsi="TimesNewRoman" w:cs="TimesNewRoman"/>
                      <w:color w:val="000000"/>
                      <w:sz w:val="16"/>
                    </w:rPr>
                    <w:t>. Целта на това специфично действие е да се подпомогнат държавите от Шенгенското пространство да спазват прилагането на правната рамка за оперативна съвместимост. Действието има два аспекта: 1) подготовка на крайните потребители на информационните системи на ЕС за правилно боравене с информацията за самоличности, съдържаща се в други системи, в резултат на оперативната съвместимост и 2) разширяване на капацитета на службите SIRENE за разрешаване на „жълти връзки“ през периода, в който Детекторът за множествена самоличност (MID) заработи. БЪЛГАРИЯ изпълнява втория аспект.</w:t>
                  </w:r>
                </w:p>
              </w:tc>
            </w:tr>
            <w:tr w:rsidR="00FE6FD5" w14:paraId="3EF953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250EBD"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TA.36(5). Техническа помощ - фиксирана ставка (чл. 36(5) от </w:t>
                  </w:r>
                  <w:r w:rsidR="00A1192D">
                    <w:rPr>
                      <w:rFonts w:ascii="TimesNewRoman" w:eastAsia="TimesNewRoman" w:hAnsi="TimesNewRoman" w:cs="TimesNewRoman"/>
                      <w:color w:val="000000"/>
                      <w:sz w:val="16"/>
                    </w:rPr>
                    <w:t>РОР</w:t>
                  </w:r>
                  <w:r>
                    <w:rPr>
                      <w:rFonts w:ascii="TimesNewRoman" w:eastAsia="TimesNewRoman" w:hAnsi="TimesNewRoman" w:cs="TimesNewRoman"/>
                      <w:color w:val="000000"/>
                      <w:sz w:val="16"/>
                    </w:rPr>
                    <w: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B32DF8"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F75D9B"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CEED54" w14:textId="77777777" w:rsidR="00A77B3E" w:rsidRDefault="00AD19A4">
                  <w:pPr>
                    <w:spacing w:before="100"/>
                    <w:jc w:val="right"/>
                    <w:rPr>
                      <w:rFonts w:ascii="TimesNewRoman" w:eastAsia="TimesNewRoman" w:hAnsi="TimesNewRoman" w:cs="TimesNewRoman"/>
                      <w:color w:val="000000"/>
                      <w:sz w:val="16"/>
                    </w:rPr>
                  </w:pPr>
                  <w:r>
                    <w:rPr>
                      <w:rFonts w:ascii="TimesNewRoman" w:eastAsia="TimesNewRoman" w:hAnsi="TimesNewRoman" w:cs="TimesNewRoman"/>
                      <w:color w:val="000000"/>
                      <w:sz w:val="16"/>
                    </w:rPr>
                    <w:t>58 927,75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73B09F" w14:textId="77777777" w:rsidR="00A77B3E" w:rsidRDefault="00A77B3E">
                  <w:pPr>
                    <w:spacing w:before="100"/>
                    <w:jc w:val="right"/>
                    <w:rPr>
                      <w:rFonts w:ascii="TimesNewRoman" w:eastAsia="TimesNewRoman" w:hAnsi="TimesNewRoman" w:cs="TimesNewRoman"/>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4B75F6" w14:textId="77777777" w:rsidR="00A77B3E" w:rsidRDefault="00AD19A4">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ТА</w:t>
                  </w:r>
                </w:p>
              </w:tc>
            </w:tr>
          </w:tbl>
          <w:p w14:paraId="7DF32CA0" w14:textId="77777777" w:rsidR="00A77B3E" w:rsidRDefault="00A77B3E">
            <w:pPr>
              <w:spacing w:before="100"/>
              <w:rPr>
                <w:rFonts w:ascii="TimesNewRoman" w:eastAsia="TimesNewRoman" w:hAnsi="TimesNewRoman" w:cs="TimesNewRoman"/>
                <w:color w:val="000000"/>
                <w:sz w:val="16"/>
              </w:rPr>
            </w:pPr>
          </w:p>
        </w:tc>
      </w:tr>
    </w:tbl>
    <w:p w14:paraId="315BE54D" w14:textId="77777777" w:rsidR="00A77B3E" w:rsidRDefault="00A77B3E">
      <w:pPr>
        <w:spacing w:before="100"/>
        <w:rPr>
          <w:rFonts w:ascii="TimesNewRoman" w:eastAsia="TimesNewRoman" w:hAnsi="TimesNewRoman" w:cs="TimesNewRoman"/>
          <w:color w:val="000000"/>
          <w:sz w:val="16"/>
        </w:rPr>
      </w:pPr>
    </w:p>
    <w:p w14:paraId="2D789304" w14:textId="77777777" w:rsidR="00A77B3E" w:rsidRDefault="00A77B3E">
      <w:pPr>
        <w:spacing w:before="100"/>
        <w:rPr>
          <w:rFonts w:ascii="TimesNewRoman" w:eastAsia="TimesNewRoman" w:hAnsi="TimesNewRoman" w:cs="TimesNewRoman"/>
          <w:color w:val="000000"/>
          <w:sz w:val="16"/>
        </w:rPr>
        <w:sectPr w:rsidR="00A77B3E">
          <w:headerReference w:type="even" r:id="rId92"/>
          <w:headerReference w:type="default" r:id="rId93"/>
          <w:footerReference w:type="even" r:id="rId94"/>
          <w:footerReference w:type="default" r:id="rId95"/>
          <w:headerReference w:type="first" r:id="rId96"/>
          <w:footerReference w:type="first" r:id="rId97"/>
          <w:pgSz w:w="16838" w:h="11906" w:orient="landscape"/>
          <w:pgMar w:top="720" w:right="720" w:bottom="864" w:left="936" w:header="288" w:footer="72" w:gutter="0"/>
          <w:cols w:space="720"/>
          <w:noEndnote/>
          <w:docGrid w:linePitch="360"/>
        </w:sectPr>
      </w:pPr>
    </w:p>
    <w:p w14:paraId="05ACC458" w14:textId="77777777" w:rsidR="00A77B3E" w:rsidRDefault="00AD19A4">
      <w:pPr>
        <w:pStyle w:val="Heading1"/>
        <w:spacing w:before="100" w:after="0"/>
        <w:rPr>
          <w:rFonts w:ascii="TimesNewRoman" w:eastAsia="TimesNewRoman" w:hAnsi="TimesNewRoman" w:cs="TimesNewRoman"/>
          <w:b w:val="0"/>
          <w:color w:val="000000"/>
          <w:sz w:val="24"/>
        </w:rPr>
      </w:pPr>
      <w:bookmarkStart w:id="47" w:name="_Toc256000095"/>
      <w:r>
        <w:rPr>
          <w:rFonts w:ascii="TimesNewRoman" w:eastAsia="TimesNewRoman" w:hAnsi="TimesNewRoman" w:cs="TimesNewRoman"/>
          <w:b w:val="0"/>
          <w:color w:val="000000"/>
          <w:sz w:val="24"/>
        </w:rPr>
        <w:lastRenderedPageBreak/>
        <w:t>ДОКУМЕНТИ</w:t>
      </w:r>
      <w:bookmarkEnd w:id="47"/>
    </w:p>
    <w:p w14:paraId="4FF506CF"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625"/>
        <w:gridCol w:w="1016"/>
        <w:gridCol w:w="1625"/>
        <w:gridCol w:w="1625"/>
        <w:gridCol w:w="5014"/>
        <w:gridCol w:w="1016"/>
        <w:gridCol w:w="1625"/>
      </w:tblGrid>
      <w:tr w:rsidR="00FE6FD5" w14:paraId="0DC78FD8"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131ECD" w14:textId="77777777" w:rsidR="00A77B3E" w:rsidRDefault="00AD19A4">
            <w:pPr>
              <w:spacing w:before="100"/>
              <w:jc w:val="center"/>
              <w:rPr>
                <w:color w:val="000000"/>
                <w:sz w:val="16"/>
              </w:rPr>
            </w:pPr>
            <w:r>
              <w:rPr>
                <w:color w:val="000000"/>
                <w:sz w:val="16"/>
              </w:rPr>
              <w:t>Заглавие на документа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6914BA8" w14:textId="77777777" w:rsidR="00A77B3E" w:rsidRDefault="00AD19A4">
            <w:pPr>
              <w:spacing w:before="100"/>
              <w:jc w:val="center"/>
              <w:rPr>
                <w:color w:val="000000"/>
                <w:sz w:val="16"/>
              </w:rPr>
            </w:pPr>
            <w:r>
              <w:rPr>
                <w:color w:val="000000"/>
                <w:sz w:val="16"/>
              </w:rPr>
              <w:t>Тип документ</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F1033D0" w14:textId="77777777" w:rsidR="00A77B3E" w:rsidRDefault="00AD19A4">
            <w:pPr>
              <w:spacing w:before="100"/>
              <w:jc w:val="center"/>
              <w:rPr>
                <w:color w:val="000000"/>
                <w:sz w:val="16"/>
              </w:rPr>
            </w:pPr>
            <w:r>
              <w:rPr>
                <w:color w:val="000000"/>
                <w:sz w:val="16"/>
              </w:rPr>
              <w:t>Дата на документа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BA08CDB" w14:textId="77777777" w:rsidR="00A77B3E" w:rsidRDefault="00AD19A4">
            <w:pPr>
              <w:spacing w:before="100"/>
              <w:jc w:val="center"/>
              <w:rPr>
                <w:color w:val="000000"/>
                <w:sz w:val="16"/>
              </w:rPr>
            </w:pPr>
            <w:r>
              <w:rPr>
                <w:color w:val="000000"/>
                <w:sz w:val="16"/>
              </w:rPr>
              <w:t>Локална справка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9485C50" w14:textId="77777777" w:rsidR="00A77B3E" w:rsidRDefault="00AD19A4">
            <w:pPr>
              <w:spacing w:before="100"/>
              <w:jc w:val="center"/>
              <w:rPr>
                <w:color w:val="000000"/>
                <w:sz w:val="16"/>
              </w:rPr>
            </w:pPr>
            <w:r>
              <w:rPr>
                <w:color w:val="000000"/>
                <w:sz w:val="16"/>
              </w:rPr>
              <w:t>Референтен номер на Комисията</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0A5016" w14:textId="77777777" w:rsidR="00A77B3E" w:rsidRDefault="00AD19A4">
            <w:pPr>
              <w:spacing w:before="100"/>
              <w:jc w:val="center"/>
              <w:rPr>
                <w:color w:val="000000"/>
                <w:sz w:val="16"/>
              </w:rPr>
            </w:pPr>
            <w:r>
              <w:rPr>
                <w:color w:val="000000"/>
                <w:sz w:val="16"/>
              </w:rPr>
              <w:t>Файлове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EAF52E7" w14:textId="77777777" w:rsidR="00A77B3E" w:rsidRDefault="00AD19A4">
            <w:pPr>
              <w:spacing w:before="100"/>
              <w:jc w:val="center"/>
              <w:rPr>
                <w:color w:val="000000"/>
                <w:sz w:val="16"/>
              </w:rPr>
            </w:pPr>
            <w:r>
              <w:rPr>
                <w:color w:val="000000"/>
                <w:sz w:val="16"/>
              </w:rPr>
              <w:t>Дата на изпращане</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70C4BDF" w14:textId="77777777" w:rsidR="00A77B3E" w:rsidRDefault="00AD19A4">
            <w:pPr>
              <w:spacing w:before="100"/>
              <w:jc w:val="center"/>
              <w:rPr>
                <w:color w:val="000000"/>
                <w:sz w:val="16"/>
              </w:rPr>
            </w:pPr>
            <w:r>
              <w:rPr>
                <w:color w:val="000000"/>
                <w:sz w:val="16"/>
              </w:rPr>
              <w:t>Изпратено от</w:t>
            </w:r>
          </w:p>
        </w:tc>
      </w:tr>
      <w:tr w:rsidR="00FE6FD5" w14:paraId="6373586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E5FF2D" w14:textId="77777777" w:rsidR="00A77B3E" w:rsidRDefault="00AD19A4">
            <w:pPr>
              <w:spacing w:before="100"/>
              <w:rPr>
                <w:color w:val="000000"/>
                <w:sz w:val="16"/>
              </w:rPr>
            </w:pPr>
            <w:r>
              <w:rPr>
                <w:color w:val="000000"/>
                <w:sz w:val="16"/>
              </w:rPr>
              <w:t xml:space="preserve">Методология за ефективност на BG </w:t>
            </w:r>
            <w:r w:rsidR="004B3C80">
              <w:rPr>
                <w:color w:val="000000"/>
                <w:sz w:val="16"/>
              </w:rPr>
              <w:t>ИУГВП</w:t>
            </w:r>
            <w:r>
              <w:rPr>
                <w:color w:val="000000"/>
                <w:sz w:val="16"/>
              </w:rPr>
              <w:t xml:space="preserve"> август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7B338C" w14:textId="77777777" w:rsidR="00A77B3E" w:rsidRDefault="00AD19A4">
            <w:pPr>
              <w:spacing w:before="100"/>
              <w:rPr>
                <w:color w:val="000000"/>
                <w:sz w:val="16"/>
              </w:rPr>
            </w:pPr>
            <w:r>
              <w:rPr>
                <w:color w:val="000000"/>
                <w:sz w:val="16"/>
              </w:rPr>
              <w:t>Допълнителна информация</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E753F4C" w14:textId="77777777" w:rsidR="00A77B3E" w:rsidRDefault="00AD19A4">
            <w:pPr>
              <w:spacing w:before="100"/>
              <w:rPr>
                <w:color w:val="000000"/>
                <w:sz w:val="16"/>
              </w:rPr>
            </w:pPr>
            <w:r>
              <w:rPr>
                <w:color w:val="000000"/>
                <w:sz w:val="16"/>
              </w:rPr>
              <w:t>29 август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0A44B8"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FAFA78" w14:textId="77777777" w:rsidR="00A77B3E" w:rsidRDefault="00AD19A4">
            <w:pPr>
              <w:spacing w:before="100"/>
              <w:rPr>
                <w:color w:val="000000"/>
                <w:sz w:val="16"/>
              </w:rPr>
            </w:pPr>
            <w:r>
              <w:rPr>
                <w:color w:val="000000"/>
                <w:sz w:val="16"/>
              </w:rPr>
              <w:t>Арес (2025) 7111959</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667AD34" w14:textId="77777777" w:rsidR="00A77B3E" w:rsidRDefault="00AD19A4">
            <w:pPr>
              <w:spacing w:before="100"/>
              <w:rPr>
                <w:color w:val="000000"/>
                <w:sz w:val="16"/>
              </w:rPr>
            </w:pPr>
            <w:r>
              <w:rPr>
                <w:color w:val="000000"/>
                <w:sz w:val="16"/>
              </w:rPr>
              <w:t xml:space="preserve">Методология за ефективност на BG </w:t>
            </w:r>
            <w:r w:rsidR="004B3C80">
              <w:rPr>
                <w:color w:val="000000"/>
                <w:sz w:val="16"/>
              </w:rPr>
              <w:t>ИУГВП</w:t>
            </w:r>
            <w:r>
              <w:rPr>
                <w:color w:val="000000"/>
                <w:sz w:val="16"/>
              </w:rPr>
              <w:t xml:space="preserve"> август 2025 г.</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26C750B" w14:textId="77777777" w:rsidR="00A77B3E" w:rsidRDefault="00AD19A4">
            <w:pPr>
              <w:spacing w:before="100"/>
              <w:rPr>
                <w:color w:val="000000"/>
                <w:sz w:val="16"/>
              </w:rPr>
            </w:pPr>
            <w:r>
              <w:rPr>
                <w:color w:val="000000"/>
                <w:sz w:val="16"/>
              </w:rPr>
              <w:t>2 септември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D2CF9B" w14:textId="77777777" w:rsidR="00A77B3E" w:rsidRDefault="00AD19A4">
            <w:pPr>
              <w:spacing w:before="100"/>
              <w:rPr>
                <w:color w:val="000000"/>
                <w:sz w:val="16"/>
              </w:rPr>
            </w:pPr>
            <w:r>
              <w:rPr>
                <w:color w:val="000000"/>
                <w:sz w:val="16"/>
              </w:rPr>
              <w:t>Петкова, Мая</w:t>
            </w:r>
          </w:p>
        </w:tc>
      </w:tr>
      <w:tr w:rsidR="00FE6FD5" w14:paraId="590EDD6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1270BB" w14:textId="77777777" w:rsidR="00A77B3E" w:rsidRDefault="00AD19A4">
            <w:pPr>
              <w:spacing w:before="100"/>
              <w:rPr>
                <w:color w:val="000000"/>
                <w:sz w:val="16"/>
              </w:rPr>
            </w:pPr>
            <w:r>
              <w:rPr>
                <w:color w:val="000000"/>
                <w:sz w:val="16"/>
              </w:rPr>
              <w:t xml:space="preserve">Програма BG </w:t>
            </w:r>
            <w:r w:rsidR="004B3C80">
              <w:rPr>
                <w:color w:val="000000"/>
                <w:sz w:val="16"/>
              </w:rPr>
              <w:t>ИУГВП</w:t>
            </w:r>
            <w:r>
              <w:rPr>
                <w:color w:val="000000"/>
                <w:sz w:val="16"/>
              </w:rPr>
              <w:t xml:space="preserve"> - Промените_август 2025г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7B9A8F" w14:textId="77777777" w:rsidR="00A77B3E" w:rsidRDefault="00AD19A4">
            <w:pPr>
              <w:spacing w:before="100"/>
              <w:rPr>
                <w:color w:val="000000"/>
                <w:sz w:val="16"/>
              </w:rPr>
            </w:pPr>
            <w:r>
              <w:rPr>
                <w:color w:val="000000"/>
                <w:sz w:val="16"/>
              </w:rPr>
              <w:t>Допълнителна информация</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9E55DFB" w14:textId="77777777" w:rsidR="00A77B3E" w:rsidRDefault="00AD19A4">
            <w:pPr>
              <w:spacing w:before="100"/>
              <w:rPr>
                <w:color w:val="000000"/>
                <w:sz w:val="16"/>
              </w:rPr>
            </w:pPr>
            <w:r>
              <w:rPr>
                <w:color w:val="000000"/>
                <w:sz w:val="16"/>
              </w:rPr>
              <w:t>29 август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F532DBE"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0E9769" w14:textId="77777777" w:rsidR="00A77B3E" w:rsidRDefault="00AD19A4">
            <w:pPr>
              <w:spacing w:before="100"/>
              <w:rPr>
                <w:color w:val="000000"/>
                <w:sz w:val="16"/>
              </w:rPr>
            </w:pPr>
            <w:r>
              <w:rPr>
                <w:color w:val="000000"/>
                <w:sz w:val="16"/>
              </w:rPr>
              <w:t>Арес (2025) 7111959</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D35243" w14:textId="77777777" w:rsidR="00A77B3E" w:rsidRDefault="00AD19A4">
            <w:pPr>
              <w:spacing w:before="100"/>
              <w:rPr>
                <w:color w:val="000000"/>
                <w:sz w:val="16"/>
              </w:rPr>
            </w:pPr>
            <w:r>
              <w:rPr>
                <w:color w:val="000000"/>
                <w:sz w:val="16"/>
              </w:rPr>
              <w:t xml:space="preserve">Програма BG </w:t>
            </w:r>
            <w:r w:rsidR="004B3C80">
              <w:rPr>
                <w:color w:val="000000"/>
                <w:sz w:val="16"/>
              </w:rPr>
              <w:t>ИУГВП</w:t>
            </w:r>
            <w:r>
              <w:rPr>
                <w:color w:val="000000"/>
                <w:sz w:val="16"/>
              </w:rPr>
              <w:t xml:space="preserve"> - Промените_август 2025г</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07BA3E" w14:textId="77777777" w:rsidR="00A77B3E" w:rsidRDefault="00AD19A4">
            <w:pPr>
              <w:spacing w:before="100"/>
              <w:rPr>
                <w:color w:val="000000"/>
                <w:sz w:val="16"/>
              </w:rPr>
            </w:pPr>
            <w:r>
              <w:rPr>
                <w:color w:val="000000"/>
                <w:sz w:val="16"/>
              </w:rPr>
              <w:t>2 септември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480B791" w14:textId="77777777" w:rsidR="00A77B3E" w:rsidRDefault="00AD19A4">
            <w:pPr>
              <w:spacing w:before="100"/>
              <w:rPr>
                <w:color w:val="000000"/>
                <w:sz w:val="16"/>
              </w:rPr>
            </w:pPr>
            <w:r>
              <w:rPr>
                <w:color w:val="000000"/>
                <w:sz w:val="16"/>
              </w:rPr>
              <w:t>Петкова, Мая</w:t>
            </w:r>
          </w:p>
        </w:tc>
      </w:tr>
      <w:tr w:rsidR="00FE6FD5" w14:paraId="17F5EE15"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A500325" w14:textId="77777777" w:rsidR="00A77B3E" w:rsidRDefault="00AD19A4">
            <w:pPr>
              <w:spacing w:before="100"/>
              <w:rPr>
                <w:color w:val="000000"/>
                <w:sz w:val="16"/>
              </w:rPr>
            </w:pPr>
            <w:r>
              <w:rPr>
                <w:color w:val="000000"/>
                <w:sz w:val="16"/>
              </w:rPr>
              <w:t>Моментна снимка на програмата 2021BG65BVPR001 5.1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A9576A9" w14:textId="77777777" w:rsidR="00A77B3E" w:rsidRDefault="00AD19A4">
            <w:pPr>
              <w:spacing w:before="100"/>
              <w:rPr>
                <w:color w:val="000000"/>
                <w:sz w:val="16"/>
              </w:rPr>
            </w:pPr>
            <w:r>
              <w:rPr>
                <w:color w:val="000000"/>
                <w:sz w:val="16"/>
              </w:rPr>
              <w:t>Моментна снимка на данните преди изпращане</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F61187" w14:textId="77777777" w:rsidR="00A77B3E" w:rsidRDefault="00AD19A4">
            <w:pPr>
              <w:spacing w:before="100"/>
              <w:rPr>
                <w:color w:val="000000"/>
                <w:sz w:val="16"/>
              </w:rPr>
            </w:pPr>
            <w:r>
              <w:rPr>
                <w:color w:val="000000"/>
                <w:sz w:val="16"/>
              </w:rPr>
              <w:t>30 август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50B439B"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C2D69CD" w14:textId="77777777" w:rsidR="00A77B3E" w:rsidRDefault="00AD19A4">
            <w:pPr>
              <w:spacing w:before="100"/>
              <w:rPr>
                <w:color w:val="000000"/>
                <w:sz w:val="16"/>
              </w:rPr>
            </w:pPr>
            <w:r>
              <w:rPr>
                <w:color w:val="000000"/>
                <w:sz w:val="16"/>
              </w:rPr>
              <w:t>Арес (2025) 7111959</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40A4CE" w14:textId="77777777" w:rsidR="00A77B3E" w:rsidRDefault="00AD19A4">
            <w:pPr>
              <w:spacing w:before="100"/>
              <w:rPr>
                <w:color w:val="000000"/>
                <w:sz w:val="16"/>
              </w:rPr>
            </w:pPr>
            <w:r>
              <w:rPr>
                <w:color w:val="000000"/>
                <w:sz w:val="16"/>
              </w:rPr>
              <w:t xml:space="preserve">Моментна_снимка_на_програмата_2021BG65BVPR001_5.1_bg.pdf </w:t>
            </w:r>
            <w:r>
              <w:rPr>
                <w:color w:val="000000"/>
                <w:sz w:val="16"/>
              </w:rPr>
              <w:br/>
              <w:t>Моментна_снимка_на_програмата_2021BG65BVPR001_5.1_bg_en.pdf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FF49AE" w14:textId="77777777" w:rsidR="00A77B3E" w:rsidRDefault="00AD19A4">
            <w:pPr>
              <w:spacing w:before="100"/>
              <w:rPr>
                <w:color w:val="000000"/>
                <w:sz w:val="16"/>
              </w:rPr>
            </w:pPr>
            <w:r>
              <w:rPr>
                <w:color w:val="000000"/>
                <w:sz w:val="16"/>
              </w:rPr>
              <w:t>2 септември 2025 г.</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BA5FB1" w14:textId="77777777" w:rsidR="00A77B3E" w:rsidRDefault="00AD19A4">
            <w:pPr>
              <w:spacing w:before="100"/>
              <w:rPr>
                <w:color w:val="000000"/>
                <w:sz w:val="16"/>
              </w:rPr>
            </w:pPr>
            <w:r>
              <w:rPr>
                <w:color w:val="000000"/>
                <w:sz w:val="16"/>
              </w:rPr>
              <w:t>Петкова, Мая</w:t>
            </w:r>
          </w:p>
        </w:tc>
      </w:tr>
    </w:tbl>
    <w:p w14:paraId="50BB5ADE" w14:textId="77777777" w:rsidR="00A77B3E" w:rsidRDefault="00A77B3E">
      <w:pPr>
        <w:spacing w:before="100"/>
        <w:jc w:val="center"/>
        <w:rPr>
          <w:color w:val="000000"/>
          <w:sz w:val="16"/>
        </w:rPr>
      </w:pPr>
    </w:p>
    <w:p w14:paraId="3E99DC2D" w14:textId="77777777" w:rsidR="00C80703" w:rsidRDefault="00C80703">
      <w:pPr>
        <w:spacing w:before="100"/>
        <w:jc w:val="center"/>
        <w:rPr>
          <w:color w:val="000000"/>
          <w:sz w:val="16"/>
        </w:rPr>
      </w:pPr>
    </w:p>
    <w:p w14:paraId="2FA088E9" w14:textId="77777777" w:rsidR="00C80703" w:rsidRDefault="00C80703">
      <w:pPr>
        <w:spacing w:before="100"/>
        <w:jc w:val="center"/>
        <w:rPr>
          <w:color w:val="000000"/>
          <w:sz w:val="16"/>
        </w:rPr>
      </w:pPr>
    </w:p>
    <w:p w14:paraId="3CB10EF6" w14:textId="7EED9DFC" w:rsidR="00C80703" w:rsidRDefault="00C80703">
      <w:pPr>
        <w:spacing w:before="100"/>
        <w:jc w:val="center"/>
        <w:rPr>
          <w:color w:val="000000"/>
          <w:sz w:val="16"/>
        </w:rPr>
      </w:pPr>
    </w:p>
    <w:sectPr w:rsidR="00C80703">
      <w:headerReference w:type="even" r:id="rId98"/>
      <w:headerReference w:type="default" r:id="rId99"/>
      <w:footerReference w:type="even" r:id="rId100"/>
      <w:footerReference w:type="default" r:id="rId101"/>
      <w:headerReference w:type="first" r:id="rId102"/>
      <w:footerReference w:type="first" r:id="rId103"/>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6CF1" w14:textId="77777777" w:rsidR="000B2C9F" w:rsidRDefault="000B2C9F">
      <w:r>
        <w:separator/>
      </w:r>
    </w:p>
  </w:endnote>
  <w:endnote w:type="continuationSeparator" w:id="0">
    <w:p w14:paraId="32309FCB" w14:textId="77777777" w:rsidR="000B2C9F" w:rsidRDefault="000B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942B" w14:textId="77777777" w:rsidR="00FE6FD5" w:rsidRDefault="00FE6FD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23A8" w14:textId="77777777" w:rsidR="00FE6FD5" w:rsidRDefault="00FE6FD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2FD699BC" w14:textId="77777777">
      <w:trPr>
        <w:trHeight w:val="160"/>
      </w:trPr>
      <w:tc>
        <w:tcPr>
          <w:tcW w:w="0" w:type="dxa"/>
          <w:tcMar>
            <w:top w:w="0" w:type="dxa"/>
            <w:left w:w="60" w:type="dxa"/>
            <w:bottom w:w="80" w:type="dxa"/>
            <w:right w:w="60" w:type="dxa"/>
          </w:tcMar>
        </w:tcPr>
        <w:p w14:paraId="54E891C4"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792CF71F"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23</w:t>
          </w:r>
          <w:r>
            <w:rPr>
              <w:b/>
              <w:color w:val="000000"/>
            </w:rPr>
            <w:fldChar w:fldCharType="end"/>
          </w:r>
        </w:p>
      </w:tc>
      <w:tc>
        <w:tcPr>
          <w:tcW w:w="0" w:type="dxa"/>
          <w:tcMar>
            <w:top w:w="0" w:type="dxa"/>
            <w:left w:w="60" w:type="dxa"/>
            <w:bottom w:w="80" w:type="dxa"/>
            <w:right w:w="60" w:type="dxa"/>
          </w:tcMar>
        </w:tcPr>
        <w:p w14:paraId="4D11682E" w14:textId="77777777" w:rsidR="00FE6FD5" w:rsidRDefault="00AD19A4">
          <w:pPr>
            <w:jc w:val="right"/>
            <w:rPr>
              <w:b/>
              <w:color w:val="000000"/>
              <w:sz w:val="32"/>
            </w:rPr>
          </w:pPr>
          <w:r>
            <w:rPr>
              <w:b/>
              <w:color w:val="000000"/>
              <w:sz w:val="32"/>
            </w:rPr>
            <w:t>ЕН</w:t>
          </w:r>
        </w:p>
      </w:tc>
    </w:tr>
  </w:tbl>
  <w:p w14:paraId="56D47FC9" w14:textId="77777777" w:rsidR="00FE6FD5" w:rsidRDefault="00FE6FD5">
    <w:pPr>
      <w:rPr>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F996" w14:textId="77777777" w:rsidR="00FE6FD5" w:rsidRDefault="00FE6FD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642C" w14:textId="77777777" w:rsidR="00FE6FD5" w:rsidRDefault="00FE6FD5"/>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67AB8F3D" w14:textId="77777777">
      <w:tc>
        <w:tcPr>
          <w:tcW w:w="0" w:type="dxa"/>
          <w:tcMar>
            <w:top w:w="0" w:type="dxa"/>
            <w:left w:w="60" w:type="dxa"/>
            <w:bottom w:w="80" w:type="dxa"/>
            <w:right w:w="60" w:type="dxa"/>
          </w:tcMar>
        </w:tcPr>
        <w:p w14:paraId="20093720"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1C94942E"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27</w:t>
          </w:r>
          <w:r>
            <w:rPr>
              <w:b/>
              <w:color w:val="000000"/>
            </w:rPr>
            <w:fldChar w:fldCharType="end"/>
          </w:r>
        </w:p>
      </w:tc>
      <w:tc>
        <w:tcPr>
          <w:tcW w:w="0" w:type="dxa"/>
          <w:tcMar>
            <w:top w:w="0" w:type="dxa"/>
            <w:left w:w="60" w:type="dxa"/>
            <w:bottom w:w="80" w:type="dxa"/>
            <w:right w:w="60" w:type="dxa"/>
          </w:tcMar>
        </w:tcPr>
        <w:p w14:paraId="0B055C1E" w14:textId="77777777" w:rsidR="00FE6FD5" w:rsidRDefault="00AD19A4">
          <w:pPr>
            <w:jc w:val="right"/>
            <w:rPr>
              <w:b/>
              <w:color w:val="000000"/>
              <w:sz w:val="32"/>
            </w:rPr>
          </w:pPr>
          <w:r>
            <w:rPr>
              <w:b/>
              <w:color w:val="000000"/>
              <w:sz w:val="32"/>
            </w:rPr>
            <w:t>ЕН</w:t>
          </w:r>
        </w:p>
      </w:tc>
    </w:tr>
  </w:tbl>
  <w:p w14:paraId="3BA2F4AC" w14:textId="77777777" w:rsidR="00FE6FD5" w:rsidRDefault="00FE6FD5">
    <w:pPr>
      <w:rPr>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0885" w14:textId="77777777" w:rsidR="00FE6FD5" w:rsidRDefault="00FE6FD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46CD" w14:textId="77777777" w:rsidR="00FE6FD5" w:rsidRDefault="00FE6FD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3D4697E3" w14:textId="77777777">
      <w:tc>
        <w:tcPr>
          <w:tcW w:w="0" w:type="dxa"/>
          <w:tcMar>
            <w:top w:w="0" w:type="dxa"/>
            <w:left w:w="60" w:type="dxa"/>
            <w:bottom w:w="80" w:type="dxa"/>
            <w:right w:w="60" w:type="dxa"/>
          </w:tcMar>
        </w:tcPr>
        <w:p w14:paraId="771B5CB3"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6FC02FA4"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31</w:t>
          </w:r>
          <w:r>
            <w:rPr>
              <w:b/>
              <w:color w:val="000000"/>
            </w:rPr>
            <w:fldChar w:fldCharType="end"/>
          </w:r>
        </w:p>
      </w:tc>
      <w:tc>
        <w:tcPr>
          <w:tcW w:w="0" w:type="dxa"/>
          <w:tcMar>
            <w:top w:w="0" w:type="dxa"/>
            <w:left w:w="60" w:type="dxa"/>
            <w:bottom w:w="80" w:type="dxa"/>
            <w:right w:w="60" w:type="dxa"/>
          </w:tcMar>
        </w:tcPr>
        <w:p w14:paraId="3AF0A715" w14:textId="77777777" w:rsidR="00FE6FD5" w:rsidRDefault="00AD19A4">
          <w:pPr>
            <w:jc w:val="right"/>
            <w:rPr>
              <w:b/>
              <w:color w:val="000000"/>
              <w:sz w:val="32"/>
            </w:rPr>
          </w:pPr>
          <w:r>
            <w:rPr>
              <w:b/>
              <w:color w:val="000000"/>
              <w:sz w:val="32"/>
            </w:rPr>
            <w:t>ЕН</w:t>
          </w:r>
        </w:p>
      </w:tc>
    </w:tr>
  </w:tbl>
  <w:p w14:paraId="583DAF56" w14:textId="77777777" w:rsidR="00FE6FD5" w:rsidRDefault="00FE6FD5">
    <w:pPr>
      <w:rPr>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154D" w14:textId="77777777" w:rsidR="00FE6FD5" w:rsidRDefault="00FE6FD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07B8" w14:textId="77777777" w:rsidR="00FE6FD5" w:rsidRDefault="00FE6F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FE6FD5" w14:paraId="559B2A78" w14:textId="77777777">
      <w:trPr>
        <w:trHeight w:val="240"/>
      </w:trPr>
      <w:tc>
        <w:tcPr>
          <w:tcW w:w="0" w:type="dxa"/>
          <w:tcMar>
            <w:left w:w="100" w:type="dxa"/>
            <w:right w:w="100" w:type="dxa"/>
          </w:tcMar>
        </w:tcPr>
        <w:p w14:paraId="59DE87B6" w14:textId="77777777" w:rsidR="00FE6FD5" w:rsidRDefault="00AD19A4">
          <w:pPr>
            <w:rPr>
              <w:b/>
              <w:color w:val="000000"/>
            </w:rPr>
          </w:pPr>
          <w:r>
            <w:rPr>
              <w:b/>
              <w:color w:val="000000"/>
              <w:sz w:val="32"/>
            </w:rPr>
            <w:t>ЕН</w:t>
          </w:r>
        </w:p>
      </w:tc>
      <w:tc>
        <w:tcPr>
          <w:tcW w:w="0" w:type="dxa"/>
          <w:tcMar>
            <w:left w:w="100" w:type="dxa"/>
            <w:right w:w="100" w:type="dxa"/>
          </w:tcMar>
        </w:tcPr>
        <w:p w14:paraId="49094794"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10</w:t>
          </w:r>
          <w:r>
            <w:rPr>
              <w:b/>
              <w:color w:val="000000"/>
            </w:rPr>
            <w:fldChar w:fldCharType="end"/>
          </w:r>
        </w:p>
      </w:tc>
      <w:tc>
        <w:tcPr>
          <w:tcW w:w="0" w:type="dxa"/>
          <w:tcMar>
            <w:left w:w="100" w:type="dxa"/>
            <w:right w:w="100" w:type="dxa"/>
          </w:tcMar>
        </w:tcPr>
        <w:p w14:paraId="040BD947" w14:textId="77777777" w:rsidR="00FE6FD5" w:rsidRDefault="00AD19A4">
          <w:pPr>
            <w:jc w:val="right"/>
            <w:rPr>
              <w:b/>
              <w:color w:val="000000"/>
              <w:sz w:val="32"/>
            </w:rPr>
          </w:pPr>
          <w:r>
            <w:rPr>
              <w:b/>
              <w:color w:val="000000"/>
              <w:sz w:val="32"/>
            </w:rPr>
            <w:t>ЕН</w:t>
          </w:r>
        </w:p>
      </w:tc>
    </w:tr>
  </w:tbl>
  <w:p w14:paraId="3CB927D8" w14:textId="77777777" w:rsidR="00FE6FD5" w:rsidRDefault="00FE6FD5">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5A6D4951" w14:textId="77777777">
      <w:tc>
        <w:tcPr>
          <w:tcW w:w="0" w:type="dxa"/>
          <w:tcMar>
            <w:top w:w="0" w:type="dxa"/>
            <w:left w:w="60" w:type="dxa"/>
            <w:bottom w:w="80" w:type="dxa"/>
            <w:right w:w="60" w:type="dxa"/>
          </w:tcMar>
        </w:tcPr>
        <w:p w14:paraId="336D9EC3"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0F70760F"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33</w:t>
          </w:r>
          <w:r>
            <w:rPr>
              <w:b/>
              <w:color w:val="000000"/>
            </w:rPr>
            <w:fldChar w:fldCharType="end"/>
          </w:r>
        </w:p>
      </w:tc>
      <w:tc>
        <w:tcPr>
          <w:tcW w:w="0" w:type="dxa"/>
          <w:tcMar>
            <w:top w:w="0" w:type="dxa"/>
            <w:left w:w="60" w:type="dxa"/>
            <w:bottom w:w="80" w:type="dxa"/>
            <w:right w:w="60" w:type="dxa"/>
          </w:tcMar>
        </w:tcPr>
        <w:p w14:paraId="686DE168" w14:textId="77777777" w:rsidR="00FE6FD5" w:rsidRDefault="00AD19A4">
          <w:pPr>
            <w:jc w:val="right"/>
            <w:rPr>
              <w:b/>
              <w:color w:val="000000"/>
              <w:sz w:val="32"/>
            </w:rPr>
          </w:pPr>
          <w:r>
            <w:rPr>
              <w:b/>
              <w:color w:val="000000"/>
              <w:sz w:val="32"/>
            </w:rPr>
            <w:t>ЕН</w:t>
          </w:r>
        </w:p>
      </w:tc>
    </w:tr>
  </w:tbl>
  <w:p w14:paraId="2DA28FE7" w14:textId="77777777" w:rsidR="00FE6FD5" w:rsidRDefault="00FE6FD5">
    <w:pPr>
      <w:rPr>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215F" w14:textId="77777777" w:rsidR="00FE6FD5" w:rsidRDefault="00FE6FD5"/>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8BD9" w14:textId="77777777" w:rsidR="00FE6FD5" w:rsidRDefault="00FE6FD5"/>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01A82564" w14:textId="77777777">
      <w:tc>
        <w:tcPr>
          <w:tcW w:w="0" w:type="dxa"/>
          <w:tcMar>
            <w:top w:w="0" w:type="dxa"/>
            <w:left w:w="60" w:type="dxa"/>
            <w:bottom w:w="80" w:type="dxa"/>
            <w:right w:w="60" w:type="dxa"/>
          </w:tcMar>
        </w:tcPr>
        <w:p w14:paraId="6581AF53"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3B2FE9F4"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37</w:t>
          </w:r>
          <w:r>
            <w:rPr>
              <w:b/>
              <w:color w:val="000000"/>
            </w:rPr>
            <w:fldChar w:fldCharType="end"/>
          </w:r>
        </w:p>
      </w:tc>
      <w:tc>
        <w:tcPr>
          <w:tcW w:w="0" w:type="dxa"/>
          <w:tcMar>
            <w:top w:w="0" w:type="dxa"/>
            <w:left w:w="60" w:type="dxa"/>
            <w:bottom w:w="80" w:type="dxa"/>
            <w:right w:w="60" w:type="dxa"/>
          </w:tcMar>
        </w:tcPr>
        <w:p w14:paraId="382F1793" w14:textId="77777777" w:rsidR="00FE6FD5" w:rsidRDefault="00AD19A4">
          <w:pPr>
            <w:jc w:val="right"/>
            <w:rPr>
              <w:b/>
              <w:color w:val="000000"/>
              <w:sz w:val="32"/>
            </w:rPr>
          </w:pPr>
          <w:r>
            <w:rPr>
              <w:b/>
              <w:color w:val="000000"/>
              <w:sz w:val="32"/>
            </w:rPr>
            <w:t>ЕН</w:t>
          </w:r>
        </w:p>
      </w:tc>
    </w:tr>
  </w:tbl>
  <w:p w14:paraId="2AAF2FA4" w14:textId="77777777" w:rsidR="00FE6FD5" w:rsidRDefault="00FE6FD5">
    <w:pPr>
      <w:rPr>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0A30" w14:textId="77777777" w:rsidR="00FE6FD5" w:rsidRDefault="00FE6FD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F954" w14:textId="77777777" w:rsidR="00FE6FD5" w:rsidRDefault="00FE6FD5"/>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0BBE2A41" w14:textId="77777777">
      <w:tc>
        <w:tcPr>
          <w:tcW w:w="0" w:type="dxa"/>
          <w:tcMar>
            <w:top w:w="0" w:type="dxa"/>
            <w:left w:w="60" w:type="dxa"/>
            <w:bottom w:w="80" w:type="dxa"/>
            <w:right w:w="60" w:type="dxa"/>
          </w:tcMar>
          <w:vAlign w:val="center"/>
        </w:tcPr>
        <w:p w14:paraId="755A5E2C"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vAlign w:val="center"/>
        </w:tcPr>
        <w:p w14:paraId="26DBA2FD"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45</w:t>
          </w:r>
          <w:r>
            <w:rPr>
              <w:b/>
              <w:color w:val="000000"/>
            </w:rPr>
            <w:fldChar w:fldCharType="end"/>
          </w:r>
        </w:p>
      </w:tc>
      <w:tc>
        <w:tcPr>
          <w:tcW w:w="0" w:type="dxa"/>
          <w:tcMar>
            <w:top w:w="0" w:type="dxa"/>
            <w:left w:w="60" w:type="dxa"/>
            <w:bottom w:w="80" w:type="dxa"/>
            <w:right w:w="60" w:type="dxa"/>
          </w:tcMar>
          <w:vAlign w:val="center"/>
        </w:tcPr>
        <w:p w14:paraId="5308980E" w14:textId="77777777" w:rsidR="00FE6FD5" w:rsidRDefault="00AD19A4">
          <w:pPr>
            <w:jc w:val="right"/>
            <w:rPr>
              <w:b/>
              <w:color w:val="000000"/>
              <w:sz w:val="32"/>
            </w:rPr>
          </w:pPr>
          <w:r>
            <w:rPr>
              <w:b/>
              <w:color w:val="000000"/>
              <w:sz w:val="32"/>
            </w:rPr>
            <w:t>ЕН</w:t>
          </w:r>
        </w:p>
      </w:tc>
    </w:tr>
  </w:tbl>
  <w:p w14:paraId="1967B8F0" w14:textId="77777777" w:rsidR="00FE6FD5" w:rsidRDefault="00FE6FD5">
    <w:pPr>
      <w:rPr>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6443" w14:textId="77777777" w:rsidR="00FE6FD5" w:rsidRDefault="00FE6FD5"/>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0CA4" w14:textId="77777777" w:rsidR="00FE6FD5" w:rsidRDefault="00FE6FD5"/>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2192659D" w14:textId="77777777">
      <w:tc>
        <w:tcPr>
          <w:tcW w:w="0" w:type="dxa"/>
          <w:tcMar>
            <w:top w:w="0" w:type="dxa"/>
            <w:left w:w="60" w:type="dxa"/>
            <w:bottom w:w="80" w:type="dxa"/>
            <w:right w:w="60" w:type="dxa"/>
          </w:tcMar>
        </w:tcPr>
        <w:p w14:paraId="2D843BBD"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44F484B9"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51</w:t>
          </w:r>
          <w:r>
            <w:rPr>
              <w:b/>
              <w:color w:val="000000"/>
            </w:rPr>
            <w:fldChar w:fldCharType="end"/>
          </w:r>
        </w:p>
      </w:tc>
      <w:tc>
        <w:tcPr>
          <w:tcW w:w="0" w:type="dxa"/>
          <w:tcMar>
            <w:top w:w="0" w:type="dxa"/>
            <w:left w:w="60" w:type="dxa"/>
            <w:bottom w:w="80" w:type="dxa"/>
            <w:right w:w="60" w:type="dxa"/>
          </w:tcMar>
        </w:tcPr>
        <w:p w14:paraId="7394767C" w14:textId="77777777" w:rsidR="00FE6FD5" w:rsidRDefault="00AD19A4">
          <w:pPr>
            <w:jc w:val="right"/>
            <w:rPr>
              <w:b/>
              <w:color w:val="000000"/>
              <w:sz w:val="32"/>
            </w:rPr>
          </w:pPr>
          <w:r>
            <w:rPr>
              <w:b/>
              <w:color w:val="000000"/>
              <w:sz w:val="32"/>
            </w:rPr>
            <w:t>ЕН</w:t>
          </w:r>
        </w:p>
      </w:tc>
    </w:tr>
  </w:tbl>
  <w:p w14:paraId="0851078A" w14:textId="77777777" w:rsidR="00FE6FD5" w:rsidRDefault="00FE6FD5">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5721" w14:textId="77777777" w:rsidR="00FE6FD5" w:rsidRDefault="00FE6FD5"/>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EDCE" w14:textId="77777777" w:rsidR="00FE6FD5" w:rsidRDefault="00FE6FD5"/>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A50B" w14:textId="77777777" w:rsidR="00FE6FD5" w:rsidRDefault="00FE6FD5"/>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44852657" w14:textId="77777777">
      <w:tc>
        <w:tcPr>
          <w:tcW w:w="0" w:type="dxa"/>
          <w:tcMar>
            <w:top w:w="0" w:type="dxa"/>
            <w:left w:w="60" w:type="dxa"/>
            <w:bottom w:w="80" w:type="dxa"/>
            <w:right w:w="60" w:type="dxa"/>
          </w:tcMar>
        </w:tcPr>
        <w:p w14:paraId="0A5EC955"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715E665E"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53</w:t>
          </w:r>
          <w:r>
            <w:rPr>
              <w:b/>
              <w:color w:val="000000"/>
            </w:rPr>
            <w:fldChar w:fldCharType="end"/>
          </w:r>
        </w:p>
      </w:tc>
      <w:tc>
        <w:tcPr>
          <w:tcW w:w="0" w:type="dxa"/>
          <w:tcMar>
            <w:top w:w="0" w:type="dxa"/>
            <w:left w:w="60" w:type="dxa"/>
            <w:bottom w:w="80" w:type="dxa"/>
            <w:right w:w="60" w:type="dxa"/>
          </w:tcMar>
        </w:tcPr>
        <w:p w14:paraId="4D8A0F98" w14:textId="77777777" w:rsidR="00FE6FD5" w:rsidRDefault="00AD19A4">
          <w:pPr>
            <w:jc w:val="right"/>
            <w:rPr>
              <w:b/>
              <w:color w:val="000000"/>
              <w:sz w:val="32"/>
            </w:rPr>
          </w:pPr>
          <w:r>
            <w:rPr>
              <w:b/>
              <w:color w:val="000000"/>
              <w:sz w:val="32"/>
            </w:rPr>
            <w:t>ЕН</w:t>
          </w:r>
        </w:p>
      </w:tc>
    </w:tr>
  </w:tbl>
  <w:p w14:paraId="431CB591" w14:textId="77777777" w:rsidR="00FE6FD5" w:rsidRDefault="00FE6FD5">
    <w:pPr>
      <w:rPr>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500F" w14:textId="77777777" w:rsidR="00FE6FD5" w:rsidRDefault="00FE6FD5"/>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3F4D" w14:textId="77777777" w:rsidR="00FE6FD5" w:rsidRDefault="00FE6FD5"/>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7AC94099" w14:textId="77777777">
      <w:tc>
        <w:tcPr>
          <w:tcW w:w="0" w:type="dxa"/>
          <w:tcMar>
            <w:top w:w="0" w:type="dxa"/>
            <w:left w:w="60" w:type="dxa"/>
            <w:bottom w:w="80" w:type="dxa"/>
            <w:right w:w="60" w:type="dxa"/>
          </w:tcMar>
          <w:vAlign w:val="center"/>
        </w:tcPr>
        <w:p w14:paraId="27123DCA"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vAlign w:val="center"/>
        </w:tcPr>
        <w:p w14:paraId="01D92F93"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58</w:t>
          </w:r>
          <w:r>
            <w:rPr>
              <w:b/>
              <w:color w:val="000000"/>
            </w:rPr>
            <w:fldChar w:fldCharType="end"/>
          </w:r>
        </w:p>
      </w:tc>
      <w:tc>
        <w:tcPr>
          <w:tcW w:w="0" w:type="dxa"/>
          <w:tcMar>
            <w:top w:w="0" w:type="dxa"/>
            <w:left w:w="60" w:type="dxa"/>
            <w:bottom w:w="80" w:type="dxa"/>
            <w:right w:w="60" w:type="dxa"/>
          </w:tcMar>
          <w:vAlign w:val="center"/>
        </w:tcPr>
        <w:p w14:paraId="0402CEEE" w14:textId="77777777" w:rsidR="00FE6FD5" w:rsidRDefault="00AD19A4">
          <w:pPr>
            <w:jc w:val="right"/>
            <w:rPr>
              <w:b/>
              <w:color w:val="000000"/>
              <w:sz w:val="32"/>
            </w:rPr>
          </w:pPr>
          <w:r>
            <w:rPr>
              <w:b/>
              <w:color w:val="000000"/>
              <w:sz w:val="32"/>
            </w:rPr>
            <w:t>ЕН</w:t>
          </w:r>
        </w:p>
      </w:tc>
    </w:tr>
  </w:tbl>
  <w:p w14:paraId="15C03100" w14:textId="77777777" w:rsidR="00FE6FD5" w:rsidRDefault="00FE6FD5">
    <w:pPr>
      <w:rPr>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311" w14:textId="77777777" w:rsidR="00FE6FD5" w:rsidRDefault="00FE6FD5"/>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90E" w14:textId="77777777" w:rsidR="00FE6FD5" w:rsidRDefault="00FE6FD5"/>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081"/>
      <w:gridCol w:w="2089"/>
      <w:gridCol w:w="4080"/>
    </w:tblGrid>
    <w:tr w:rsidR="00FE6FD5" w14:paraId="6E9FA3A9" w14:textId="77777777">
      <w:tc>
        <w:tcPr>
          <w:tcW w:w="0" w:type="dxa"/>
          <w:tcMar>
            <w:top w:w="20" w:type="dxa"/>
            <w:left w:w="120" w:type="dxa"/>
            <w:bottom w:w="120" w:type="dxa"/>
            <w:right w:w="120" w:type="dxa"/>
          </w:tcMar>
          <w:vAlign w:val="bottom"/>
        </w:tcPr>
        <w:p w14:paraId="652E9C48" w14:textId="77777777" w:rsidR="00FE6FD5" w:rsidRDefault="00AD19A4">
          <w:pPr>
            <w:rPr>
              <w:b/>
              <w:color w:val="000000"/>
            </w:rPr>
          </w:pPr>
          <w:r>
            <w:rPr>
              <w:b/>
              <w:color w:val="000000"/>
              <w:sz w:val="32"/>
            </w:rPr>
            <w:t>ЕН</w:t>
          </w:r>
        </w:p>
      </w:tc>
      <w:tc>
        <w:tcPr>
          <w:tcW w:w="0" w:type="dxa"/>
          <w:tcMar>
            <w:top w:w="20" w:type="dxa"/>
            <w:left w:w="120" w:type="dxa"/>
            <w:bottom w:w="120" w:type="dxa"/>
            <w:right w:w="120" w:type="dxa"/>
          </w:tcMar>
          <w:vAlign w:val="bottom"/>
        </w:tcPr>
        <w:p w14:paraId="482E6846"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59</w:t>
          </w:r>
          <w:r>
            <w:rPr>
              <w:b/>
              <w:color w:val="000000"/>
            </w:rPr>
            <w:fldChar w:fldCharType="end"/>
          </w:r>
        </w:p>
      </w:tc>
      <w:tc>
        <w:tcPr>
          <w:tcW w:w="0" w:type="dxa"/>
          <w:tcMar>
            <w:top w:w="20" w:type="dxa"/>
            <w:left w:w="120" w:type="dxa"/>
            <w:bottom w:w="120" w:type="dxa"/>
            <w:right w:w="120" w:type="dxa"/>
          </w:tcMar>
          <w:vAlign w:val="bottom"/>
        </w:tcPr>
        <w:p w14:paraId="37631168" w14:textId="77777777" w:rsidR="00FE6FD5" w:rsidRDefault="00AD19A4">
          <w:pPr>
            <w:jc w:val="right"/>
            <w:rPr>
              <w:b/>
              <w:color w:val="000000"/>
              <w:sz w:val="32"/>
            </w:rPr>
          </w:pPr>
          <w:r>
            <w:rPr>
              <w:b/>
              <w:color w:val="000000"/>
              <w:sz w:val="32"/>
            </w:rPr>
            <w:t>ЕН</w:t>
          </w:r>
        </w:p>
      </w:tc>
    </w:tr>
  </w:tbl>
  <w:p w14:paraId="7D568546" w14:textId="77777777" w:rsidR="00FE6FD5" w:rsidRDefault="00FE6FD5">
    <w:pPr>
      <w:rPr>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933F" w14:textId="77777777" w:rsidR="00FE6FD5" w:rsidRDefault="00FE6FD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EE85" w14:textId="77777777" w:rsidR="00FE6FD5" w:rsidRDefault="00FE6FD5"/>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0208" w14:textId="77777777" w:rsidR="00FE6FD5" w:rsidRDefault="00FE6FD5"/>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6F0C5CAD" w14:textId="77777777">
      <w:tc>
        <w:tcPr>
          <w:tcW w:w="0" w:type="dxa"/>
          <w:tcMar>
            <w:top w:w="0" w:type="dxa"/>
            <w:left w:w="60" w:type="dxa"/>
            <w:bottom w:w="80" w:type="dxa"/>
            <w:right w:w="60" w:type="dxa"/>
          </w:tcMar>
          <w:vAlign w:val="center"/>
        </w:tcPr>
        <w:p w14:paraId="674BD846"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vAlign w:val="center"/>
        </w:tcPr>
        <w:p w14:paraId="63B4F328"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60</w:t>
          </w:r>
          <w:r>
            <w:rPr>
              <w:b/>
              <w:color w:val="000000"/>
            </w:rPr>
            <w:fldChar w:fldCharType="end"/>
          </w:r>
        </w:p>
      </w:tc>
      <w:tc>
        <w:tcPr>
          <w:tcW w:w="0" w:type="dxa"/>
          <w:tcMar>
            <w:top w:w="0" w:type="dxa"/>
            <w:left w:w="60" w:type="dxa"/>
            <w:bottom w:w="80" w:type="dxa"/>
            <w:right w:w="60" w:type="dxa"/>
          </w:tcMar>
          <w:vAlign w:val="center"/>
        </w:tcPr>
        <w:p w14:paraId="2FE13DCB" w14:textId="77777777" w:rsidR="00FE6FD5" w:rsidRDefault="00AD19A4">
          <w:pPr>
            <w:jc w:val="right"/>
            <w:rPr>
              <w:b/>
              <w:color w:val="000000"/>
              <w:sz w:val="32"/>
            </w:rPr>
          </w:pPr>
          <w:r>
            <w:rPr>
              <w:b/>
              <w:color w:val="000000"/>
              <w:sz w:val="32"/>
            </w:rPr>
            <w:t>ЕН</w:t>
          </w:r>
        </w:p>
      </w:tc>
    </w:tr>
  </w:tbl>
  <w:p w14:paraId="484C4113" w14:textId="77777777" w:rsidR="00FE6FD5" w:rsidRDefault="00FE6FD5">
    <w:pPr>
      <w:rPr>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576F" w14:textId="77777777" w:rsidR="00FE6FD5" w:rsidRDefault="00FE6FD5"/>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8A0C" w14:textId="77777777" w:rsidR="00FE6FD5" w:rsidRDefault="00FE6FD5"/>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79938EDD" w14:textId="77777777">
      <w:tc>
        <w:tcPr>
          <w:tcW w:w="0" w:type="dxa"/>
          <w:tcMar>
            <w:top w:w="0" w:type="dxa"/>
            <w:left w:w="60" w:type="dxa"/>
            <w:bottom w:w="80" w:type="dxa"/>
            <w:right w:w="60" w:type="dxa"/>
          </w:tcMar>
          <w:vAlign w:val="center"/>
        </w:tcPr>
        <w:p w14:paraId="76F5B165"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vAlign w:val="center"/>
        </w:tcPr>
        <w:p w14:paraId="4AA35718"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68</w:t>
          </w:r>
          <w:r>
            <w:rPr>
              <w:b/>
              <w:color w:val="000000"/>
            </w:rPr>
            <w:fldChar w:fldCharType="end"/>
          </w:r>
        </w:p>
      </w:tc>
      <w:tc>
        <w:tcPr>
          <w:tcW w:w="0" w:type="dxa"/>
          <w:tcMar>
            <w:top w:w="0" w:type="dxa"/>
            <w:left w:w="60" w:type="dxa"/>
            <w:bottom w:w="80" w:type="dxa"/>
            <w:right w:w="60" w:type="dxa"/>
          </w:tcMar>
          <w:vAlign w:val="center"/>
        </w:tcPr>
        <w:p w14:paraId="775100AB" w14:textId="77777777" w:rsidR="00FE6FD5" w:rsidRDefault="00AD19A4">
          <w:pPr>
            <w:jc w:val="right"/>
            <w:rPr>
              <w:b/>
              <w:color w:val="000000"/>
              <w:sz w:val="32"/>
            </w:rPr>
          </w:pPr>
          <w:r>
            <w:rPr>
              <w:b/>
              <w:color w:val="000000"/>
              <w:sz w:val="32"/>
            </w:rPr>
            <w:t>ЕН</w:t>
          </w:r>
        </w:p>
      </w:tc>
    </w:tr>
  </w:tbl>
  <w:p w14:paraId="2CDCA01C" w14:textId="77777777" w:rsidR="00FE6FD5" w:rsidRDefault="00FE6FD5">
    <w:pPr>
      <w:rPr>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6FAA" w14:textId="77777777" w:rsidR="00FE6FD5" w:rsidRDefault="00FE6FD5"/>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4445" w14:textId="77777777" w:rsidR="00FE6FD5" w:rsidRDefault="00FE6FD5"/>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7EC219AE" w14:textId="77777777">
      <w:tc>
        <w:tcPr>
          <w:tcW w:w="0" w:type="dxa"/>
          <w:tcMar>
            <w:top w:w="0" w:type="dxa"/>
            <w:left w:w="60" w:type="dxa"/>
            <w:bottom w:w="80" w:type="dxa"/>
            <w:right w:w="60" w:type="dxa"/>
          </w:tcMar>
        </w:tcPr>
        <w:p w14:paraId="1212013C"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57C61AB6"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69</w:t>
          </w:r>
          <w:r>
            <w:rPr>
              <w:b/>
              <w:color w:val="000000"/>
            </w:rPr>
            <w:fldChar w:fldCharType="end"/>
          </w:r>
        </w:p>
      </w:tc>
      <w:tc>
        <w:tcPr>
          <w:tcW w:w="0" w:type="dxa"/>
          <w:tcMar>
            <w:top w:w="0" w:type="dxa"/>
            <w:left w:w="60" w:type="dxa"/>
            <w:bottom w:w="80" w:type="dxa"/>
            <w:right w:w="60" w:type="dxa"/>
          </w:tcMar>
        </w:tcPr>
        <w:p w14:paraId="65FB8FA2" w14:textId="77777777" w:rsidR="00FE6FD5" w:rsidRDefault="00AD19A4">
          <w:pPr>
            <w:jc w:val="right"/>
            <w:rPr>
              <w:b/>
              <w:color w:val="000000"/>
              <w:sz w:val="32"/>
            </w:rPr>
          </w:pPr>
          <w:r>
            <w:rPr>
              <w:b/>
              <w:color w:val="000000"/>
              <w:sz w:val="32"/>
            </w:rPr>
            <w:t>ЕН</w:t>
          </w:r>
        </w:p>
      </w:tc>
    </w:tr>
  </w:tbl>
  <w:p w14:paraId="776034A0" w14:textId="77777777" w:rsidR="00FE6FD5" w:rsidRDefault="00FE6FD5">
    <w:pPr>
      <w:rPr>
        <w:b/>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1ED5" w14:textId="77777777" w:rsidR="00FE6FD5" w:rsidRDefault="00FE6F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128"/>
      <w:gridCol w:w="1993"/>
      <w:gridCol w:w="4129"/>
    </w:tblGrid>
    <w:tr w:rsidR="00FE6FD5" w14:paraId="3AE47BD7" w14:textId="77777777">
      <w:trPr>
        <w:trHeight w:val="240"/>
      </w:trPr>
      <w:tc>
        <w:tcPr>
          <w:tcW w:w="0" w:type="dxa"/>
          <w:tcMar>
            <w:left w:w="100" w:type="dxa"/>
            <w:right w:w="100" w:type="dxa"/>
          </w:tcMar>
        </w:tcPr>
        <w:p w14:paraId="49FE702E" w14:textId="77777777" w:rsidR="00FE6FD5" w:rsidRDefault="00AD19A4">
          <w:pPr>
            <w:rPr>
              <w:b/>
              <w:color w:val="000000"/>
            </w:rPr>
          </w:pPr>
          <w:r>
            <w:rPr>
              <w:b/>
              <w:color w:val="000000"/>
              <w:sz w:val="32"/>
            </w:rPr>
            <w:t>ЕН</w:t>
          </w:r>
        </w:p>
      </w:tc>
      <w:tc>
        <w:tcPr>
          <w:tcW w:w="0" w:type="dxa"/>
          <w:tcMar>
            <w:left w:w="100" w:type="dxa"/>
            <w:right w:w="100" w:type="dxa"/>
          </w:tcMar>
        </w:tcPr>
        <w:p w14:paraId="41227E23"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11</w:t>
          </w:r>
          <w:r>
            <w:rPr>
              <w:b/>
              <w:color w:val="000000"/>
            </w:rPr>
            <w:fldChar w:fldCharType="end"/>
          </w:r>
        </w:p>
      </w:tc>
      <w:tc>
        <w:tcPr>
          <w:tcW w:w="0" w:type="dxa"/>
          <w:tcMar>
            <w:left w:w="100" w:type="dxa"/>
            <w:right w:w="100" w:type="dxa"/>
          </w:tcMar>
        </w:tcPr>
        <w:p w14:paraId="634DCDFE" w14:textId="77777777" w:rsidR="00FE6FD5" w:rsidRDefault="00AD19A4">
          <w:pPr>
            <w:jc w:val="right"/>
            <w:rPr>
              <w:b/>
              <w:color w:val="000000"/>
              <w:sz w:val="32"/>
            </w:rPr>
          </w:pPr>
          <w:r>
            <w:rPr>
              <w:b/>
              <w:color w:val="000000"/>
              <w:sz w:val="32"/>
            </w:rPr>
            <w:t>ЕН</w:t>
          </w:r>
        </w:p>
      </w:tc>
    </w:tr>
  </w:tbl>
  <w:p w14:paraId="6A6FB687" w14:textId="77777777" w:rsidR="00FE6FD5" w:rsidRDefault="00FE6FD5">
    <w:pPr>
      <w:rPr>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41FB" w14:textId="77777777" w:rsidR="00FE6FD5" w:rsidRDefault="00FE6FD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D03D" w14:textId="77777777" w:rsidR="00FE6FD5" w:rsidRDefault="00FE6FD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250"/>
      <w:gridCol w:w="1750"/>
      <w:gridCol w:w="4250"/>
    </w:tblGrid>
    <w:tr w:rsidR="00FE6FD5" w14:paraId="6DEAB7D2" w14:textId="77777777">
      <w:trPr>
        <w:trHeight w:val="160"/>
      </w:trPr>
      <w:tc>
        <w:tcPr>
          <w:tcW w:w="0" w:type="dxa"/>
          <w:tcMar>
            <w:top w:w="0" w:type="dxa"/>
            <w:left w:w="60" w:type="dxa"/>
            <w:bottom w:w="80" w:type="dxa"/>
            <w:right w:w="60" w:type="dxa"/>
          </w:tcMar>
        </w:tcPr>
        <w:p w14:paraId="57073F52" w14:textId="77777777" w:rsidR="00FE6FD5" w:rsidRDefault="00AD19A4">
          <w:pPr>
            <w:rPr>
              <w:b/>
              <w:color w:val="000000"/>
            </w:rPr>
          </w:pPr>
          <w:r>
            <w:rPr>
              <w:b/>
              <w:color w:val="000000"/>
              <w:sz w:val="32"/>
            </w:rPr>
            <w:t>ЕН</w:t>
          </w:r>
        </w:p>
      </w:tc>
      <w:tc>
        <w:tcPr>
          <w:tcW w:w="0" w:type="dxa"/>
          <w:tcMar>
            <w:top w:w="0" w:type="dxa"/>
            <w:left w:w="60" w:type="dxa"/>
            <w:bottom w:w="80" w:type="dxa"/>
            <w:right w:w="60" w:type="dxa"/>
          </w:tcMar>
        </w:tcPr>
        <w:p w14:paraId="4C1518C3" w14:textId="77777777" w:rsidR="00FE6FD5" w:rsidRDefault="00AD19A4">
          <w:pPr>
            <w:jc w:val="center"/>
            <w:rPr>
              <w:b/>
              <w:color w:val="000000"/>
              <w:sz w:val="32"/>
            </w:rPr>
          </w:pPr>
          <w:r>
            <w:rPr>
              <w:b/>
              <w:color w:val="000000"/>
            </w:rPr>
            <w:fldChar w:fldCharType="begin"/>
          </w:r>
          <w:r>
            <w:rPr>
              <w:b/>
              <w:color w:val="000000"/>
            </w:rPr>
            <w:instrText>PAGE</w:instrText>
          </w:r>
          <w:r>
            <w:rPr>
              <w:b/>
              <w:color w:val="000000"/>
            </w:rPr>
            <w:fldChar w:fldCharType="separate"/>
          </w:r>
          <w:r w:rsidR="00A1192D">
            <w:rPr>
              <w:b/>
              <w:color w:val="000000"/>
            </w:rPr>
            <w:t>17</w:t>
          </w:r>
          <w:r>
            <w:rPr>
              <w:b/>
              <w:color w:val="000000"/>
            </w:rPr>
            <w:fldChar w:fldCharType="end"/>
          </w:r>
        </w:p>
      </w:tc>
      <w:tc>
        <w:tcPr>
          <w:tcW w:w="0" w:type="dxa"/>
          <w:tcMar>
            <w:top w:w="0" w:type="dxa"/>
            <w:left w:w="60" w:type="dxa"/>
            <w:bottom w:w="80" w:type="dxa"/>
            <w:right w:w="60" w:type="dxa"/>
          </w:tcMar>
        </w:tcPr>
        <w:p w14:paraId="6063C0DD" w14:textId="77777777" w:rsidR="00FE6FD5" w:rsidRDefault="00AD19A4">
          <w:pPr>
            <w:jc w:val="right"/>
            <w:rPr>
              <w:b/>
              <w:color w:val="000000"/>
              <w:sz w:val="32"/>
            </w:rPr>
          </w:pPr>
          <w:r>
            <w:rPr>
              <w:b/>
              <w:color w:val="000000"/>
              <w:sz w:val="32"/>
            </w:rPr>
            <w:t>ЕН</w:t>
          </w:r>
        </w:p>
      </w:tc>
    </w:tr>
  </w:tbl>
  <w:p w14:paraId="609AF5D0" w14:textId="77777777" w:rsidR="00FE6FD5" w:rsidRDefault="00FE6FD5">
    <w:pPr>
      <w:rPr>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7F69" w14:textId="77777777" w:rsidR="00FE6FD5" w:rsidRDefault="00FE6F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BC60A" w14:textId="77777777" w:rsidR="000B2C9F" w:rsidRDefault="000B2C9F">
      <w:r>
        <w:separator/>
      </w:r>
    </w:p>
  </w:footnote>
  <w:footnote w:type="continuationSeparator" w:id="0">
    <w:p w14:paraId="0474E4EA" w14:textId="77777777" w:rsidR="000B2C9F" w:rsidRDefault="000B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F411" w14:textId="77777777" w:rsidR="00FE6FD5" w:rsidRDefault="00FE6FD5"/>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FA26" w14:textId="77777777" w:rsidR="00FE6FD5" w:rsidRDefault="00FE6FD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643E" w14:textId="77777777" w:rsidR="00FE6FD5" w:rsidRDefault="00FE6FD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3844" w14:textId="77777777" w:rsidR="00FE6FD5" w:rsidRDefault="00FE6FD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6607" w14:textId="77777777" w:rsidR="00FE6FD5" w:rsidRDefault="00FE6FD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9960" w14:textId="77777777" w:rsidR="00FE6FD5" w:rsidRDefault="00FE6FD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0A84" w14:textId="77777777" w:rsidR="00FE6FD5" w:rsidRDefault="00FE6FD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F939" w14:textId="77777777" w:rsidR="00FE6FD5" w:rsidRDefault="00FE6FD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D754" w14:textId="77777777" w:rsidR="00FE6FD5" w:rsidRDefault="00FE6FD5"/>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9DA9" w14:textId="77777777" w:rsidR="00FE6FD5" w:rsidRDefault="00FE6FD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6C0F" w14:textId="77777777" w:rsidR="00FE6FD5" w:rsidRDefault="00FE6F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08FD" w14:textId="77777777" w:rsidR="00FE6FD5" w:rsidRDefault="00FE6FD5"/>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5BD9" w14:textId="77777777" w:rsidR="00FE6FD5" w:rsidRDefault="00FE6FD5"/>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505E" w14:textId="77777777" w:rsidR="00FE6FD5" w:rsidRDefault="00FE6FD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9D00" w14:textId="77777777" w:rsidR="00FE6FD5" w:rsidRDefault="00FE6FD5"/>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7066" w14:textId="77777777" w:rsidR="00FE6FD5" w:rsidRDefault="00FE6FD5"/>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5677" w14:textId="77777777" w:rsidR="00FE6FD5" w:rsidRDefault="00FE6FD5"/>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932F" w14:textId="77777777" w:rsidR="00FE6FD5" w:rsidRDefault="00FE6FD5"/>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691F" w14:textId="77777777" w:rsidR="00FE6FD5" w:rsidRDefault="00FE6FD5"/>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6869" w14:textId="77777777" w:rsidR="00FE6FD5" w:rsidRDefault="00FE6FD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DDDD" w14:textId="77777777" w:rsidR="00FE6FD5" w:rsidRDefault="00FE6FD5"/>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438C" w14:textId="77777777" w:rsidR="00FE6FD5" w:rsidRDefault="00FE6F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7C15" w14:textId="77777777" w:rsidR="00FE6FD5" w:rsidRDefault="00FE6FD5"/>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E0D6" w14:textId="77777777" w:rsidR="00FE6FD5" w:rsidRDefault="00FE6FD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0597" w14:textId="77777777" w:rsidR="00FE6FD5" w:rsidRDefault="00FE6FD5"/>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D0F0" w14:textId="77777777" w:rsidR="00FE6FD5" w:rsidRDefault="00FE6FD5"/>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C95F" w14:textId="77777777" w:rsidR="00FE6FD5" w:rsidRDefault="00FE6FD5"/>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44F4" w14:textId="77777777" w:rsidR="00FE6FD5" w:rsidRDefault="00FE6FD5"/>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55E5" w14:textId="77777777" w:rsidR="00FE6FD5" w:rsidRDefault="00FE6FD5"/>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8C8B" w14:textId="77777777" w:rsidR="00FE6FD5" w:rsidRDefault="00FE6FD5"/>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AC4B" w14:textId="77777777" w:rsidR="00FE6FD5" w:rsidRDefault="00FE6FD5"/>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74F" w14:textId="77777777" w:rsidR="00FE6FD5" w:rsidRDefault="00FE6FD5"/>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F5D6" w14:textId="77777777" w:rsidR="00FE6FD5" w:rsidRDefault="00FE6F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A3A7" w14:textId="77777777" w:rsidR="00FE6FD5" w:rsidRDefault="00FE6FD5"/>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27AE" w14:textId="77777777" w:rsidR="00FE6FD5" w:rsidRDefault="00FE6FD5"/>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56F" w14:textId="77777777" w:rsidR="00FE6FD5" w:rsidRDefault="00FE6FD5"/>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93F0" w14:textId="77777777" w:rsidR="00FE6FD5" w:rsidRDefault="00FE6FD5"/>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5C12" w14:textId="77777777" w:rsidR="00FE6FD5" w:rsidRDefault="00FE6FD5"/>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951C" w14:textId="77777777" w:rsidR="00FE6FD5" w:rsidRDefault="00FE6FD5"/>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E9A0" w14:textId="77777777" w:rsidR="00FE6FD5" w:rsidRDefault="00FE6FD5"/>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BB3D" w14:textId="77777777" w:rsidR="00FE6FD5" w:rsidRDefault="00FE6FD5"/>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FA31" w14:textId="77777777" w:rsidR="00FE6FD5" w:rsidRDefault="00FE6FD5"/>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617" w14:textId="77777777" w:rsidR="00FE6FD5" w:rsidRDefault="00FE6F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5F5D" w14:textId="77777777" w:rsidR="00FE6FD5" w:rsidRDefault="00FE6FD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3615" w14:textId="77777777" w:rsidR="00FE6FD5" w:rsidRDefault="00FE6F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2A69" w14:textId="77777777" w:rsidR="00FE6FD5" w:rsidRDefault="00FE6FD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86B9" w14:textId="77777777" w:rsidR="00FE6FD5" w:rsidRDefault="00FE6FD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5329" w14:textId="77777777" w:rsidR="00FE6FD5" w:rsidRDefault="00FE6F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3CFAB67A">
      <w:start w:val="1"/>
      <w:numFmt w:val="bullet"/>
      <w:lvlText w:val=""/>
      <w:lvlJc w:val="left"/>
      <w:pPr>
        <w:ind w:left="720" w:hanging="360"/>
      </w:pPr>
      <w:rPr>
        <w:rFonts w:ascii="Symbol" w:hAnsi="Symbol"/>
      </w:rPr>
    </w:lvl>
    <w:lvl w:ilvl="1" w:tplc="FCC85096">
      <w:start w:val="1"/>
      <w:numFmt w:val="bullet"/>
      <w:lvlText w:val="o"/>
      <w:lvlJc w:val="left"/>
      <w:pPr>
        <w:tabs>
          <w:tab w:val="num" w:pos="1440"/>
        </w:tabs>
        <w:ind w:left="1440" w:hanging="360"/>
      </w:pPr>
      <w:rPr>
        <w:rFonts w:ascii="Courier New" w:hAnsi="Courier New"/>
      </w:rPr>
    </w:lvl>
    <w:lvl w:ilvl="2" w:tplc="EC041B3A">
      <w:start w:val="1"/>
      <w:numFmt w:val="bullet"/>
      <w:lvlText w:val=""/>
      <w:lvlJc w:val="left"/>
      <w:pPr>
        <w:tabs>
          <w:tab w:val="num" w:pos="2160"/>
        </w:tabs>
        <w:ind w:left="2160" w:hanging="360"/>
      </w:pPr>
      <w:rPr>
        <w:rFonts w:ascii="Wingdings" w:hAnsi="Wingdings"/>
      </w:rPr>
    </w:lvl>
    <w:lvl w:ilvl="3" w:tplc="F374436E">
      <w:start w:val="1"/>
      <w:numFmt w:val="bullet"/>
      <w:lvlText w:val=""/>
      <w:lvlJc w:val="left"/>
      <w:pPr>
        <w:tabs>
          <w:tab w:val="num" w:pos="2880"/>
        </w:tabs>
        <w:ind w:left="2880" w:hanging="360"/>
      </w:pPr>
      <w:rPr>
        <w:rFonts w:ascii="Symbol" w:hAnsi="Symbol"/>
      </w:rPr>
    </w:lvl>
    <w:lvl w:ilvl="4" w:tplc="3B1053C4">
      <w:start w:val="1"/>
      <w:numFmt w:val="bullet"/>
      <w:lvlText w:val="o"/>
      <w:lvlJc w:val="left"/>
      <w:pPr>
        <w:tabs>
          <w:tab w:val="num" w:pos="3600"/>
        </w:tabs>
        <w:ind w:left="3600" w:hanging="360"/>
      </w:pPr>
      <w:rPr>
        <w:rFonts w:ascii="Courier New" w:hAnsi="Courier New"/>
      </w:rPr>
    </w:lvl>
    <w:lvl w:ilvl="5" w:tplc="10FE5D72">
      <w:start w:val="1"/>
      <w:numFmt w:val="bullet"/>
      <w:lvlText w:val=""/>
      <w:lvlJc w:val="left"/>
      <w:pPr>
        <w:tabs>
          <w:tab w:val="num" w:pos="4320"/>
        </w:tabs>
        <w:ind w:left="4320" w:hanging="360"/>
      </w:pPr>
      <w:rPr>
        <w:rFonts w:ascii="Wingdings" w:hAnsi="Wingdings"/>
      </w:rPr>
    </w:lvl>
    <w:lvl w:ilvl="6" w:tplc="38F2E82C">
      <w:start w:val="1"/>
      <w:numFmt w:val="bullet"/>
      <w:lvlText w:val=""/>
      <w:lvlJc w:val="left"/>
      <w:pPr>
        <w:tabs>
          <w:tab w:val="num" w:pos="5040"/>
        </w:tabs>
        <w:ind w:left="5040" w:hanging="360"/>
      </w:pPr>
      <w:rPr>
        <w:rFonts w:ascii="Symbol" w:hAnsi="Symbol"/>
      </w:rPr>
    </w:lvl>
    <w:lvl w:ilvl="7" w:tplc="A008E5FA">
      <w:start w:val="1"/>
      <w:numFmt w:val="bullet"/>
      <w:lvlText w:val="o"/>
      <w:lvlJc w:val="left"/>
      <w:pPr>
        <w:tabs>
          <w:tab w:val="num" w:pos="5760"/>
        </w:tabs>
        <w:ind w:left="5760" w:hanging="360"/>
      </w:pPr>
      <w:rPr>
        <w:rFonts w:ascii="Courier New" w:hAnsi="Courier New"/>
      </w:rPr>
    </w:lvl>
    <w:lvl w:ilvl="8" w:tplc="4734243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424C38E">
      <w:start w:val="1"/>
      <w:numFmt w:val="bullet"/>
      <w:lvlText w:val=""/>
      <w:lvlJc w:val="left"/>
      <w:pPr>
        <w:ind w:left="720" w:hanging="360"/>
      </w:pPr>
      <w:rPr>
        <w:rFonts w:ascii="Symbol" w:hAnsi="Symbol"/>
      </w:rPr>
    </w:lvl>
    <w:lvl w:ilvl="1" w:tplc="B6BA73B6">
      <w:start w:val="1"/>
      <w:numFmt w:val="bullet"/>
      <w:lvlText w:val="o"/>
      <w:lvlJc w:val="left"/>
      <w:pPr>
        <w:tabs>
          <w:tab w:val="num" w:pos="1440"/>
        </w:tabs>
        <w:ind w:left="1440" w:hanging="360"/>
      </w:pPr>
      <w:rPr>
        <w:rFonts w:ascii="Courier New" w:hAnsi="Courier New"/>
      </w:rPr>
    </w:lvl>
    <w:lvl w:ilvl="2" w:tplc="7F36995A">
      <w:start w:val="1"/>
      <w:numFmt w:val="bullet"/>
      <w:lvlText w:val=""/>
      <w:lvlJc w:val="left"/>
      <w:pPr>
        <w:tabs>
          <w:tab w:val="num" w:pos="2160"/>
        </w:tabs>
        <w:ind w:left="2160" w:hanging="360"/>
      </w:pPr>
      <w:rPr>
        <w:rFonts w:ascii="Wingdings" w:hAnsi="Wingdings"/>
      </w:rPr>
    </w:lvl>
    <w:lvl w:ilvl="3" w:tplc="7A1A9A00">
      <w:start w:val="1"/>
      <w:numFmt w:val="bullet"/>
      <w:lvlText w:val=""/>
      <w:lvlJc w:val="left"/>
      <w:pPr>
        <w:tabs>
          <w:tab w:val="num" w:pos="2880"/>
        </w:tabs>
        <w:ind w:left="2880" w:hanging="360"/>
      </w:pPr>
      <w:rPr>
        <w:rFonts w:ascii="Symbol" w:hAnsi="Symbol"/>
      </w:rPr>
    </w:lvl>
    <w:lvl w:ilvl="4" w:tplc="9F503110">
      <w:start w:val="1"/>
      <w:numFmt w:val="bullet"/>
      <w:lvlText w:val="o"/>
      <w:lvlJc w:val="left"/>
      <w:pPr>
        <w:tabs>
          <w:tab w:val="num" w:pos="3600"/>
        </w:tabs>
        <w:ind w:left="3600" w:hanging="360"/>
      </w:pPr>
      <w:rPr>
        <w:rFonts w:ascii="Courier New" w:hAnsi="Courier New"/>
      </w:rPr>
    </w:lvl>
    <w:lvl w:ilvl="5" w:tplc="9EA45FAA">
      <w:start w:val="1"/>
      <w:numFmt w:val="bullet"/>
      <w:lvlText w:val=""/>
      <w:lvlJc w:val="left"/>
      <w:pPr>
        <w:tabs>
          <w:tab w:val="num" w:pos="4320"/>
        </w:tabs>
        <w:ind w:left="4320" w:hanging="360"/>
      </w:pPr>
      <w:rPr>
        <w:rFonts w:ascii="Wingdings" w:hAnsi="Wingdings"/>
      </w:rPr>
    </w:lvl>
    <w:lvl w:ilvl="6" w:tplc="7EB2FCA8">
      <w:start w:val="1"/>
      <w:numFmt w:val="bullet"/>
      <w:lvlText w:val=""/>
      <w:lvlJc w:val="left"/>
      <w:pPr>
        <w:tabs>
          <w:tab w:val="num" w:pos="5040"/>
        </w:tabs>
        <w:ind w:left="5040" w:hanging="360"/>
      </w:pPr>
      <w:rPr>
        <w:rFonts w:ascii="Symbol" w:hAnsi="Symbol"/>
      </w:rPr>
    </w:lvl>
    <w:lvl w:ilvl="7" w:tplc="57C8F1B8">
      <w:start w:val="1"/>
      <w:numFmt w:val="bullet"/>
      <w:lvlText w:val="o"/>
      <w:lvlJc w:val="left"/>
      <w:pPr>
        <w:tabs>
          <w:tab w:val="num" w:pos="5760"/>
        </w:tabs>
        <w:ind w:left="5760" w:hanging="360"/>
      </w:pPr>
      <w:rPr>
        <w:rFonts w:ascii="Courier New" w:hAnsi="Courier New"/>
      </w:rPr>
    </w:lvl>
    <w:lvl w:ilvl="8" w:tplc="D3281B5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326AF4E">
      <w:start w:val="1"/>
      <w:numFmt w:val="bullet"/>
      <w:lvlText w:val=""/>
      <w:lvlJc w:val="left"/>
      <w:pPr>
        <w:ind w:left="720" w:hanging="360"/>
      </w:pPr>
      <w:rPr>
        <w:rFonts w:ascii="Symbol" w:hAnsi="Symbol"/>
      </w:rPr>
    </w:lvl>
    <w:lvl w:ilvl="1" w:tplc="E5188BF6">
      <w:start w:val="1"/>
      <w:numFmt w:val="bullet"/>
      <w:lvlText w:val="o"/>
      <w:lvlJc w:val="left"/>
      <w:pPr>
        <w:tabs>
          <w:tab w:val="num" w:pos="1440"/>
        </w:tabs>
        <w:ind w:left="1440" w:hanging="360"/>
      </w:pPr>
      <w:rPr>
        <w:rFonts w:ascii="Courier New" w:hAnsi="Courier New"/>
      </w:rPr>
    </w:lvl>
    <w:lvl w:ilvl="2" w:tplc="FB8CDA58">
      <w:start w:val="1"/>
      <w:numFmt w:val="bullet"/>
      <w:lvlText w:val=""/>
      <w:lvlJc w:val="left"/>
      <w:pPr>
        <w:tabs>
          <w:tab w:val="num" w:pos="2160"/>
        </w:tabs>
        <w:ind w:left="2160" w:hanging="360"/>
      </w:pPr>
      <w:rPr>
        <w:rFonts w:ascii="Wingdings" w:hAnsi="Wingdings"/>
      </w:rPr>
    </w:lvl>
    <w:lvl w:ilvl="3" w:tplc="E2B02A38">
      <w:start w:val="1"/>
      <w:numFmt w:val="bullet"/>
      <w:lvlText w:val=""/>
      <w:lvlJc w:val="left"/>
      <w:pPr>
        <w:tabs>
          <w:tab w:val="num" w:pos="2880"/>
        </w:tabs>
        <w:ind w:left="2880" w:hanging="360"/>
      </w:pPr>
      <w:rPr>
        <w:rFonts w:ascii="Symbol" w:hAnsi="Symbol"/>
      </w:rPr>
    </w:lvl>
    <w:lvl w:ilvl="4" w:tplc="F9DAAB82">
      <w:start w:val="1"/>
      <w:numFmt w:val="bullet"/>
      <w:lvlText w:val="o"/>
      <w:lvlJc w:val="left"/>
      <w:pPr>
        <w:tabs>
          <w:tab w:val="num" w:pos="3600"/>
        </w:tabs>
        <w:ind w:left="3600" w:hanging="360"/>
      </w:pPr>
      <w:rPr>
        <w:rFonts w:ascii="Courier New" w:hAnsi="Courier New"/>
      </w:rPr>
    </w:lvl>
    <w:lvl w:ilvl="5" w:tplc="4734FC92">
      <w:start w:val="1"/>
      <w:numFmt w:val="bullet"/>
      <w:lvlText w:val=""/>
      <w:lvlJc w:val="left"/>
      <w:pPr>
        <w:tabs>
          <w:tab w:val="num" w:pos="4320"/>
        </w:tabs>
        <w:ind w:left="4320" w:hanging="360"/>
      </w:pPr>
      <w:rPr>
        <w:rFonts w:ascii="Wingdings" w:hAnsi="Wingdings"/>
      </w:rPr>
    </w:lvl>
    <w:lvl w:ilvl="6" w:tplc="2B54B35E">
      <w:start w:val="1"/>
      <w:numFmt w:val="bullet"/>
      <w:lvlText w:val=""/>
      <w:lvlJc w:val="left"/>
      <w:pPr>
        <w:tabs>
          <w:tab w:val="num" w:pos="5040"/>
        </w:tabs>
        <w:ind w:left="5040" w:hanging="360"/>
      </w:pPr>
      <w:rPr>
        <w:rFonts w:ascii="Symbol" w:hAnsi="Symbol"/>
      </w:rPr>
    </w:lvl>
    <w:lvl w:ilvl="7" w:tplc="AF34F422">
      <w:start w:val="1"/>
      <w:numFmt w:val="bullet"/>
      <w:lvlText w:val="o"/>
      <w:lvlJc w:val="left"/>
      <w:pPr>
        <w:tabs>
          <w:tab w:val="num" w:pos="5760"/>
        </w:tabs>
        <w:ind w:left="5760" w:hanging="360"/>
      </w:pPr>
      <w:rPr>
        <w:rFonts w:ascii="Courier New" w:hAnsi="Courier New"/>
      </w:rPr>
    </w:lvl>
    <w:lvl w:ilvl="8" w:tplc="5ACCD3C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C8E90D4">
      <w:start w:val="1"/>
      <w:numFmt w:val="bullet"/>
      <w:lvlText w:val=""/>
      <w:lvlJc w:val="left"/>
      <w:pPr>
        <w:ind w:left="720" w:hanging="360"/>
      </w:pPr>
      <w:rPr>
        <w:rFonts w:ascii="Symbol" w:hAnsi="Symbol"/>
      </w:rPr>
    </w:lvl>
    <w:lvl w:ilvl="1" w:tplc="AA143F58">
      <w:start w:val="1"/>
      <w:numFmt w:val="bullet"/>
      <w:lvlText w:val="o"/>
      <w:lvlJc w:val="left"/>
      <w:pPr>
        <w:tabs>
          <w:tab w:val="num" w:pos="1440"/>
        </w:tabs>
        <w:ind w:left="1440" w:hanging="360"/>
      </w:pPr>
      <w:rPr>
        <w:rFonts w:ascii="Courier New" w:hAnsi="Courier New"/>
      </w:rPr>
    </w:lvl>
    <w:lvl w:ilvl="2" w:tplc="975C4488">
      <w:start w:val="1"/>
      <w:numFmt w:val="bullet"/>
      <w:lvlText w:val=""/>
      <w:lvlJc w:val="left"/>
      <w:pPr>
        <w:tabs>
          <w:tab w:val="num" w:pos="2160"/>
        </w:tabs>
        <w:ind w:left="2160" w:hanging="360"/>
      </w:pPr>
      <w:rPr>
        <w:rFonts w:ascii="Wingdings" w:hAnsi="Wingdings"/>
      </w:rPr>
    </w:lvl>
    <w:lvl w:ilvl="3" w:tplc="60EA71F8">
      <w:start w:val="1"/>
      <w:numFmt w:val="bullet"/>
      <w:lvlText w:val=""/>
      <w:lvlJc w:val="left"/>
      <w:pPr>
        <w:tabs>
          <w:tab w:val="num" w:pos="2880"/>
        </w:tabs>
        <w:ind w:left="2880" w:hanging="360"/>
      </w:pPr>
      <w:rPr>
        <w:rFonts w:ascii="Symbol" w:hAnsi="Symbol"/>
      </w:rPr>
    </w:lvl>
    <w:lvl w:ilvl="4" w:tplc="A3047CB0">
      <w:start w:val="1"/>
      <w:numFmt w:val="bullet"/>
      <w:lvlText w:val="o"/>
      <w:lvlJc w:val="left"/>
      <w:pPr>
        <w:tabs>
          <w:tab w:val="num" w:pos="3600"/>
        </w:tabs>
        <w:ind w:left="3600" w:hanging="360"/>
      </w:pPr>
      <w:rPr>
        <w:rFonts w:ascii="Courier New" w:hAnsi="Courier New"/>
      </w:rPr>
    </w:lvl>
    <w:lvl w:ilvl="5" w:tplc="07943618">
      <w:start w:val="1"/>
      <w:numFmt w:val="bullet"/>
      <w:lvlText w:val=""/>
      <w:lvlJc w:val="left"/>
      <w:pPr>
        <w:tabs>
          <w:tab w:val="num" w:pos="4320"/>
        </w:tabs>
        <w:ind w:left="4320" w:hanging="360"/>
      </w:pPr>
      <w:rPr>
        <w:rFonts w:ascii="Wingdings" w:hAnsi="Wingdings"/>
      </w:rPr>
    </w:lvl>
    <w:lvl w:ilvl="6" w:tplc="A64EAAFC">
      <w:start w:val="1"/>
      <w:numFmt w:val="bullet"/>
      <w:lvlText w:val=""/>
      <w:lvlJc w:val="left"/>
      <w:pPr>
        <w:tabs>
          <w:tab w:val="num" w:pos="5040"/>
        </w:tabs>
        <w:ind w:left="5040" w:hanging="360"/>
      </w:pPr>
      <w:rPr>
        <w:rFonts w:ascii="Symbol" w:hAnsi="Symbol"/>
      </w:rPr>
    </w:lvl>
    <w:lvl w:ilvl="7" w:tplc="211A61A0">
      <w:start w:val="1"/>
      <w:numFmt w:val="bullet"/>
      <w:lvlText w:val="o"/>
      <w:lvlJc w:val="left"/>
      <w:pPr>
        <w:tabs>
          <w:tab w:val="num" w:pos="5760"/>
        </w:tabs>
        <w:ind w:left="5760" w:hanging="360"/>
      </w:pPr>
      <w:rPr>
        <w:rFonts w:ascii="Courier New" w:hAnsi="Courier New"/>
      </w:rPr>
    </w:lvl>
    <w:lvl w:ilvl="8" w:tplc="C8CCCDA0">
      <w:start w:val="1"/>
      <w:numFmt w:val="bullet"/>
      <w:lvlText w:val=""/>
      <w:lvlJc w:val="left"/>
      <w:pPr>
        <w:tabs>
          <w:tab w:val="num" w:pos="6480"/>
        </w:tabs>
        <w:ind w:left="6480" w:hanging="360"/>
      </w:pPr>
      <w:rPr>
        <w:rFonts w:ascii="Wingdings" w:hAnsi="Wingdings"/>
      </w:rPr>
    </w:lvl>
  </w:abstractNum>
  <w:num w:numId="1" w16cid:durableId="39212730">
    <w:abstractNumId w:val="0"/>
  </w:num>
  <w:num w:numId="2" w16cid:durableId="615672257">
    <w:abstractNumId w:val="1"/>
  </w:num>
  <w:num w:numId="3" w16cid:durableId="522137506">
    <w:abstractNumId w:val="2"/>
  </w:num>
  <w:num w:numId="4" w16cid:durableId="1975866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B2C9F"/>
    <w:rsid w:val="000D7D98"/>
    <w:rsid w:val="00174814"/>
    <w:rsid w:val="00183280"/>
    <w:rsid w:val="002F3560"/>
    <w:rsid w:val="0038682D"/>
    <w:rsid w:val="004B3C80"/>
    <w:rsid w:val="00816041"/>
    <w:rsid w:val="008916F5"/>
    <w:rsid w:val="00A1192D"/>
    <w:rsid w:val="00A77B3E"/>
    <w:rsid w:val="00A87FD9"/>
    <w:rsid w:val="00AD19A4"/>
    <w:rsid w:val="00B03BE7"/>
    <w:rsid w:val="00C80703"/>
    <w:rsid w:val="00CA2A55"/>
    <w:rsid w:val="00E02D57"/>
    <w:rsid w:val="00FE6F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B8E0"/>
  <w15:docId w15:val="{6AE8C3BD-4443-4F02-AC57-9AB09584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b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 w:type="paragraph" w:styleId="TOC4">
    <w:name w:val="toc 4"/>
    <w:basedOn w:val="Normal"/>
    <w:next w:val="Normal"/>
    <w:autoRedefine/>
    <w:rsid w:val="00805B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5" Type="http://schemas.openxmlformats.org/officeDocument/2006/relationships/webSettings" Target="webSetting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E75E-A30B-455D-AB38-93D0BE0F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18432</Words>
  <Characters>116266</Characters>
  <Application>Microsoft Office Word</Application>
  <DocSecurity>0</DocSecurity>
  <Lines>968</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Любомирова Карагьозова</dc:creator>
  <cp:lastModifiedBy>Галина Смелова</cp:lastModifiedBy>
  <cp:revision>2</cp:revision>
  <dcterms:created xsi:type="dcterms:W3CDTF">2025-10-22T12:48:00Z</dcterms:created>
  <dcterms:modified xsi:type="dcterms:W3CDTF">2025-10-22T12:48:00Z</dcterms:modified>
</cp:coreProperties>
</file>