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3.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6.xml" ContentType="application/vnd.openxmlformats-officedocument.wordprocessingml.header+xml"/>
  <Override PartName="/word/footer37.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39.xml" ContentType="application/vnd.openxmlformats-officedocument.wordprocessingml.header+xml"/>
  <Override PartName="/word/footer40.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2.xml" ContentType="application/vnd.openxmlformats-officedocument.wordprocessingml.header+xml"/>
  <Override PartName="/word/footer43.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45.xml" ContentType="application/vnd.openxmlformats-officedocument.wordprocessingml.header+xml"/>
  <Override PartName="/word/footer46.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48.xml" ContentType="application/vnd.openxmlformats-officedocument.wordprocessingml.header+xml"/>
  <Override PartName="/word/footer49.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51.xml" ContentType="application/vnd.openxmlformats-officedocument.wordprocessingml.header+xml"/>
  <Override PartName="/word/footer52.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header54.xml" ContentType="application/vnd.openxmlformats-officedocument.wordprocessingml.header+xml"/>
  <Override PartName="/word/footer55.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header57.xml" ContentType="application/vnd.openxmlformats-officedocument.wordprocessingml.header+xml"/>
  <Override PartName="/word/footer5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2202E" w14:textId="77777777" w:rsidR="00A77B3E" w:rsidRDefault="00A77B3E"/>
    <w:p w14:paraId="26C9369D" w14:textId="77777777" w:rsidR="00A77B3E" w:rsidRPr="00EE0A2B" w:rsidRDefault="00EE0A2B">
      <w:pPr>
        <w:jc w:val="center"/>
        <w:rPr>
          <w:color w:val="000000"/>
          <w:sz w:val="32"/>
          <w:lang w:val="bg-BG"/>
        </w:rPr>
      </w:pPr>
      <w:r>
        <w:rPr>
          <w:color w:val="000000"/>
          <w:sz w:val="32"/>
        </w:rPr>
        <w:t xml:space="preserve">Програма SFC2021 за </w:t>
      </w:r>
      <w:r>
        <w:rPr>
          <w:color w:val="000000"/>
          <w:sz w:val="32"/>
          <w:lang w:val="bg-BG"/>
        </w:rPr>
        <w:t>ФУМИ, ФВС и ИУГВП</w:t>
      </w:r>
    </w:p>
    <w:p w14:paraId="1040FDD4" w14:textId="77777777" w:rsidR="00A77B3E" w:rsidRDefault="00A77B3E">
      <w:pPr>
        <w:jc w:val="center"/>
        <w:rPr>
          <w:color w:val="000000"/>
          <w:sz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0"/>
        <w:gridCol w:w="5120"/>
      </w:tblGrid>
      <w:tr w:rsidR="00723994" w14:paraId="5304D323" w14:textId="77777777">
        <w:trPr>
          <w:trHeight w:val="240"/>
        </w:trPr>
        <w:tc>
          <w:tcPr>
            <w:tcW w:w="1650" w:type="pct"/>
            <w:tcMar>
              <w:left w:w="100" w:type="dxa"/>
              <w:right w:w="100" w:type="dxa"/>
            </w:tcMar>
          </w:tcPr>
          <w:p w14:paraId="28566ADC" w14:textId="77777777" w:rsidR="00A77B3E" w:rsidRDefault="00EE0A2B">
            <w:pPr>
              <w:rPr>
                <w:color w:val="000000"/>
              </w:rPr>
            </w:pPr>
            <w:r>
              <w:rPr>
                <w:color w:val="000000"/>
              </w:rPr>
              <w:t>CCI номер</w:t>
            </w:r>
          </w:p>
        </w:tc>
        <w:tc>
          <w:tcPr>
            <w:tcW w:w="1650" w:type="pct"/>
            <w:tcMar>
              <w:left w:w="100" w:type="dxa"/>
              <w:right w:w="100" w:type="dxa"/>
            </w:tcMar>
          </w:tcPr>
          <w:p w14:paraId="164E4048" w14:textId="77777777" w:rsidR="00A77B3E" w:rsidRDefault="00EE0A2B">
            <w:pPr>
              <w:rPr>
                <w:color w:val="000000"/>
              </w:rPr>
            </w:pPr>
            <w:r>
              <w:rPr>
                <w:color w:val="000000"/>
              </w:rPr>
              <w:t>2021BG65AMPR001</w:t>
            </w:r>
          </w:p>
        </w:tc>
      </w:tr>
      <w:tr w:rsidR="00723994" w14:paraId="407F69F5" w14:textId="77777777">
        <w:trPr>
          <w:trHeight w:val="240"/>
        </w:trPr>
        <w:tc>
          <w:tcPr>
            <w:tcW w:w="1650" w:type="pct"/>
            <w:tcMar>
              <w:left w:w="100" w:type="dxa"/>
              <w:right w:w="100" w:type="dxa"/>
            </w:tcMar>
          </w:tcPr>
          <w:p w14:paraId="7B24BC67" w14:textId="77777777" w:rsidR="00A77B3E" w:rsidRDefault="00EE0A2B">
            <w:pPr>
              <w:rPr>
                <w:color w:val="000000"/>
              </w:rPr>
            </w:pPr>
            <w:r>
              <w:rPr>
                <w:color w:val="000000"/>
              </w:rPr>
              <w:t>Заглавие на английски</w:t>
            </w:r>
          </w:p>
        </w:tc>
        <w:tc>
          <w:tcPr>
            <w:tcW w:w="1650" w:type="pct"/>
            <w:tcMar>
              <w:left w:w="100" w:type="dxa"/>
              <w:right w:w="100" w:type="dxa"/>
            </w:tcMar>
          </w:tcPr>
          <w:p w14:paraId="4B5CC1B0" w14:textId="77777777" w:rsidR="00A77B3E" w:rsidRDefault="00EE0A2B" w:rsidP="00EE0A2B">
            <w:pPr>
              <w:rPr>
                <w:color w:val="000000"/>
              </w:rPr>
            </w:pPr>
            <w:r>
              <w:rPr>
                <w:color w:val="000000"/>
              </w:rPr>
              <w:t>Програма България - Ф</w:t>
            </w:r>
            <w:r>
              <w:rPr>
                <w:color w:val="000000"/>
                <w:lang w:val="bg-BG"/>
              </w:rPr>
              <w:t>У</w:t>
            </w:r>
            <w:r>
              <w:rPr>
                <w:color w:val="000000"/>
              </w:rPr>
              <w:t>МИ</w:t>
            </w:r>
          </w:p>
        </w:tc>
      </w:tr>
      <w:tr w:rsidR="00723994" w14:paraId="3ACA9978" w14:textId="77777777">
        <w:trPr>
          <w:trHeight w:val="240"/>
        </w:trPr>
        <w:tc>
          <w:tcPr>
            <w:tcW w:w="1650" w:type="pct"/>
            <w:tcMar>
              <w:left w:w="100" w:type="dxa"/>
              <w:right w:w="100" w:type="dxa"/>
            </w:tcMar>
          </w:tcPr>
          <w:p w14:paraId="7310C0DB" w14:textId="77777777" w:rsidR="00A77B3E" w:rsidRDefault="00EE0A2B">
            <w:pPr>
              <w:rPr>
                <w:color w:val="000000"/>
              </w:rPr>
            </w:pPr>
            <w:r>
              <w:rPr>
                <w:color w:val="000000"/>
              </w:rPr>
              <w:t>Заглавие на национален(и) език(ци)</w:t>
            </w:r>
          </w:p>
        </w:tc>
        <w:tc>
          <w:tcPr>
            <w:tcW w:w="1650" w:type="pct"/>
            <w:tcMar>
              <w:left w:w="100" w:type="dxa"/>
              <w:right w:w="100" w:type="dxa"/>
            </w:tcMar>
          </w:tcPr>
          <w:p w14:paraId="64C37E21" w14:textId="77777777" w:rsidR="00A77B3E" w:rsidRDefault="00EE0A2B">
            <w:pPr>
              <w:rPr>
                <w:color w:val="000000"/>
              </w:rPr>
            </w:pPr>
            <w:r>
              <w:rPr>
                <w:color w:val="000000"/>
              </w:rPr>
              <w:t>BG - Програма България - ФУМИ</w:t>
            </w:r>
          </w:p>
        </w:tc>
      </w:tr>
      <w:tr w:rsidR="00723994" w14:paraId="3033A96D" w14:textId="77777777">
        <w:trPr>
          <w:trHeight w:val="240"/>
        </w:trPr>
        <w:tc>
          <w:tcPr>
            <w:tcW w:w="1650" w:type="pct"/>
            <w:tcMar>
              <w:left w:w="100" w:type="dxa"/>
              <w:right w:w="100" w:type="dxa"/>
            </w:tcMar>
          </w:tcPr>
          <w:p w14:paraId="096E7680" w14:textId="77777777" w:rsidR="00A77B3E" w:rsidRDefault="00EE0A2B">
            <w:pPr>
              <w:rPr>
                <w:color w:val="000000"/>
              </w:rPr>
            </w:pPr>
            <w:r>
              <w:rPr>
                <w:color w:val="000000"/>
              </w:rPr>
              <w:t>Версия</w:t>
            </w:r>
          </w:p>
        </w:tc>
        <w:tc>
          <w:tcPr>
            <w:tcW w:w="1650" w:type="pct"/>
            <w:tcMar>
              <w:left w:w="100" w:type="dxa"/>
              <w:right w:w="100" w:type="dxa"/>
            </w:tcMar>
          </w:tcPr>
          <w:p w14:paraId="6DC4C12C" w14:textId="77777777" w:rsidR="00A77B3E" w:rsidRDefault="00EE0A2B">
            <w:pPr>
              <w:rPr>
                <w:color w:val="000000"/>
              </w:rPr>
            </w:pPr>
            <w:r>
              <w:rPr>
                <w:color w:val="000000"/>
              </w:rPr>
              <w:t>6.1</w:t>
            </w:r>
          </w:p>
        </w:tc>
      </w:tr>
      <w:tr w:rsidR="00723994" w14:paraId="1A0CE97D" w14:textId="77777777">
        <w:trPr>
          <w:trHeight w:val="240"/>
        </w:trPr>
        <w:tc>
          <w:tcPr>
            <w:tcW w:w="1650" w:type="pct"/>
            <w:tcMar>
              <w:left w:w="100" w:type="dxa"/>
              <w:right w:w="100" w:type="dxa"/>
            </w:tcMar>
          </w:tcPr>
          <w:p w14:paraId="48F77890" w14:textId="77777777" w:rsidR="00A77B3E" w:rsidRDefault="00EE0A2B">
            <w:pPr>
              <w:rPr>
                <w:color w:val="000000"/>
              </w:rPr>
            </w:pPr>
            <w:r>
              <w:rPr>
                <w:color w:val="000000"/>
              </w:rPr>
              <w:t>Първа година</w:t>
            </w:r>
          </w:p>
        </w:tc>
        <w:tc>
          <w:tcPr>
            <w:tcW w:w="1650" w:type="pct"/>
            <w:tcMar>
              <w:left w:w="100" w:type="dxa"/>
              <w:right w:w="100" w:type="dxa"/>
            </w:tcMar>
          </w:tcPr>
          <w:p w14:paraId="58D90E78" w14:textId="77777777" w:rsidR="00A77B3E" w:rsidRDefault="00EE0A2B">
            <w:pPr>
              <w:rPr>
                <w:color w:val="000000"/>
              </w:rPr>
            </w:pPr>
            <w:r>
              <w:rPr>
                <w:color w:val="000000"/>
              </w:rPr>
              <w:t>2021 г.</w:t>
            </w:r>
          </w:p>
        </w:tc>
      </w:tr>
      <w:tr w:rsidR="00723994" w14:paraId="5B196792" w14:textId="77777777">
        <w:trPr>
          <w:trHeight w:val="240"/>
        </w:trPr>
        <w:tc>
          <w:tcPr>
            <w:tcW w:w="1650" w:type="pct"/>
            <w:tcMar>
              <w:left w:w="100" w:type="dxa"/>
              <w:right w:w="100" w:type="dxa"/>
            </w:tcMar>
          </w:tcPr>
          <w:p w14:paraId="7C66165B" w14:textId="77777777" w:rsidR="00A77B3E" w:rsidRDefault="00EE0A2B">
            <w:pPr>
              <w:rPr>
                <w:color w:val="000000"/>
              </w:rPr>
            </w:pPr>
            <w:r>
              <w:rPr>
                <w:color w:val="000000"/>
              </w:rPr>
              <w:t>Миналата година</w:t>
            </w:r>
          </w:p>
        </w:tc>
        <w:tc>
          <w:tcPr>
            <w:tcW w:w="1650" w:type="pct"/>
            <w:tcMar>
              <w:left w:w="100" w:type="dxa"/>
              <w:right w:w="100" w:type="dxa"/>
            </w:tcMar>
          </w:tcPr>
          <w:p w14:paraId="737498DE" w14:textId="77777777" w:rsidR="00A77B3E" w:rsidRDefault="00EE0A2B">
            <w:pPr>
              <w:rPr>
                <w:color w:val="000000"/>
              </w:rPr>
            </w:pPr>
            <w:r>
              <w:rPr>
                <w:color w:val="000000"/>
              </w:rPr>
              <w:t>2027 г.</w:t>
            </w:r>
          </w:p>
        </w:tc>
      </w:tr>
      <w:tr w:rsidR="00723994" w14:paraId="6C826C4F" w14:textId="77777777">
        <w:trPr>
          <w:trHeight w:val="240"/>
        </w:trPr>
        <w:tc>
          <w:tcPr>
            <w:tcW w:w="1650" w:type="pct"/>
            <w:tcMar>
              <w:left w:w="100" w:type="dxa"/>
              <w:right w:w="100" w:type="dxa"/>
            </w:tcMar>
          </w:tcPr>
          <w:p w14:paraId="78A72DAB" w14:textId="77777777" w:rsidR="00A77B3E" w:rsidRDefault="00EE0A2B">
            <w:pPr>
              <w:rPr>
                <w:color w:val="000000"/>
              </w:rPr>
            </w:pPr>
            <w:r>
              <w:rPr>
                <w:color w:val="000000"/>
              </w:rPr>
              <w:t>Допустими от</w:t>
            </w:r>
          </w:p>
        </w:tc>
        <w:tc>
          <w:tcPr>
            <w:tcW w:w="1650" w:type="pct"/>
            <w:tcMar>
              <w:left w:w="100" w:type="dxa"/>
              <w:right w:w="100" w:type="dxa"/>
            </w:tcMar>
          </w:tcPr>
          <w:p w14:paraId="408FECF6" w14:textId="77777777" w:rsidR="00A77B3E" w:rsidRDefault="00EE0A2B">
            <w:pPr>
              <w:rPr>
                <w:color w:val="000000"/>
              </w:rPr>
            </w:pPr>
            <w:r>
              <w:rPr>
                <w:color w:val="000000"/>
              </w:rPr>
              <w:t>1 януари 2021 г.</w:t>
            </w:r>
          </w:p>
        </w:tc>
      </w:tr>
      <w:tr w:rsidR="00723994" w14:paraId="2002D0B9" w14:textId="77777777">
        <w:trPr>
          <w:trHeight w:val="240"/>
        </w:trPr>
        <w:tc>
          <w:tcPr>
            <w:tcW w:w="1650" w:type="pct"/>
            <w:tcMar>
              <w:left w:w="100" w:type="dxa"/>
              <w:right w:w="100" w:type="dxa"/>
            </w:tcMar>
          </w:tcPr>
          <w:p w14:paraId="628215D2" w14:textId="77777777" w:rsidR="00A77B3E" w:rsidRDefault="00EE0A2B">
            <w:pPr>
              <w:rPr>
                <w:color w:val="000000"/>
              </w:rPr>
            </w:pPr>
            <w:r>
              <w:rPr>
                <w:color w:val="000000"/>
              </w:rPr>
              <w:t>Допустимо до</w:t>
            </w:r>
          </w:p>
        </w:tc>
        <w:tc>
          <w:tcPr>
            <w:tcW w:w="1650" w:type="pct"/>
            <w:tcMar>
              <w:left w:w="100" w:type="dxa"/>
              <w:right w:w="100" w:type="dxa"/>
            </w:tcMar>
          </w:tcPr>
          <w:p w14:paraId="338C14B2" w14:textId="77777777" w:rsidR="00A77B3E" w:rsidRDefault="00EE0A2B">
            <w:pPr>
              <w:rPr>
                <w:color w:val="000000"/>
              </w:rPr>
            </w:pPr>
            <w:r>
              <w:rPr>
                <w:color w:val="000000"/>
              </w:rPr>
              <w:t>31 декември 2029 г.</w:t>
            </w:r>
          </w:p>
        </w:tc>
      </w:tr>
      <w:tr w:rsidR="00723994" w14:paraId="2A80F8F3" w14:textId="77777777">
        <w:trPr>
          <w:trHeight w:val="240"/>
        </w:trPr>
        <w:tc>
          <w:tcPr>
            <w:tcW w:w="1650" w:type="pct"/>
            <w:tcMar>
              <w:left w:w="100" w:type="dxa"/>
              <w:right w:w="100" w:type="dxa"/>
            </w:tcMar>
          </w:tcPr>
          <w:p w14:paraId="270E1DCE" w14:textId="77777777" w:rsidR="00A77B3E" w:rsidRDefault="00EE0A2B">
            <w:pPr>
              <w:rPr>
                <w:color w:val="000000"/>
              </w:rPr>
            </w:pPr>
            <w:r>
              <w:rPr>
                <w:color w:val="000000"/>
              </w:rPr>
              <w:t>Номер на решението на Комисията</w:t>
            </w:r>
          </w:p>
        </w:tc>
        <w:tc>
          <w:tcPr>
            <w:tcW w:w="1650" w:type="pct"/>
            <w:tcMar>
              <w:left w:w="100" w:type="dxa"/>
              <w:right w:w="100" w:type="dxa"/>
            </w:tcMar>
          </w:tcPr>
          <w:p w14:paraId="639A1E15" w14:textId="77777777" w:rsidR="00A77B3E" w:rsidRDefault="00A77B3E">
            <w:pPr>
              <w:rPr>
                <w:color w:val="000000"/>
              </w:rPr>
            </w:pPr>
          </w:p>
        </w:tc>
      </w:tr>
      <w:tr w:rsidR="00723994" w14:paraId="7960EBA9" w14:textId="77777777">
        <w:trPr>
          <w:trHeight w:val="240"/>
        </w:trPr>
        <w:tc>
          <w:tcPr>
            <w:tcW w:w="1650" w:type="pct"/>
            <w:tcMar>
              <w:left w:w="100" w:type="dxa"/>
              <w:right w:w="100" w:type="dxa"/>
            </w:tcMar>
          </w:tcPr>
          <w:p w14:paraId="30DB5CA4" w14:textId="77777777" w:rsidR="00A77B3E" w:rsidRDefault="00EE0A2B">
            <w:pPr>
              <w:rPr>
                <w:color w:val="000000"/>
              </w:rPr>
            </w:pPr>
            <w:r>
              <w:rPr>
                <w:color w:val="000000"/>
              </w:rPr>
              <w:t>Дата на решението на Комисията</w:t>
            </w:r>
          </w:p>
        </w:tc>
        <w:tc>
          <w:tcPr>
            <w:tcW w:w="1650" w:type="pct"/>
            <w:tcMar>
              <w:left w:w="100" w:type="dxa"/>
              <w:right w:w="100" w:type="dxa"/>
            </w:tcMar>
          </w:tcPr>
          <w:p w14:paraId="6A7DDBAA" w14:textId="77777777" w:rsidR="00A77B3E" w:rsidRDefault="00A77B3E">
            <w:pPr>
              <w:rPr>
                <w:color w:val="000000"/>
              </w:rPr>
            </w:pPr>
          </w:p>
        </w:tc>
      </w:tr>
      <w:tr w:rsidR="00723994" w14:paraId="6548F8FE" w14:textId="77777777">
        <w:trPr>
          <w:trHeight w:val="240"/>
        </w:trPr>
        <w:tc>
          <w:tcPr>
            <w:tcW w:w="1650" w:type="pct"/>
            <w:tcMar>
              <w:left w:w="100" w:type="dxa"/>
              <w:right w:w="100" w:type="dxa"/>
            </w:tcMar>
          </w:tcPr>
          <w:p w14:paraId="163DA99C" w14:textId="77777777" w:rsidR="00A77B3E" w:rsidRDefault="00EE0A2B">
            <w:pPr>
              <w:rPr>
                <w:color w:val="000000"/>
              </w:rPr>
            </w:pPr>
            <w:r>
              <w:rPr>
                <w:color w:val="000000"/>
              </w:rPr>
              <w:t>Номер на решението за изменение на държавата членка</w:t>
            </w:r>
          </w:p>
        </w:tc>
        <w:tc>
          <w:tcPr>
            <w:tcW w:w="1650" w:type="pct"/>
            <w:tcMar>
              <w:left w:w="100" w:type="dxa"/>
              <w:right w:w="100" w:type="dxa"/>
            </w:tcMar>
          </w:tcPr>
          <w:p w14:paraId="56A078D9" w14:textId="77777777" w:rsidR="00A77B3E" w:rsidRDefault="00A77B3E">
            <w:pPr>
              <w:rPr>
                <w:color w:val="000000"/>
              </w:rPr>
            </w:pPr>
          </w:p>
        </w:tc>
      </w:tr>
      <w:tr w:rsidR="00723994" w14:paraId="17522340" w14:textId="77777777">
        <w:trPr>
          <w:trHeight w:val="240"/>
        </w:trPr>
        <w:tc>
          <w:tcPr>
            <w:tcW w:w="1650" w:type="pct"/>
            <w:tcMar>
              <w:left w:w="100" w:type="dxa"/>
              <w:right w:w="100" w:type="dxa"/>
            </w:tcMar>
          </w:tcPr>
          <w:p w14:paraId="3B851226" w14:textId="77777777" w:rsidR="00A77B3E" w:rsidRDefault="00EE0A2B">
            <w:pPr>
              <w:rPr>
                <w:color w:val="000000"/>
              </w:rPr>
            </w:pPr>
            <w:r>
              <w:rPr>
                <w:color w:val="000000"/>
              </w:rPr>
              <w:t>Дата на влизане в сила на решението за изменение на ДЧ</w:t>
            </w:r>
          </w:p>
        </w:tc>
        <w:tc>
          <w:tcPr>
            <w:tcW w:w="1650" w:type="pct"/>
            <w:tcMar>
              <w:left w:w="100" w:type="dxa"/>
              <w:right w:w="100" w:type="dxa"/>
            </w:tcMar>
          </w:tcPr>
          <w:p w14:paraId="7B160887" w14:textId="77777777" w:rsidR="00A77B3E" w:rsidRDefault="00A77B3E">
            <w:pPr>
              <w:rPr>
                <w:color w:val="000000"/>
              </w:rPr>
            </w:pPr>
          </w:p>
        </w:tc>
      </w:tr>
      <w:tr w:rsidR="00723994" w14:paraId="65848DB8" w14:textId="77777777">
        <w:trPr>
          <w:trHeight w:val="240"/>
        </w:trPr>
        <w:tc>
          <w:tcPr>
            <w:tcW w:w="1650" w:type="pct"/>
            <w:tcMar>
              <w:left w:w="100" w:type="dxa"/>
              <w:right w:w="100" w:type="dxa"/>
            </w:tcMar>
          </w:tcPr>
          <w:p w14:paraId="451EF9A2" w14:textId="77777777" w:rsidR="00A77B3E" w:rsidRDefault="00EE0A2B">
            <w:pPr>
              <w:rPr>
                <w:color w:val="000000"/>
              </w:rPr>
            </w:pPr>
            <w:r>
              <w:rPr>
                <w:color w:val="000000"/>
              </w:rPr>
              <w:t>Несъществено прехвърляне (член 24(5) от CPR)</w:t>
            </w:r>
          </w:p>
        </w:tc>
        <w:tc>
          <w:tcPr>
            <w:tcW w:w="1650" w:type="pct"/>
            <w:tcMar>
              <w:left w:w="100" w:type="dxa"/>
              <w:right w:w="100" w:type="dxa"/>
            </w:tcMar>
          </w:tcPr>
          <w:p w14:paraId="505B9C35" w14:textId="77777777" w:rsidR="00A77B3E" w:rsidRDefault="00EE0A2B">
            <w:pPr>
              <w:rPr>
                <w:color w:val="000000"/>
              </w:rPr>
            </w:pPr>
            <w:r>
              <w:rPr>
                <w:color w:val="000000"/>
              </w:rPr>
              <w:t>Не</w:t>
            </w:r>
          </w:p>
        </w:tc>
      </w:tr>
      <w:tr w:rsidR="00723994" w14:paraId="7B9CEC4D" w14:textId="77777777">
        <w:trPr>
          <w:trHeight w:val="240"/>
        </w:trPr>
        <w:tc>
          <w:tcPr>
            <w:tcW w:w="1650" w:type="pct"/>
            <w:tcMar>
              <w:left w:w="100" w:type="dxa"/>
              <w:right w:w="100" w:type="dxa"/>
            </w:tcMar>
          </w:tcPr>
          <w:p w14:paraId="293DBE56" w14:textId="77777777" w:rsidR="00A77B3E" w:rsidRDefault="00EE0A2B">
            <w:pPr>
              <w:rPr>
                <w:color w:val="000000"/>
              </w:rPr>
            </w:pPr>
            <w:r>
              <w:rPr>
                <w:color w:val="000000"/>
              </w:rPr>
              <w:t>Административни или редакционни корекции (24/6) CPR)</w:t>
            </w:r>
          </w:p>
        </w:tc>
        <w:tc>
          <w:tcPr>
            <w:tcW w:w="1650" w:type="pct"/>
            <w:tcMar>
              <w:left w:w="100" w:type="dxa"/>
              <w:right w:w="100" w:type="dxa"/>
            </w:tcMar>
          </w:tcPr>
          <w:p w14:paraId="40BBB1B3" w14:textId="77777777" w:rsidR="00A77B3E" w:rsidRDefault="00EE0A2B">
            <w:pPr>
              <w:rPr>
                <w:color w:val="000000"/>
              </w:rPr>
            </w:pPr>
            <w:r>
              <w:rPr>
                <w:color w:val="000000"/>
              </w:rPr>
              <w:t>Не</w:t>
            </w:r>
          </w:p>
        </w:tc>
      </w:tr>
      <w:tr w:rsidR="00723994" w14:paraId="687BB81B" w14:textId="77777777">
        <w:trPr>
          <w:trHeight w:val="240"/>
        </w:trPr>
        <w:tc>
          <w:tcPr>
            <w:tcW w:w="1650" w:type="pct"/>
            <w:tcMar>
              <w:left w:w="100" w:type="dxa"/>
              <w:right w:w="100" w:type="dxa"/>
            </w:tcMar>
          </w:tcPr>
          <w:p w14:paraId="4E2242BA" w14:textId="77777777" w:rsidR="00A77B3E" w:rsidRDefault="00EE0A2B">
            <w:pPr>
              <w:rPr>
                <w:color w:val="000000"/>
              </w:rPr>
            </w:pPr>
            <w:r>
              <w:rPr>
                <w:color w:val="000000"/>
              </w:rPr>
              <w:t xml:space="preserve">Тематичен механизъм (член 11 от Регламента за ФУМИ, член 8 от Регламента за ИУГВП, член 8 от Регламента за </w:t>
            </w:r>
            <w:r w:rsidR="0002372A">
              <w:rPr>
                <w:color w:val="000000"/>
              </w:rPr>
              <w:t>ФВС</w:t>
            </w:r>
            <w:r>
              <w:rPr>
                <w:color w:val="000000"/>
              </w:rPr>
              <w:t>)</w:t>
            </w:r>
          </w:p>
        </w:tc>
        <w:tc>
          <w:tcPr>
            <w:tcW w:w="1650" w:type="pct"/>
            <w:tcMar>
              <w:left w:w="100" w:type="dxa"/>
              <w:right w:w="100" w:type="dxa"/>
            </w:tcMar>
          </w:tcPr>
          <w:p w14:paraId="1366C40C" w14:textId="77777777" w:rsidR="00A77B3E" w:rsidRDefault="00EE0A2B">
            <w:pPr>
              <w:rPr>
                <w:color w:val="000000"/>
              </w:rPr>
            </w:pPr>
            <w:r>
              <w:rPr>
                <w:color w:val="000000"/>
              </w:rPr>
              <w:t>Не</w:t>
            </w:r>
          </w:p>
        </w:tc>
      </w:tr>
      <w:tr w:rsidR="00723994" w14:paraId="0276CA7E" w14:textId="77777777">
        <w:trPr>
          <w:trHeight w:val="240"/>
        </w:trPr>
        <w:tc>
          <w:tcPr>
            <w:tcW w:w="1650" w:type="pct"/>
            <w:tcMar>
              <w:left w:w="100" w:type="dxa"/>
              <w:right w:w="100" w:type="dxa"/>
            </w:tcMar>
          </w:tcPr>
          <w:p w14:paraId="6D52C30A" w14:textId="77777777" w:rsidR="00A77B3E" w:rsidRDefault="00EE0A2B">
            <w:pPr>
              <w:rPr>
                <w:color w:val="000000"/>
              </w:rPr>
            </w:pPr>
            <w:r>
              <w:rPr>
                <w:color w:val="000000"/>
              </w:rPr>
              <w:t>Одобрено от мониторинговия комитет</w:t>
            </w:r>
          </w:p>
        </w:tc>
        <w:tc>
          <w:tcPr>
            <w:tcW w:w="1650" w:type="pct"/>
            <w:tcMar>
              <w:left w:w="100" w:type="dxa"/>
              <w:right w:w="100" w:type="dxa"/>
            </w:tcMar>
          </w:tcPr>
          <w:p w14:paraId="1B1151AB" w14:textId="77777777" w:rsidR="00A77B3E" w:rsidRDefault="00EE0A2B">
            <w:pPr>
              <w:rPr>
                <w:color w:val="000000"/>
              </w:rPr>
            </w:pPr>
            <w:r>
              <w:rPr>
                <w:color w:val="000000"/>
              </w:rPr>
              <w:t>Да</w:t>
            </w:r>
          </w:p>
        </w:tc>
      </w:tr>
    </w:tbl>
    <w:p w14:paraId="2242EE2F" w14:textId="77777777" w:rsidR="00A77B3E" w:rsidRDefault="00EE0A2B">
      <w:pPr>
        <w:jc w:val="center"/>
        <w:rPr>
          <w:b/>
          <w:color w:val="000000"/>
        </w:rPr>
      </w:pPr>
      <w:r>
        <w:rPr>
          <w:color w:val="000000"/>
        </w:rPr>
        <w:br w:type="page"/>
      </w:r>
      <w:r>
        <w:rPr>
          <w:b/>
          <w:color w:val="000000"/>
        </w:rPr>
        <w:lastRenderedPageBreak/>
        <w:t>Съдържание</w:t>
      </w:r>
    </w:p>
    <w:p w14:paraId="7CB85392" w14:textId="77777777" w:rsidR="00A77B3E" w:rsidRDefault="00A77B3E">
      <w:pPr>
        <w:jc w:val="center"/>
        <w:rPr>
          <w:color w:val="000000"/>
        </w:rPr>
      </w:pPr>
    </w:p>
    <w:p w14:paraId="466AF85B" w14:textId="77777777" w:rsidR="00723994" w:rsidRDefault="00EE0A2B">
      <w:pPr>
        <w:pStyle w:val="TOC1"/>
        <w:tabs>
          <w:tab w:val="right" w:leader="dot" w:pos="10240"/>
        </w:tabs>
        <w:rPr>
          <w:rFonts w:ascii="Calibri" w:hAnsi="Calibri"/>
          <w:sz w:val="22"/>
        </w:rPr>
      </w:pPr>
      <w:r>
        <w:rPr>
          <w:color w:val="000000"/>
        </w:rPr>
        <w:fldChar w:fldCharType="begin"/>
      </w:r>
      <w:r w:rsidR="00A77B3E">
        <w:rPr>
          <w:color w:val="000000"/>
        </w:rPr>
        <w:instrText>TOC \o "1-9" \z \u \h</w:instrText>
      </w:r>
      <w:r>
        <w:rPr>
          <w:color w:val="000000"/>
        </w:rPr>
        <w:fldChar w:fldCharType="separate"/>
      </w:r>
      <w:hyperlink w:anchor="_Toc256000063" w:history="1">
        <w:r w:rsidR="00A77B3E">
          <w:rPr>
            <w:rStyle w:val="Hyperlink"/>
          </w:rPr>
          <w:t xml:space="preserve">1. Стратегия на програмата: основни предизвикателства и политически отговори </w:t>
        </w:r>
      </w:hyperlink>
      <w:r>
        <w:tab/>
      </w:r>
      <w:r>
        <w:fldChar w:fldCharType="begin"/>
      </w:r>
      <w:r>
        <w:instrText xml:space="preserve"> PAGEREF _Toc256000063 \h </w:instrText>
      </w:r>
      <w:r>
        <w:fldChar w:fldCharType="separate"/>
      </w:r>
      <w:hyperlink w:anchor="_Toc256000063" w:history="1">
        <w:r>
          <w:t>4</w:t>
        </w:r>
      </w:hyperlink>
      <w:r>
        <w:fldChar w:fldCharType="end"/>
      </w:r>
    </w:p>
    <w:p w14:paraId="10C69FB1" w14:textId="77777777" w:rsidR="00723994" w:rsidRDefault="00D73605">
      <w:pPr>
        <w:pStyle w:val="TOC1"/>
        <w:tabs>
          <w:tab w:val="right" w:leader="dot" w:pos="10240"/>
        </w:tabs>
        <w:rPr>
          <w:rFonts w:ascii="Calibri" w:hAnsi="Calibri"/>
          <w:sz w:val="22"/>
        </w:rPr>
      </w:pPr>
      <w:hyperlink w:anchor="_Toc256000064" w:history="1">
        <w:r w:rsidR="00A77B3E">
          <w:rPr>
            <w:rStyle w:val="Hyperlink"/>
          </w:rPr>
          <w:t xml:space="preserve">2. Специфични цели и техническа помощ </w:t>
        </w:r>
      </w:hyperlink>
      <w:r w:rsidR="00EE0A2B">
        <w:tab/>
      </w:r>
      <w:r w:rsidR="00EE0A2B">
        <w:fldChar w:fldCharType="begin"/>
      </w:r>
      <w:r w:rsidR="00EE0A2B">
        <w:instrText xml:space="preserve"> PAGEREF _Toc256000064 \h </w:instrText>
      </w:r>
      <w:r w:rsidR="00EE0A2B">
        <w:fldChar w:fldCharType="separate"/>
      </w:r>
      <w:hyperlink w:anchor="_Toc256000064" w:history="1">
        <w:r w:rsidR="00EE0A2B">
          <w:t>11</w:t>
        </w:r>
      </w:hyperlink>
      <w:r w:rsidR="00EE0A2B">
        <w:fldChar w:fldCharType="end"/>
      </w:r>
    </w:p>
    <w:p w14:paraId="2EE8FA9B" w14:textId="77777777" w:rsidR="00723994" w:rsidRDefault="00D73605">
      <w:pPr>
        <w:pStyle w:val="TOC2"/>
        <w:tabs>
          <w:tab w:val="right" w:leader="dot" w:pos="10240"/>
        </w:tabs>
        <w:rPr>
          <w:rFonts w:ascii="Calibri" w:hAnsi="Calibri"/>
          <w:sz w:val="22"/>
        </w:rPr>
      </w:pPr>
      <w:hyperlink w:anchor="_Toc256000065" w:history="1">
        <w:r w:rsidR="00A77B3E">
          <w:rPr>
            <w:rStyle w:val="Hyperlink"/>
            <w:rFonts w:ascii="TimesNewRoman" w:eastAsia="TimesNewRoman" w:hAnsi="TimesNewRoman" w:cs="TimesNewRoman"/>
          </w:rPr>
          <w:t xml:space="preserve">2.1. Специфична цел: 1. CEAS </w:t>
        </w:r>
      </w:hyperlink>
      <w:r w:rsidR="00EE0A2B">
        <w:tab/>
      </w:r>
      <w:r w:rsidR="00EE0A2B">
        <w:fldChar w:fldCharType="begin"/>
      </w:r>
      <w:r w:rsidR="00EE0A2B">
        <w:instrText xml:space="preserve"> PAGEREF _Toc256000065 \h </w:instrText>
      </w:r>
      <w:r w:rsidR="00EE0A2B">
        <w:fldChar w:fldCharType="separate"/>
      </w:r>
      <w:hyperlink w:anchor="_Toc256000065" w:history="1">
        <w:r w:rsidR="00EE0A2B">
          <w:t>13</w:t>
        </w:r>
      </w:hyperlink>
      <w:r w:rsidR="00EE0A2B">
        <w:fldChar w:fldCharType="end"/>
      </w:r>
    </w:p>
    <w:p w14:paraId="3AE2D3B7" w14:textId="77777777" w:rsidR="00723994" w:rsidRDefault="00D73605">
      <w:pPr>
        <w:pStyle w:val="TOC3"/>
        <w:tabs>
          <w:tab w:val="right" w:leader="dot" w:pos="10240"/>
        </w:tabs>
        <w:rPr>
          <w:rFonts w:ascii="Calibri" w:hAnsi="Calibri"/>
          <w:sz w:val="22"/>
        </w:rPr>
      </w:pPr>
      <w:hyperlink w:anchor="_Toc256000066" w:history="1">
        <w:r w:rsidR="00A77B3E">
          <w:rPr>
            <w:rStyle w:val="Hyperlink"/>
            <w:rFonts w:ascii="TimesNewRoman" w:eastAsia="TimesNewRoman" w:hAnsi="TimesNewRoman" w:cs="TimesNewRoman"/>
          </w:rPr>
          <w:t xml:space="preserve">2.1.1. Описание на специфичната цел </w:t>
        </w:r>
      </w:hyperlink>
      <w:r w:rsidR="00EE0A2B">
        <w:tab/>
      </w:r>
      <w:r w:rsidR="00EE0A2B">
        <w:fldChar w:fldCharType="begin"/>
      </w:r>
      <w:r w:rsidR="00EE0A2B">
        <w:instrText xml:space="preserve"> PAGEREF _Toc256000066 \h </w:instrText>
      </w:r>
      <w:r w:rsidR="00EE0A2B">
        <w:fldChar w:fldCharType="separate"/>
      </w:r>
      <w:hyperlink w:anchor="_Toc256000066" w:history="1">
        <w:r w:rsidR="00EE0A2B">
          <w:t>13</w:t>
        </w:r>
      </w:hyperlink>
      <w:r w:rsidR="00EE0A2B">
        <w:fldChar w:fldCharType="end"/>
      </w:r>
    </w:p>
    <w:p w14:paraId="2AE0F14B" w14:textId="77777777" w:rsidR="00723994" w:rsidRDefault="00D73605">
      <w:pPr>
        <w:pStyle w:val="TOC3"/>
        <w:tabs>
          <w:tab w:val="right" w:leader="dot" w:pos="10240"/>
        </w:tabs>
        <w:rPr>
          <w:rFonts w:ascii="Calibri" w:hAnsi="Calibri"/>
          <w:sz w:val="22"/>
        </w:rPr>
      </w:pPr>
      <w:hyperlink w:anchor="_Toc256000067" w:history="1">
        <w:r w:rsidR="00A77B3E">
          <w:rPr>
            <w:rStyle w:val="Hyperlink"/>
          </w:rPr>
          <w:t xml:space="preserve">2.1.2. Показатели </w:t>
        </w:r>
      </w:hyperlink>
      <w:r w:rsidR="00EE0A2B">
        <w:tab/>
      </w:r>
      <w:r w:rsidR="00EE0A2B">
        <w:fldChar w:fldCharType="begin"/>
      </w:r>
      <w:r w:rsidR="00EE0A2B">
        <w:instrText xml:space="preserve"> PAGEREF _Toc256000067 \h </w:instrText>
      </w:r>
      <w:r w:rsidR="00EE0A2B">
        <w:fldChar w:fldCharType="separate"/>
      </w:r>
      <w:hyperlink w:anchor="_Toc256000067" w:history="1">
        <w:r w:rsidR="00EE0A2B">
          <w:t>17</w:t>
        </w:r>
      </w:hyperlink>
      <w:r w:rsidR="00EE0A2B">
        <w:fldChar w:fldCharType="end"/>
      </w:r>
    </w:p>
    <w:p w14:paraId="12958D9C" w14:textId="77777777" w:rsidR="00723994" w:rsidRDefault="00D73605">
      <w:pPr>
        <w:pStyle w:val="TOC4"/>
        <w:tabs>
          <w:tab w:val="right" w:leader="dot" w:pos="10240"/>
        </w:tabs>
        <w:rPr>
          <w:rFonts w:ascii="Calibri" w:hAnsi="Calibri"/>
          <w:sz w:val="22"/>
        </w:rPr>
      </w:pPr>
      <w:hyperlink w:anchor="_Toc256000068" w:history="1">
        <w:r w:rsidR="00A77B3E">
          <w:rPr>
            <w:rStyle w:val="Hyperlink"/>
          </w:rPr>
          <w:t xml:space="preserve">Таблица 1: Показатели за резултатите </w:t>
        </w:r>
      </w:hyperlink>
      <w:r w:rsidR="00EE0A2B">
        <w:tab/>
      </w:r>
      <w:r w:rsidR="00EE0A2B">
        <w:fldChar w:fldCharType="begin"/>
      </w:r>
      <w:r w:rsidR="00EE0A2B">
        <w:instrText xml:space="preserve"> PAGEREF _Toc256000068 \h </w:instrText>
      </w:r>
      <w:r w:rsidR="00EE0A2B">
        <w:fldChar w:fldCharType="separate"/>
      </w:r>
      <w:hyperlink w:anchor="_Toc256000068" w:history="1">
        <w:r w:rsidR="00EE0A2B">
          <w:t>17</w:t>
        </w:r>
      </w:hyperlink>
      <w:r w:rsidR="00EE0A2B">
        <w:fldChar w:fldCharType="end"/>
      </w:r>
    </w:p>
    <w:p w14:paraId="0E665877" w14:textId="77777777" w:rsidR="00723994" w:rsidRDefault="00D73605">
      <w:pPr>
        <w:pStyle w:val="TOC4"/>
        <w:tabs>
          <w:tab w:val="right" w:leader="dot" w:pos="10240"/>
        </w:tabs>
        <w:rPr>
          <w:rFonts w:ascii="Calibri" w:hAnsi="Calibri"/>
          <w:sz w:val="22"/>
        </w:rPr>
      </w:pPr>
      <w:hyperlink w:anchor="_Toc256000069" w:history="1">
        <w:r w:rsidR="00A77B3E">
          <w:rPr>
            <w:rStyle w:val="Hyperlink"/>
          </w:rPr>
          <w:t xml:space="preserve">Таблица 2: Показатели за резултати </w:t>
        </w:r>
      </w:hyperlink>
      <w:r w:rsidR="00EE0A2B">
        <w:tab/>
      </w:r>
      <w:r w:rsidR="00EE0A2B">
        <w:fldChar w:fldCharType="begin"/>
      </w:r>
      <w:r w:rsidR="00EE0A2B">
        <w:instrText xml:space="preserve"> PAGEREF _Toc256000069 \h </w:instrText>
      </w:r>
      <w:r w:rsidR="00EE0A2B">
        <w:fldChar w:fldCharType="separate"/>
      </w:r>
      <w:hyperlink w:anchor="_Toc256000069" w:history="1">
        <w:r w:rsidR="00EE0A2B">
          <w:t>18</w:t>
        </w:r>
      </w:hyperlink>
      <w:r w:rsidR="00EE0A2B">
        <w:fldChar w:fldCharType="end"/>
      </w:r>
    </w:p>
    <w:p w14:paraId="075C88F4" w14:textId="77777777" w:rsidR="00723994" w:rsidRDefault="00D73605">
      <w:pPr>
        <w:pStyle w:val="TOC3"/>
        <w:tabs>
          <w:tab w:val="right" w:leader="dot" w:pos="10240"/>
        </w:tabs>
        <w:rPr>
          <w:rFonts w:ascii="Calibri" w:hAnsi="Calibri"/>
          <w:sz w:val="22"/>
        </w:rPr>
      </w:pPr>
      <w:hyperlink w:anchor="_Toc256000070" w:history="1">
        <w:r w:rsidR="00A77B3E">
          <w:rPr>
            <w:rStyle w:val="Hyperlink"/>
          </w:rPr>
          <w:t xml:space="preserve">2.1.3. Индикативно разпределение на програмните ресурси (ЕС) по вид интервенция </w:t>
        </w:r>
      </w:hyperlink>
      <w:r w:rsidR="00EE0A2B">
        <w:tab/>
      </w:r>
      <w:r w:rsidR="00EE0A2B">
        <w:fldChar w:fldCharType="begin"/>
      </w:r>
      <w:r w:rsidR="00EE0A2B">
        <w:instrText xml:space="preserve"> PAGEREF _Toc256000070 \h </w:instrText>
      </w:r>
      <w:r w:rsidR="00EE0A2B">
        <w:fldChar w:fldCharType="separate"/>
      </w:r>
      <w:hyperlink w:anchor="_Toc256000070" w:history="1">
        <w:r w:rsidR="00EE0A2B">
          <w:t>19</w:t>
        </w:r>
      </w:hyperlink>
      <w:r w:rsidR="00EE0A2B">
        <w:fldChar w:fldCharType="end"/>
      </w:r>
    </w:p>
    <w:p w14:paraId="03FEA334" w14:textId="77777777" w:rsidR="00723994" w:rsidRDefault="00D73605">
      <w:pPr>
        <w:pStyle w:val="TOC4"/>
        <w:tabs>
          <w:tab w:val="right" w:leader="dot" w:pos="10240"/>
        </w:tabs>
        <w:rPr>
          <w:rFonts w:ascii="Calibri" w:hAnsi="Calibri"/>
          <w:sz w:val="22"/>
        </w:rPr>
      </w:pPr>
      <w:hyperlink w:anchor="_Toc256000071" w:history="1">
        <w:r w:rsidR="00A77B3E">
          <w:rPr>
            <w:rStyle w:val="Hyperlink"/>
          </w:rPr>
          <w:t xml:space="preserve">Таблица 3: Индикативно разпределение </w:t>
        </w:r>
      </w:hyperlink>
      <w:r w:rsidR="00EE0A2B">
        <w:tab/>
      </w:r>
      <w:r w:rsidR="00EE0A2B">
        <w:fldChar w:fldCharType="begin"/>
      </w:r>
      <w:r w:rsidR="00EE0A2B">
        <w:instrText xml:space="preserve"> PAGEREF _Toc256000071 \h </w:instrText>
      </w:r>
      <w:r w:rsidR="00EE0A2B">
        <w:fldChar w:fldCharType="separate"/>
      </w:r>
      <w:hyperlink w:anchor="_Toc256000071" w:history="1">
        <w:r w:rsidR="00EE0A2B">
          <w:t>19</w:t>
        </w:r>
      </w:hyperlink>
      <w:r w:rsidR="00EE0A2B">
        <w:fldChar w:fldCharType="end"/>
      </w:r>
    </w:p>
    <w:p w14:paraId="5AC7BBF5" w14:textId="77777777" w:rsidR="00723994" w:rsidRDefault="00D73605">
      <w:pPr>
        <w:pStyle w:val="TOC2"/>
        <w:tabs>
          <w:tab w:val="right" w:leader="dot" w:pos="10240"/>
        </w:tabs>
        <w:rPr>
          <w:rFonts w:ascii="Calibri" w:hAnsi="Calibri"/>
          <w:sz w:val="22"/>
        </w:rPr>
      </w:pPr>
      <w:hyperlink w:anchor="_Toc256000072" w:history="1">
        <w:r w:rsidR="00A77B3E">
          <w:rPr>
            <w:rStyle w:val="Hyperlink"/>
            <w:rFonts w:ascii="TimesNewRoman" w:eastAsia="TimesNewRoman" w:hAnsi="TimesNewRoman" w:cs="TimesNewRoman"/>
          </w:rPr>
          <w:t xml:space="preserve">2.1. Специфична цел: 2. Легална миграция и интеграция </w:t>
        </w:r>
      </w:hyperlink>
      <w:r w:rsidR="00EE0A2B">
        <w:tab/>
      </w:r>
      <w:r w:rsidR="00EE0A2B">
        <w:fldChar w:fldCharType="begin"/>
      </w:r>
      <w:r w:rsidR="00EE0A2B">
        <w:instrText xml:space="preserve"> PAGEREF _Toc256000072 \h </w:instrText>
      </w:r>
      <w:r w:rsidR="00EE0A2B">
        <w:fldChar w:fldCharType="separate"/>
      </w:r>
      <w:hyperlink w:anchor="_Toc256000072" w:history="1">
        <w:r w:rsidR="00EE0A2B">
          <w:t>20</w:t>
        </w:r>
      </w:hyperlink>
      <w:r w:rsidR="00EE0A2B">
        <w:fldChar w:fldCharType="end"/>
      </w:r>
    </w:p>
    <w:p w14:paraId="3B829D71" w14:textId="77777777" w:rsidR="00723994" w:rsidRDefault="00D73605">
      <w:pPr>
        <w:pStyle w:val="TOC3"/>
        <w:tabs>
          <w:tab w:val="right" w:leader="dot" w:pos="10240"/>
        </w:tabs>
        <w:rPr>
          <w:rFonts w:ascii="Calibri" w:hAnsi="Calibri"/>
          <w:sz w:val="22"/>
        </w:rPr>
      </w:pPr>
      <w:hyperlink w:anchor="_Toc256000073" w:history="1">
        <w:r w:rsidR="00A77B3E">
          <w:rPr>
            <w:rStyle w:val="Hyperlink"/>
            <w:rFonts w:ascii="TimesNewRoman" w:eastAsia="TimesNewRoman" w:hAnsi="TimesNewRoman" w:cs="TimesNewRoman"/>
          </w:rPr>
          <w:t xml:space="preserve">2.1.1. Описание на специфичната цел </w:t>
        </w:r>
      </w:hyperlink>
      <w:r w:rsidR="00EE0A2B">
        <w:tab/>
      </w:r>
      <w:r w:rsidR="00EE0A2B">
        <w:fldChar w:fldCharType="begin"/>
      </w:r>
      <w:r w:rsidR="00EE0A2B">
        <w:instrText xml:space="preserve"> PAGEREF _Toc256000073 \h </w:instrText>
      </w:r>
      <w:r w:rsidR="00EE0A2B">
        <w:fldChar w:fldCharType="separate"/>
      </w:r>
      <w:hyperlink w:anchor="_Toc256000073" w:history="1">
        <w:r w:rsidR="00EE0A2B">
          <w:t>20</w:t>
        </w:r>
      </w:hyperlink>
      <w:r w:rsidR="00EE0A2B">
        <w:fldChar w:fldCharType="end"/>
      </w:r>
    </w:p>
    <w:p w14:paraId="1CDEC00F" w14:textId="77777777" w:rsidR="00723994" w:rsidRDefault="00D73605">
      <w:pPr>
        <w:pStyle w:val="TOC3"/>
        <w:tabs>
          <w:tab w:val="right" w:leader="dot" w:pos="10240"/>
        </w:tabs>
        <w:rPr>
          <w:rFonts w:ascii="Calibri" w:hAnsi="Calibri"/>
          <w:sz w:val="22"/>
        </w:rPr>
      </w:pPr>
      <w:hyperlink w:anchor="_Toc256000074" w:history="1">
        <w:r w:rsidR="00A77B3E">
          <w:rPr>
            <w:rStyle w:val="Hyperlink"/>
          </w:rPr>
          <w:t xml:space="preserve">2.1.2. Показатели </w:t>
        </w:r>
      </w:hyperlink>
      <w:r w:rsidR="00EE0A2B">
        <w:tab/>
      </w:r>
      <w:r w:rsidR="00EE0A2B">
        <w:fldChar w:fldCharType="begin"/>
      </w:r>
      <w:r w:rsidR="00EE0A2B">
        <w:instrText xml:space="preserve"> PAGEREF _Toc256000074 \h </w:instrText>
      </w:r>
      <w:r w:rsidR="00EE0A2B">
        <w:fldChar w:fldCharType="separate"/>
      </w:r>
      <w:hyperlink w:anchor="_Toc256000074" w:history="1">
        <w:r w:rsidR="00EE0A2B">
          <w:t>25</w:t>
        </w:r>
      </w:hyperlink>
      <w:r w:rsidR="00EE0A2B">
        <w:fldChar w:fldCharType="end"/>
      </w:r>
    </w:p>
    <w:p w14:paraId="287AC848" w14:textId="77777777" w:rsidR="00723994" w:rsidRDefault="00D73605">
      <w:pPr>
        <w:pStyle w:val="TOC4"/>
        <w:tabs>
          <w:tab w:val="right" w:leader="dot" w:pos="10240"/>
        </w:tabs>
        <w:rPr>
          <w:rFonts w:ascii="Calibri" w:hAnsi="Calibri"/>
          <w:sz w:val="22"/>
        </w:rPr>
      </w:pPr>
      <w:hyperlink w:anchor="_Toc256000075" w:history="1">
        <w:r w:rsidR="00A77B3E">
          <w:rPr>
            <w:rStyle w:val="Hyperlink"/>
          </w:rPr>
          <w:t xml:space="preserve">Таблица 1: Показатели за резултатите </w:t>
        </w:r>
      </w:hyperlink>
      <w:r w:rsidR="00EE0A2B">
        <w:tab/>
      </w:r>
      <w:r w:rsidR="00EE0A2B">
        <w:fldChar w:fldCharType="begin"/>
      </w:r>
      <w:r w:rsidR="00EE0A2B">
        <w:instrText xml:space="preserve"> PAGEREF _Toc256000075 \h </w:instrText>
      </w:r>
      <w:r w:rsidR="00EE0A2B">
        <w:fldChar w:fldCharType="separate"/>
      </w:r>
      <w:hyperlink w:anchor="_Toc256000075" w:history="1">
        <w:r w:rsidR="00EE0A2B">
          <w:t>25</w:t>
        </w:r>
      </w:hyperlink>
      <w:r w:rsidR="00EE0A2B">
        <w:fldChar w:fldCharType="end"/>
      </w:r>
    </w:p>
    <w:p w14:paraId="09623AEA" w14:textId="77777777" w:rsidR="00723994" w:rsidRDefault="00D73605">
      <w:pPr>
        <w:pStyle w:val="TOC4"/>
        <w:tabs>
          <w:tab w:val="right" w:leader="dot" w:pos="10240"/>
        </w:tabs>
        <w:rPr>
          <w:rFonts w:ascii="Calibri" w:hAnsi="Calibri"/>
          <w:sz w:val="22"/>
        </w:rPr>
      </w:pPr>
      <w:hyperlink w:anchor="_Toc256000076" w:history="1">
        <w:r w:rsidR="00A77B3E">
          <w:rPr>
            <w:rStyle w:val="Hyperlink"/>
          </w:rPr>
          <w:t xml:space="preserve">Таблица 2: Показатели за резултати </w:t>
        </w:r>
      </w:hyperlink>
      <w:r w:rsidR="00EE0A2B">
        <w:tab/>
      </w:r>
      <w:r w:rsidR="00EE0A2B">
        <w:fldChar w:fldCharType="begin"/>
      </w:r>
      <w:r w:rsidR="00EE0A2B">
        <w:instrText xml:space="preserve"> PAGEREF _Toc256000076 \h </w:instrText>
      </w:r>
      <w:r w:rsidR="00EE0A2B">
        <w:fldChar w:fldCharType="separate"/>
      </w:r>
      <w:hyperlink w:anchor="_Toc256000076" w:history="1">
        <w:r w:rsidR="00EE0A2B">
          <w:t>26</w:t>
        </w:r>
      </w:hyperlink>
      <w:r w:rsidR="00EE0A2B">
        <w:fldChar w:fldCharType="end"/>
      </w:r>
    </w:p>
    <w:p w14:paraId="187AE4CC" w14:textId="77777777" w:rsidR="00723994" w:rsidRDefault="00D73605">
      <w:pPr>
        <w:pStyle w:val="TOC3"/>
        <w:tabs>
          <w:tab w:val="right" w:leader="dot" w:pos="10240"/>
        </w:tabs>
        <w:rPr>
          <w:rFonts w:ascii="Calibri" w:hAnsi="Calibri"/>
          <w:sz w:val="22"/>
        </w:rPr>
      </w:pPr>
      <w:hyperlink w:anchor="_Toc256000077" w:history="1">
        <w:r w:rsidR="00A77B3E">
          <w:rPr>
            <w:rStyle w:val="Hyperlink"/>
          </w:rPr>
          <w:t xml:space="preserve">2.1.3. Индикативно разпределение на програмните ресурси (ЕС) по вид интервенция </w:t>
        </w:r>
      </w:hyperlink>
      <w:r w:rsidR="00EE0A2B">
        <w:tab/>
      </w:r>
      <w:r w:rsidR="00EE0A2B">
        <w:fldChar w:fldCharType="begin"/>
      </w:r>
      <w:r w:rsidR="00EE0A2B">
        <w:instrText xml:space="preserve"> PAGEREF _Toc256000077 \h </w:instrText>
      </w:r>
      <w:r w:rsidR="00EE0A2B">
        <w:fldChar w:fldCharType="separate"/>
      </w:r>
      <w:hyperlink w:anchor="_Toc256000077" w:history="1">
        <w:r w:rsidR="00EE0A2B">
          <w:t>27</w:t>
        </w:r>
      </w:hyperlink>
      <w:r w:rsidR="00EE0A2B">
        <w:fldChar w:fldCharType="end"/>
      </w:r>
    </w:p>
    <w:p w14:paraId="3DA82C05" w14:textId="77777777" w:rsidR="00723994" w:rsidRDefault="00D73605">
      <w:pPr>
        <w:pStyle w:val="TOC4"/>
        <w:tabs>
          <w:tab w:val="right" w:leader="dot" w:pos="10240"/>
        </w:tabs>
        <w:rPr>
          <w:rFonts w:ascii="Calibri" w:hAnsi="Calibri"/>
          <w:sz w:val="22"/>
        </w:rPr>
      </w:pPr>
      <w:hyperlink w:anchor="_Toc256000078" w:history="1">
        <w:r w:rsidR="00A77B3E">
          <w:rPr>
            <w:rStyle w:val="Hyperlink"/>
          </w:rPr>
          <w:t xml:space="preserve">Таблица 3: Индикативно разпределение </w:t>
        </w:r>
      </w:hyperlink>
      <w:r w:rsidR="00EE0A2B">
        <w:tab/>
      </w:r>
      <w:r w:rsidR="00EE0A2B">
        <w:fldChar w:fldCharType="begin"/>
      </w:r>
      <w:r w:rsidR="00EE0A2B">
        <w:instrText xml:space="preserve"> PAGEREF _Toc256000078 \h </w:instrText>
      </w:r>
      <w:r w:rsidR="00EE0A2B">
        <w:fldChar w:fldCharType="separate"/>
      </w:r>
      <w:hyperlink w:anchor="_Toc256000078" w:history="1">
        <w:r w:rsidR="00EE0A2B">
          <w:t>27</w:t>
        </w:r>
      </w:hyperlink>
      <w:r w:rsidR="00EE0A2B">
        <w:fldChar w:fldCharType="end"/>
      </w:r>
    </w:p>
    <w:p w14:paraId="77AD8159" w14:textId="77777777" w:rsidR="00723994" w:rsidRDefault="00D73605">
      <w:pPr>
        <w:pStyle w:val="TOC2"/>
        <w:tabs>
          <w:tab w:val="right" w:leader="dot" w:pos="10240"/>
        </w:tabs>
        <w:rPr>
          <w:rFonts w:ascii="Calibri" w:hAnsi="Calibri"/>
          <w:sz w:val="22"/>
        </w:rPr>
      </w:pPr>
      <w:hyperlink w:anchor="_Toc256000079" w:history="1">
        <w:r w:rsidR="00A77B3E">
          <w:rPr>
            <w:rStyle w:val="Hyperlink"/>
            <w:rFonts w:ascii="TimesNewRoman" w:eastAsia="TimesNewRoman" w:hAnsi="TimesNewRoman" w:cs="TimesNewRoman"/>
          </w:rPr>
          <w:t xml:space="preserve">2.1. Конкретна цел: 3. Връщане </w:t>
        </w:r>
      </w:hyperlink>
      <w:r w:rsidR="00EE0A2B">
        <w:tab/>
      </w:r>
      <w:r w:rsidR="00EE0A2B">
        <w:fldChar w:fldCharType="begin"/>
      </w:r>
      <w:r w:rsidR="00EE0A2B">
        <w:instrText xml:space="preserve"> PAGEREF _Toc256000079 \h </w:instrText>
      </w:r>
      <w:r w:rsidR="00EE0A2B">
        <w:fldChar w:fldCharType="separate"/>
      </w:r>
      <w:hyperlink w:anchor="_Toc256000079" w:history="1">
        <w:r w:rsidR="00EE0A2B">
          <w:t>28</w:t>
        </w:r>
      </w:hyperlink>
      <w:r w:rsidR="00EE0A2B">
        <w:fldChar w:fldCharType="end"/>
      </w:r>
    </w:p>
    <w:p w14:paraId="564822C0" w14:textId="77777777" w:rsidR="00723994" w:rsidRDefault="00D73605">
      <w:pPr>
        <w:pStyle w:val="TOC3"/>
        <w:tabs>
          <w:tab w:val="right" w:leader="dot" w:pos="10240"/>
        </w:tabs>
        <w:rPr>
          <w:rFonts w:ascii="Calibri" w:hAnsi="Calibri"/>
          <w:sz w:val="22"/>
        </w:rPr>
      </w:pPr>
      <w:hyperlink w:anchor="_Toc256000080" w:history="1">
        <w:r w:rsidR="00A77B3E">
          <w:rPr>
            <w:rStyle w:val="Hyperlink"/>
            <w:rFonts w:ascii="TimesNewRoman" w:eastAsia="TimesNewRoman" w:hAnsi="TimesNewRoman" w:cs="TimesNewRoman"/>
          </w:rPr>
          <w:t xml:space="preserve">2.1.1. Описание на специфичната цел </w:t>
        </w:r>
      </w:hyperlink>
      <w:r w:rsidR="00EE0A2B">
        <w:tab/>
      </w:r>
      <w:r w:rsidR="00EE0A2B">
        <w:fldChar w:fldCharType="begin"/>
      </w:r>
      <w:r w:rsidR="00EE0A2B">
        <w:instrText xml:space="preserve"> PAGEREF _Toc256000080 \h </w:instrText>
      </w:r>
      <w:r w:rsidR="00EE0A2B">
        <w:fldChar w:fldCharType="separate"/>
      </w:r>
      <w:hyperlink w:anchor="_Toc256000080" w:history="1">
        <w:r w:rsidR="00EE0A2B">
          <w:t>28</w:t>
        </w:r>
      </w:hyperlink>
      <w:r w:rsidR="00EE0A2B">
        <w:fldChar w:fldCharType="end"/>
      </w:r>
    </w:p>
    <w:p w14:paraId="2869FD7D" w14:textId="77777777" w:rsidR="00723994" w:rsidRDefault="00D73605">
      <w:pPr>
        <w:pStyle w:val="TOC3"/>
        <w:tabs>
          <w:tab w:val="right" w:leader="dot" w:pos="10240"/>
        </w:tabs>
        <w:rPr>
          <w:rFonts w:ascii="Calibri" w:hAnsi="Calibri"/>
          <w:sz w:val="22"/>
        </w:rPr>
      </w:pPr>
      <w:hyperlink w:anchor="_Toc256000081" w:history="1">
        <w:r w:rsidR="00A77B3E">
          <w:rPr>
            <w:rStyle w:val="Hyperlink"/>
          </w:rPr>
          <w:t xml:space="preserve">2.1.2. Индикатори </w:t>
        </w:r>
      </w:hyperlink>
      <w:r w:rsidR="00EE0A2B">
        <w:tab/>
      </w:r>
      <w:r w:rsidR="00EE0A2B">
        <w:fldChar w:fldCharType="begin"/>
      </w:r>
      <w:r w:rsidR="00EE0A2B">
        <w:instrText xml:space="preserve"> PAGEREF _Toc256000081 \h </w:instrText>
      </w:r>
      <w:r w:rsidR="00EE0A2B">
        <w:fldChar w:fldCharType="separate"/>
      </w:r>
      <w:hyperlink w:anchor="_Toc256000081" w:history="1">
        <w:r w:rsidR="00EE0A2B">
          <w:t>33</w:t>
        </w:r>
      </w:hyperlink>
      <w:r w:rsidR="00EE0A2B">
        <w:fldChar w:fldCharType="end"/>
      </w:r>
    </w:p>
    <w:p w14:paraId="052E60CE" w14:textId="77777777" w:rsidR="00723994" w:rsidRDefault="00D73605">
      <w:pPr>
        <w:pStyle w:val="TOC4"/>
        <w:tabs>
          <w:tab w:val="right" w:leader="dot" w:pos="10240"/>
        </w:tabs>
        <w:rPr>
          <w:rFonts w:ascii="Calibri" w:hAnsi="Calibri"/>
          <w:sz w:val="22"/>
        </w:rPr>
      </w:pPr>
      <w:hyperlink w:anchor="_Toc256000082" w:history="1">
        <w:r w:rsidR="00A77B3E">
          <w:rPr>
            <w:rStyle w:val="Hyperlink"/>
          </w:rPr>
          <w:t xml:space="preserve">Таблица 1: Показатели за резултатите </w:t>
        </w:r>
      </w:hyperlink>
      <w:r w:rsidR="00EE0A2B">
        <w:tab/>
      </w:r>
      <w:r w:rsidR="00EE0A2B">
        <w:fldChar w:fldCharType="begin"/>
      </w:r>
      <w:r w:rsidR="00EE0A2B">
        <w:instrText xml:space="preserve"> PAGEREF _Toc256000082 \h </w:instrText>
      </w:r>
      <w:r w:rsidR="00EE0A2B">
        <w:fldChar w:fldCharType="separate"/>
      </w:r>
      <w:hyperlink w:anchor="_Toc256000082" w:history="1">
        <w:r w:rsidR="00EE0A2B">
          <w:t>33</w:t>
        </w:r>
      </w:hyperlink>
      <w:r w:rsidR="00EE0A2B">
        <w:fldChar w:fldCharType="end"/>
      </w:r>
    </w:p>
    <w:p w14:paraId="5F4481BF" w14:textId="77777777" w:rsidR="00723994" w:rsidRDefault="00D73605">
      <w:pPr>
        <w:pStyle w:val="TOC4"/>
        <w:tabs>
          <w:tab w:val="right" w:leader="dot" w:pos="10240"/>
        </w:tabs>
        <w:rPr>
          <w:rFonts w:ascii="Calibri" w:hAnsi="Calibri"/>
          <w:sz w:val="22"/>
        </w:rPr>
      </w:pPr>
      <w:hyperlink w:anchor="_Toc256000083" w:history="1">
        <w:r w:rsidR="00A77B3E">
          <w:rPr>
            <w:rStyle w:val="Hyperlink"/>
          </w:rPr>
          <w:t xml:space="preserve">Таблица 2: Показатели за резултати </w:t>
        </w:r>
      </w:hyperlink>
      <w:r w:rsidR="00EE0A2B">
        <w:tab/>
      </w:r>
      <w:r w:rsidR="00EE0A2B">
        <w:fldChar w:fldCharType="begin"/>
      </w:r>
      <w:r w:rsidR="00EE0A2B">
        <w:instrText xml:space="preserve"> PAGEREF _Toc256000083 \h </w:instrText>
      </w:r>
      <w:r w:rsidR="00EE0A2B">
        <w:fldChar w:fldCharType="separate"/>
      </w:r>
      <w:hyperlink w:anchor="_Toc256000083" w:history="1">
        <w:r w:rsidR="00EE0A2B">
          <w:t>34</w:t>
        </w:r>
      </w:hyperlink>
      <w:r w:rsidR="00EE0A2B">
        <w:fldChar w:fldCharType="end"/>
      </w:r>
    </w:p>
    <w:p w14:paraId="62325E17" w14:textId="77777777" w:rsidR="00723994" w:rsidRDefault="00D73605">
      <w:pPr>
        <w:pStyle w:val="TOC3"/>
        <w:tabs>
          <w:tab w:val="right" w:leader="dot" w:pos="10240"/>
        </w:tabs>
        <w:rPr>
          <w:rFonts w:ascii="Calibri" w:hAnsi="Calibri"/>
          <w:sz w:val="22"/>
        </w:rPr>
      </w:pPr>
      <w:hyperlink w:anchor="_Toc256000084" w:history="1">
        <w:r w:rsidR="00A77B3E">
          <w:rPr>
            <w:rStyle w:val="Hyperlink"/>
          </w:rPr>
          <w:t xml:space="preserve">2.1.3. Индикативно разпределение на програмните ресурси (ЕС) по вид интервенция </w:t>
        </w:r>
      </w:hyperlink>
      <w:r w:rsidR="00EE0A2B">
        <w:tab/>
      </w:r>
      <w:r w:rsidR="00EE0A2B">
        <w:fldChar w:fldCharType="begin"/>
      </w:r>
      <w:r w:rsidR="00EE0A2B">
        <w:instrText xml:space="preserve"> PAGEREF _Toc256000084 \h </w:instrText>
      </w:r>
      <w:r w:rsidR="00EE0A2B">
        <w:fldChar w:fldCharType="separate"/>
      </w:r>
      <w:hyperlink w:anchor="_Toc256000084" w:history="1">
        <w:r w:rsidR="00EE0A2B">
          <w:t>35</w:t>
        </w:r>
      </w:hyperlink>
      <w:r w:rsidR="00EE0A2B">
        <w:fldChar w:fldCharType="end"/>
      </w:r>
    </w:p>
    <w:p w14:paraId="4150932A" w14:textId="77777777" w:rsidR="00723994" w:rsidRDefault="00D73605">
      <w:pPr>
        <w:pStyle w:val="TOC4"/>
        <w:tabs>
          <w:tab w:val="right" w:leader="dot" w:pos="10240"/>
        </w:tabs>
        <w:rPr>
          <w:rFonts w:ascii="Calibri" w:hAnsi="Calibri"/>
          <w:sz w:val="22"/>
        </w:rPr>
      </w:pPr>
      <w:hyperlink w:anchor="_Toc256000085" w:history="1">
        <w:r w:rsidR="00A77B3E">
          <w:rPr>
            <w:rStyle w:val="Hyperlink"/>
          </w:rPr>
          <w:t xml:space="preserve">Таблица 3: Индикативно разпределение </w:t>
        </w:r>
      </w:hyperlink>
      <w:r w:rsidR="00EE0A2B">
        <w:tab/>
      </w:r>
      <w:r w:rsidR="00EE0A2B">
        <w:fldChar w:fldCharType="begin"/>
      </w:r>
      <w:r w:rsidR="00EE0A2B">
        <w:instrText xml:space="preserve"> PAGEREF _Toc256000085 \h </w:instrText>
      </w:r>
      <w:r w:rsidR="00EE0A2B">
        <w:fldChar w:fldCharType="separate"/>
      </w:r>
      <w:hyperlink w:anchor="_Toc256000085" w:history="1">
        <w:r w:rsidR="00EE0A2B">
          <w:t>35</w:t>
        </w:r>
      </w:hyperlink>
      <w:r w:rsidR="00EE0A2B">
        <w:fldChar w:fldCharType="end"/>
      </w:r>
    </w:p>
    <w:p w14:paraId="4B2A80EF" w14:textId="77777777" w:rsidR="00723994" w:rsidRDefault="00D73605">
      <w:pPr>
        <w:pStyle w:val="TOC2"/>
        <w:tabs>
          <w:tab w:val="right" w:leader="dot" w:pos="10240"/>
        </w:tabs>
        <w:rPr>
          <w:rFonts w:ascii="Calibri" w:hAnsi="Calibri"/>
          <w:sz w:val="22"/>
        </w:rPr>
      </w:pPr>
      <w:hyperlink w:anchor="_Toc256000086" w:history="1">
        <w:r w:rsidR="00A77B3E">
          <w:rPr>
            <w:rStyle w:val="Hyperlink"/>
            <w:rFonts w:ascii="TimesNewRoman" w:eastAsia="TimesNewRoman" w:hAnsi="TimesNewRoman" w:cs="TimesNewRoman"/>
          </w:rPr>
          <w:t xml:space="preserve">2.1. Специфична цел: 4. Солидарност </w:t>
        </w:r>
      </w:hyperlink>
      <w:r w:rsidR="00EE0A2B">
        <w:tab/>
      </w:r>
      <w:r w:rsidR="00EE0A2B">
        <w:fldChar w:fldCharType="begin"/>
      </w:r>
      <w:r w:rsidR="00EE0A2B">
        <w:instrText xml:space="preserve"> PAGEREF _Toc256000086 \h </w:instrText>
      </w:r>
      <w:r w:rsidR="00EE0A2B">
        <w:fldChar w:fldCharType="separate"/>
      </w:r>
      <w:hyperlink w:anchor="_Toc256000086" w:history="1">
        <w:r w:rsidR="00EE0A2B">
          <w:t>36</w:t>
        </w:r>
      </w:hyperlink>
      <w:r w:rsidR="00EE0A2B">
        <w:fldChar w:fldCharType="end"/>
      </w:r>
    </w:p>
    <w:p w14:paraId="38A12006" w14:textId="77777777" w:rsidR="00723994" w:rsidRDefault="00D73605">
      <w:pPr>
        <w:pStyle w:val="TOC3"/>
        <w:tabs>
          <w:tab w:val="right" w:leader="dot" w:pos="10240"/>
        </w:tabs>
        <w:rPr>
          <w:rFonts w:ascii="Calibri" w:hAnsi="Calibri"/>
          <w:sz w:val="22"/>
        </w:rPr>
      </w:pPr>
      <w:hyperlink w:anchor="_Toc256000087" w:history="1">
        <w:r w:rsidR="00A77B3E">
          <w:rPr>
            <w:rStyle w:val="Hyperlink"/>
            <w:rFonts w:ascii="TimesNewRoman" w:eastAsia="TimesNewRoman" w:hAnsi="TimesNewRoman" w:cs="TimesNewRoman"/>
          </w:rPr>
          <w:t xml:space="preserve">2.1.1. Описание на специфичната цел </w:t>
        </w:r>
      </w:hyperlink>
      <w:r w:rsidR="00EE0A2B">
        <w:tab/>
      </w:r>
      <w:r w:rsidR="00EE0A2B">
        <w:fldChar w:fldCharType="begin"/>
      </w:r>
      <w:r w:rsidR="00EE0A2B">
        <w:instrText xml:space="preserve"> PAGEREF _Toc256000087 \h </w:instrText>
      </w:r>
      <w:r w:rsidR="00EE0A2B">
        <w:fldChar w:fldCharType="separate"/>
      </w:r>
      <w:hyperlink w:anchor="_Toc256000087" w:history="1">
        <w:r w:rsidR="00EE0A2B">
          <w:t>36</w:t>
        </w:r>
      </w:hyperlink>
      <w:r w:rsidR="00EE0A2B">
        <w:fldChar w:fldCharType="end"/>
      </w:r>
    </w:p>
    <w:p w14:paraId="18565FCC" w14:textId="77777777" w:rsidR="00723994" w:rsidRDefault="00D73605">
      <w:pPr>
        <w:pStyle w:val="TOC3"/>
        <w:tabs>
          <w:tab w:val="right" w:leader="dot" w:pos="10240"/>
        </w:tabs>
        <w:rPr>
          <w:rFonts w:ascii="Calibri" w:hAnsi="Calibri"/>
          <w:sz w:val="22"/>
        </w:rPr>
      </w:pPr>
      <w:hyperlink w:anchor="_Toc256000088" w:history="1">
        <w:r w:rsidR="00A77B3E">
          <w:rPr>
            <w:rStyle w:val="Hyperlink"/>
          </w:rPr>
          <w:t xml:space="preserve">2.1.2. Индикатори </w:t>
        </w:r>
      </w:hyperlink>
      <w:r w:rsidR="00EE0A2B">
        <w:tab/>
      </w:r>
      <w:r w:rsidR="00EE0A2B">
        <w:fldChar w:fldCharType="begin"/>
      </w:r>
      <w:r w:rsidR="00EE0A2B">
        <w:instrText xml:space="preserve"> PAGEREF _Toc256000088 \h </w:instrText>
      </w:r>
      <w:r w:rsidR="00EE0A2B">
        <w:fldChar w:fldCharType="separate"/>
      </w:r>
      <w:hyperlink w:anchor="_Toc256000088" w:history="1">
        <w:r w:rsidR="00EE0A2B">
          <w:t>38</w:t>
        </w:r>
      </w:hyperlink>
      <w:r w:rsidR="00EE0A2B">
        <w:fldChar w:fldCharType="end"/>
      </w:r>
    </w:p>
    <w:p w14:paraId="44A5D1E0" w14:textId="77777777" w:rsidR="00723994" w:rsidRDefault="00D73605">
      <w:pPr>
        <w:pStyle w:val="TOC4"/>
        <w:tabs>
          <w:tab w:val="right" w:leader="dot" w:pos="10240"/>
        </w:tabs>
        <w:rPr>
          <w:rFonts w:ascii="Calibri" w:hAnsi="Calibri"/>
          <w:sz w:val="22"/>
        </w:rPr>
      </w:pPr>
      <w:hyperlink w:anchor="_Toc256000089" w:history="1">
        <w:r w:rsidR="00A77B3E">
          <w:rPr>
            <w:rStyle w:val="Hyperlink"/>
          </w:rPr>
          <w:t xml:space="preserve">Таблица 1: Показатели за резултатите </w:t>
        </w:r>
      </w:hyperlink>
      <w:r w:rsidR="00EE0A2B">
        <w:tab/>
      </w:r>
      <w:r w:rsidR="00EE0A2B">
        <w:fldChar w:fldCharType="begin"/>
      </w:r>
      <w:r w:rsidR="00EE0A2B">
        <w:instrText xml:space="preserve"> PAGEREF _Toc256000089 \h </w:instrText>
      </w:r>
      <w:r w:rsidR="00EE0A2B">
        <w:fldChar w:fldCharType="separate"/>
      </w:r>
      <w:hyperlink w:anchor="_Toc256000089" w:history="1">
        <w:r w:rsidR="00EE0A2B">
          <w:t>38</w:t>
        </w:r>
      </w:hyperlink>
      <w:r w:rsidR="00EE0A2B">
        <w:fldChar w:fldCharType="end"/>
      </w:r>
    </w:p>
    <w:p w14:paraId="28716421" w14:textId="77777777" w:rsidR="00723994" w:rsidRDefault="00D73605">
      <w:pPr>
        <w:pStyle w:val="TOC4"/>
        <w:tabs>
          <w:tab w:val="right" w:leader="dot" w:pos="10240"/>
        </w:tabs>
        <w:rPr>
          <w:rFonts w:ascii="Calibri" w:hAnsi="Calibri"/>
          <w:sz w:val="22"/>
        </w:rPr>
      </w:pPr>
      <w:hyperlink w:anchor="_Toc256000090" w:history="1">
        <w:r w:rsidR="00A77B3E">
          <w:rPr>
            <w:rStyle w:val="Hyperlink"/>
          </w:rPr>
          <w:t xml:space="preserve">Таблица 2: Показатели за резултати </w:t>
        </w:r>
      </w:hyperlink>
      <w:r w:rsidR="00EE0A2B">
        <w:tab/>
      </w:r>
      <w:r w:rsidR="00EE0A2B">
        <w:fldChar w:fldCharType="begin"/>
      </w:r>
      <w:r w:rsidR="00EE0A2B">
        <w:instrText xml:space="preserve"> PAGEREF _Toc256000090 \h </w:instrText>
      </w:r>
      <w:r w:rsidR="00EE0A2B">
        <w:fldChar w:fldCharType="separate"/>
      </w:r>
      <w:hyperlink w:anchor="_Toc256000090" w:history="1">
        <w:r w:rsidR="00EE0A2B">
          <w:t>39</w:t>
        </w:r>
      </w:hyperlink>
      <w:r w:rsidR="00EE0A2B">
        <w:fldChar w:fldCharType="end"/>
      </w:r>
    </w:p>
    <w:p w14:paraId="211B1317" w14:textId="77777777" w:rsidR="00723994" w:rsidRDefault="00D73605">
      <w:pPr>
        <w:pStyle w:val="TOC3"/>
        <w:tabs>
          <w:tab w:val="right" w:leader="dot" w:pos="10240"/>
        </w:tabs>
        <w:rPr>
          <w:rFonts w:ascii="Calibri" w:hAnsi="Calibri"/>
          <w:sz w:val="22"/>
        </w:rPr>
      </w:pPr>
      <w:hyperlink w:anchor="_Toc256000091" w:history="1">
        <w:r w:rsidR="00A77B3E">
          <w:rPr>
            <w:rStyle w:val="Hyperlink"/>
          </w:rPr>
          <w:t xml:space="preserve">2.1.3. Индикативно разпределение на програмните ресурси (ЕС) по вид интервенция </w:t>
        </w:r>
      </w:hyperlink>
      <w:r w:rsidR="00EE0A2B">
        <w:tab/>
      </w:r>
      <w:r w:rsidR="00EE0A2B">
        <w:fldChar w:fldCharType="begin"/>
      </w:r>
      <w:r w:rsidR="00EE0A2B">
        <w:instrText xml:space="preserve"> PAGEREF _Toc256000091 \h </w:instrText>
      </w:r>
      <w:r w:rsidR="00EE0A2B">
        <w:fldChar w:fldCharType="separate"/>
      </w:r>
      <w:hyperlink w:anchor="_Toc256000091" w:history="1">
        <w:r w:rsidR="00EE0A2B">
          <w:t>40</w:t>
        </w:r>
      </w:hyperlink>
      <w:r w:rsidR="00EE0A2B">
        <w:fldChar w:fldCharType="end"/>
      </w:r>
    </w:p>
    <w:p w14:paraId="26B82FAD" w14:textId="77777777" w:rsidR="00723994" w:rsidRDefault="00D73605">
      <w:pPr>
        <w:pStyle w:val="TOC4"/>
        <w:tabs>
          <w:tab w:val="right" w:leader="dot" w:pos="10240"/>
        </w:tabs>
        <w:rPr>
          <w:rFonts w:ascii="Calibri" w:hAnsi="Calibri"/>
          <w:sz w:val="22"/>
        </w:rPr>
      </w:pPr>
      <w:hyperlink w:anchor="_Toc256000092" w:history="1">
        <w:r w:rsidR="00A77B3E">
          <w:rPr>
            <w:rStyle w:val="Hyperlink"/>
          </w:rPr>
          <w:t xml:space="preserve">Таблица 3: Индикативно разпределение </w:t>
        </w:r>
      </w:hyperlink>
      <w:r w:rsidR="00EE0A2B">
        <w:tab/>
      </w:r>
      <w:r w:rsidR="00EE0A2B">
        <w:fldChar w:fldCharType="begin"/>
      </w:r>
      <w:r w:rsidR="00EE0A2B">
        <w:instrText xml:space="preserve"> PAGEREF _Toc256000092 \h </w:instrText>
      </w:r>
      <w:r w:rsidR="00EE0A2B">
        <w:fldChar w:fldCharType="separate"/>
      </w:r>
      <w:hyperlink w:anchor="_Toc256000092" w:history="1">
        <w:r w:rsidR="00EE0A2B">
          <w:t>40</w:t>
        </w:r>
      </w:hyperlink>
      <w:r w:rsidR="00EE0A2B">
        <w:fldChar w:fldCharType="end"/>
      </w:r>
    </w:p>
    <w:p w14:paraId="0309BCEB" w14:textId="77777777" w:rsidR="00723994" w:rsidRDefault="00D73605">
      <w:pPr>
        <w:pStyle w:val="TOC2"/>
        <w:tabs>
          <w:tab w:val="right" w:leader="dot" w:pos="10240"/>
        </w:tabs>
        <w:rPr>
          <w:rFonts w:ascii="Calibri" w:hAnsi="Calibri"/>
          <w:sz w:val="22"/>
        </w:rPr>
      </w:pPr>
      <w:hyperlink w:anchor="_Toc256000093" w:history="1">
        <w:r w:rsidR="00A77B3E">
          <w:rPr>
            <w:rStyle w:val="Hyperlink"/>
            <w:rFonts w:ascii="TimesNewRoman" w:eastAsia="TimesNewRoman" w:hAnsi="TimesNewRoman" w:cs="TimesNewRoman"/>
          </w:rPr>
          <w:t xml:space="preserve">2.2. Техническа помощ: TA.36(5). Техническа помощ - фиксирана ставка (чл. 36(5) от CPR) </w:t>
        </w:r>
      </w:hyperlink>
      <w:r w:rsidR="00EE0A2B">
        <w:tab/>
      </w:r>
      <w:r w:rsidR="00EE0A2B">
        <w:fldChar w:fldCharType="begin"/>
      </w:r>
      <w:r w:rsidR="00EE0A2B">
        <w:instrText xml:space="preserve"> PAGEREF _Toc256000093 \h </w:instrText>
      </w:r>
      <w:r w:rsidR="00EE0A2B">
        <w:fldChar w:fldCharType="separate"/>
      </w:r>
      <w:hyperlink w:anchor="_Toc256000093" w:history="1">
        <w:r w:rsidR="00EE0A2B">
          <w:t>41</w:t>
        </w:r>
      </w:hyperlink>
      <w:r w:rsidR="00EE0A2B">
        <w:fldChar w:fldCharType="end"/>
      </w:r>
    </w:p>
    <w:p w14:paraId="27A13846" w14:textId="77777777" w:rsidR="00723994" w:rsidRDefault="00D73605">
      <w:pPr>
        <w:pStyle w:val="TOC3"/>
        <w:tabs>
          <w:tab w:val="right" w:leader="dot" w:pos="10240"/>
        </w:tabs>
        <w:rPr>
          <w:rFonts w:ascii="Calibri" w:hAnsi="Calibri"/>
          <w:sz w:val="22"/>
        </w:rPr>
      </w:pPr>
      <w:hyperlink w:anchor="_Toc256000094" w:history="1">
        <w:r w:rsidR="00A77B3E">
          <w:rPr>
            <w:rStyle w:val="Hyperlink"/>
            <w:rFonts w:ascii="TimesNewRoman" w:eastAsia="TimesNewRoman" w:hAnsi="TimesNewRoman" w:cs="TimesNewRoman"/>
          </w:rPr>
          <w:t xml:space="preserve">2.2.1. Описание </w:t>
        </w:r>
      </w:hyperlink>
      <w:r w:rsidR="00EE0A2B">
        <w:tab/>
      </w:r>
      <w:r w:rsidR="00EE0A2B">
        <w:fldChar w:fldCharType="begin"/>
      </w:r>
      <w:r w:rsidR="00EE0A2B">
        <w:instrText xml:space="preserve"> PAGEREF _Toc256000094 \h </w:instrText>
      </w:r>
      <w:r w:rsidR="00EE0A2B">
        <w:fldChar w:fldCharType="separate"/>
      </w:r>
      <w:hyperlink w:anchor="_Toc256000094" w:history="1">
        <w:r w:rsidR="00EE0A2B">
          <w:t>41</w:t>
        </w:r>
      </w:hyperlink>
      <w:r w:rsidR="00EE0A2B">
        <w:fldChar w:fldCharType="end"/>
      </w:r>
    </w:p>
    <w:p w14:paraId="6EF8920C" w14:textId="77777777" w:rsidR="00723994" w:rsidRDefault="00D73605">
      <w:pPr>
        <w:pStyle w:val="TOC3"/>
        <w:tabs>
          <w:tab w:val="right" w:leader="dot" w:pos="10240"/>
        </w:tabs>
        <w:rPr>
          <w:rFonts w:ascii="Calibri" w:hAnsi="Calibri"/>
          <w:sz w:val="22"/>
        </w:rPr>
      </w:pPr>
      <w:hyperlink w:anchor="_Toc256000095" w:history="1">
        <w:r w:rsidR="00A77B3E">
          <w:rPr>
            <w:rStyle w:val="Hyperlink"/>
          </w:rPr>
          <w:t xml:space="preserve">2.2.2. Индикативно разпределение на техническата помощ съгласно член 37 от CPR </w:t>
        </w:r>
      </w:hyperlink>
      <w:r w:rsidR="00EE0A2B">
        <w:tab/>
      </w:r>
      <w:r w:rsidR="00EE0A2B">
        <w:fldChar w:fldCharType="begin"/>
      </w:r>
      <w:r w:rsidR="00EE0A2B">
        <w:instrText xml:space="preserve"> PAGEREF _Toc256000095 \h </w:instrText>
      </w:r>
      <w:r w:rsidR="00EE0A2B">
        <w:fldChar w:fldCharType="separate"/>
      </w:r>
      <w:hyperlink w:anchor="_Toc256000095" w:history="1">
        <w:r w:rsidR="00EE0A2B">
          <w:t>42</w:t>
        </w:r>
      </w:hyperlink>
      <w:r w:rsidR="00EE0A2B">
        <w:fldChar w:fldCharType="end"/>
      </w:r>
    </w:p>
    <w:p w14:paraId="5107C52D" w14:textId="77777777" w:rsidR="00723994" w:rsidRDefault="00D73605">
      <w:pPr>
        <w:pStyle w:val="TOC4"/>
        <w:tabs>
          <w:tab w:val="right" w:leader="dot" w:pos="10240"/>
        </w:tabs>
        <w:rPr>
          <w:rFonts w:ascii="Calibri" w:hAnsi="Calibri"/>
          <w:sz w:val="22"/>
        </w:rPr>
      </w:pPr>
      <w:hyperlink w:anchor="_Toc256000096" w:history="1">
        <w:r w:rsidR="00A77B3E">
          <w:rPr>
            <w:rStyle w:val="Hyperlink"/>
          </w:rPr>
          <w:t xml:space="preserve">Таблица 4: Индикативно разпределение </w:t>
        </w:r>
      </w:hyperlink>
      <w:r w:rsidR="00EE0A2B">
        <w:tab/>
      </w:r>
      <w:r w:rsidR="00EE0A2B">
        <w:fldChar w:fldCharType="begin"/>
      </w:r>
      <w:r w:rsidR="00EE0A2B">
        <w:instrText xml:space="preserve"> PAGEREF _Toc256000096 \h </w:instrText>
      </w:r>
      <w:r w:rsidR="00EE0A2B">
        <w:fldChar w:fldCharType="separate"/>
      </w:r>
      <w:hyperlink w:anchor="_Toc256000096" w:history="1">
        <w:r w:rsidR="00EE0A2B">
          <w:t>42</w:t>
        </w:r>
      </w:hyperlink>
      <w:r w:rsidR="00EE0A2B">
        <w:fldChar w:fldCharType="end"/>
      </w:r>
    </w:p>
    <w:p w14:paraId="32244210" w14:textId="77777777" w:rsidR="00723994" w:rsidRDefault="00D73605">
      <w:pPr>
        <w:pStyle w:val="TOC1"/>
        <w:tabs>
          <w:tab w:val="right" w:leader="dot" w:pos="10240"/>
        </w:tabs>
        <w:rPr>
          <w:rFonts w:ascii="Calibri" w:hAnsi="Calibri"/>
          <w:sz w:val="22"/>
        </w:rPr>
      </w:pPr>
      <w:hyperlink w:anchor="_Toc256000097" w:history="1">
        <w:r w:rsidR="00A77B3E">
          <w:rPr>
            <w:rStyle w:val="Hyperlink"/>
          </w:rPr>
          <w:t xml:space="preserve">3. План за финансиране </w:t>
        </w:r>
      </w:hyperlink>
      <w:r w:rsidR="00EE0A2B">
        <w:tab/>
      </w:r>
      <w:r w:rsidR="00EE0A2B">
        <w:fldChar w:fldCharType="begin"/>
      </w:r>
      <w:r w:rsidR="00EE0A2B">
        <w:instrText xml:space="preserve"> PAGEREF _Toc256000097 \h </w:instrText>
      </w:r>
      <w:r w:rsidR="00EE0A2B">
        <w:fldChar w:fldCharType="separate"/>
      </w:r>
      <w:hyperlink w:anchor="_Toc256000097" w:history="1">
        <w:r w:rsidR="00EE0A2B">
          <w:t>43</w:t>
        </w:r>
      </w:hyperlink>
      <w:r w:rsidR="00EE0A2B">
        <w:fldChar w:fldCharType="end"/>
      </w:r>
    </w:p>
    <w:p w14:paraId="34073D2D" w14:textId="77777777" w:rsidR="00723994" w:rsidRDefault="00D73605">
      <w:pPr>
        <w:pStyle w:val="TOC2"/>
        <w:tabs>
          <w:tab w:val="right" w:leader="dot" w:pos="10240"/>
        </w:tabs>
        <w:rPr>
          <w:rFonts w:ascii="Calibri" w:hAnsi="Calibri"/>
          <w:sz w:val="22"/>
        </w:rPr>
      </w:pPr>
      <w:hyperlink w:anchor="_Toc256000098" w:history="1">
        <w:r w:rsidR="00A77B3E">
          <w:rPr>
            <w:rStyle w:val="Hyperlink"/>
            <w:rFonts w:ascii="TimesNewRoman" w:eastAsia="TimesNewRoman" w:hAnsi="TimesNewRoman" w:cs="TimesNewRoman"/>
          </w:rPr>
          <w:t xml:space="preserve">3.1. Финансови бюджетни кредити по </w:t>
        </w:r>
      </w:hyperlink>
      <w:r w:rsidR="00EE0A2B">
        <w:tab/>
      </w:r>
      <w:r w:rsidR="00EE0A2B">
        <w:fldChar w:fldCharType="begin"/>
      </w:r>
      <w:r w:rsidR="00EE0A2B">
        <w:instrText xml:space="preserve"> PAGEREF _Toc256000098 \h </w:instrText>
      </w:r>
      <w:r w:rsidR="00EE0A2B">
        <w:fldChar w:fldCharType="separate"/>
      </w:r>
      <w:hyperlink w:anchor="_Toc256000098" w:history="1">
        <w:r w:rsidR="00EE0A2B">
          <w:t>43-та година</w:t>
        </w:r>
      </w:hyperlink>
      <w:r w:rsidR="00EE0A2B">
        <w:fldChar w:fldCharType="end"/>
      </w:r>
    </w:p>
    <w:p w14:paraId="14C2A744" w14:textId="77777777" w:rsidR="00723994" w:rsidRDefault="00D73605">
      <w:pPr>
        <w:pStyle w:val="TOC4"/>
        <w:tabs>
          <w:tab w:val="right" w:leader="dot" w:pos="10240"/>
        </w:tabs>
        <w:rPr>
          <w:rFonts w:ascii="Calibri" w:hAnsi="Calibri"/>
          <w:sz w:val="22"/>
        </w:rPr>
      </w:pPr>
      <w:hyperlink w:anchor="_Toc256000099" w:history="1">
        <w:r w:rsidR="00A77B3E">
          <w:rPr>
            <w:rStyle w:val="Hyperlink"/>
            <w:rFonts w:ascii="TimesNewRoman" w:eastAsia="TimesNewRoman" w:hAnsi="TimesNewRoman" w:cs="TimesNewRoman"/>
          </w:rPr>
          <w:t xml:space="preserve">Таблица 5: Финансови бюджетни кредити по години </w:t>
        </w:r>
      </w:hyperlink>
      <w:r w:rsidR="00EE0A2B">
        <w:tab/>
      </w:r>
      <w:r w:rsidR="00EE0A2B">
        <w:fldChar w:fldCharType="begin"/>
      </w:r>
      <w:r w:rsidR="00EE0A2B">
        <w:instrText xml:space="preserve"> PAGEREF _Toc256000099 \h </w:instrText>
      </w:r>
      <w:r w:rsidR="00EE0A2B">
        <w:fldChar w:fldCharType="separate"/>
      </w:r>
      <w:hyperlink w:anchor="_Toc256000099" w:history="1">
        <w:r w:rsidR="00EE0A2B">
          <w:t>43</w:t>
        </w:r>
      </w:hyperlink>
      <w:r w:rsidR="00EE0A2B">
        <w:fldChar w:fldCharType="end"/>
      </w:r>
    </w:p>
    <w:p w14:paraId="0A978CDC" w14:textId="77777777" w:rsidR="00723994" w:rsidRDefault="00D73605">
      <w:pPr>
        <w:pStyle w:val="TOC2"/>
        <w:tabs>
          <w:tab w:val="right" w:leader="dot" w:pos="10240"/>
        </w:tabs>
        <w:rPr>
          <w:rFonts w:ascii="Calibri" w:hAnsi="Calibri"/>
          <w:sz w:val="22"/>
        </w:rPr>
      </w:pPr>
      <w:hyperlink w:anchor="_Toc256000100" w:history="1">
        <w:r w:rsidR="00A77B3E">
          <w:rPr>
            <w:rStyle w:val="Hyperlink"/>
            <w:rFonts w:ascii="TimesNewRoman" w:eastAsia="TimesNewRoman" w:hAnsi="TimesNewRoman" w:cs="TimesNewRoman"/>
          </w:rPr>
          <w:t xml:space="preserve">3.2. Общо финансови разпределения </w:t>
        </w:r>
      </w:hyperlink>
      <w:r w:rsidR="00EE0A2B">
        <w:tab/>
      </w:r>
      <w:r w:rsidR="00EE0A2B">
        <w:fldChar w:fldCharType="begin"/>
      </w:r>
      <w:r w:rsidR="00EE0A2B">
        <w:instrText xml:space="preserve"> PAGEREF _Toc256000100 \h </w:instrText>
      </w:r>
      <w:r w:rsidR="00EE0A2B">
        <w:fldChar w:fldCharType="separate"/>
      </w:r>
      <w:hyperlink w:anchor="_Toc256000100" w:history="1">
        <w:r w:rsidR="00EE0A2B">
          <w:t>44</w:t>
        </w:r>
      </w:hyperlink>
      <w:r w:rsidR="00EE0A2B">
        <w:fldChar w:fldCharType="end"/>
      </w:r>
    </w:p>
    <w:p w14:paraId="73038D64" w14:textId="77777777" w:rsidR="00723994" w:rsidRDefault="00D73605">
      <w:pPr>
        <w:pStyle w:val="TOC4"/>
        <w:tabs>
          <w:tab w:val="right" w:leader="dot" w:pos="10240"/>
        </w:tabs>
        <w:rPr>
          <w:rFonts w:ascii="Calibri" w:hAnsi="Calibri"/>
          <w:sz w:val="22"/>
        </w:rPr>
      </w:pPr>
      <w:hyperlink w:anchor="_Toc256000101" w:history="1">
        <w:r w:rsidR="00A77B3E">
          <w:rPr>
            <w:rStyle w:val="Hyperlink"/>
            <w:rFonts w:ascii="TimesNewRoman" w:eastAsia="TimesNewRoman" w:hAnsi="TimesNewRoman" w:cs="TimesNewRoman"/>
          </w:rPr>
          <w:t xml:space="preserve">Таблица 6: Общо финансови разпределения по фондове и национален принос </w:t>
        </w:r>
      </w:hyperlink>
      <w:r w:rsidR="00EE0A2B">
        <w:tab/>
      </w:r>
      <w:r w:rsidR="00EE0A2B">
        <w:fldChar w:fldCharType="begin"/>
      </w:r>
      <w:r w:rsidR="00EE0A2B">
        <w:instrText xml:space="preserve"> PAGEREF _Toc256000101 \h </w:instrText>
      </w:r>
      <w:r w:rsidR="00EE0A2B">
        <w:fldChar w:fldCharType="separate"/>
      </w:r>
      <w:hyperlink w:anchor="_Toc256000101" w:history="1">
        <w:r w:rsidR="00EE0A2B">
          <w:t>44</w:t>
        </w:r>
      </w:hyperlink>
      <w:r w:rsidR="00EE0A2B">
        <w:fldChar w:fldCharType="end"/>
      </w:r>
    </w:p>
    <w:p w14:paraId="6A541B61" w14:textId="77777777" w:rsidR="00723994" w:rsidRDefault="00D73605">
      <w:pPr>
        <w:pStyle w:val="TOC4"/>
        <w:tabs>
          <w:tab w:val="right" w:leader="dot" w:pos="10240"/>
        </w:tabs>
        <w:rPr>
          <w:rFonts w:ascii="Calibri" w:hAnsi="Calibri"/>
          <w:sz w:val="22"/>
        </w:rPr>
      </w:pPr>
      <w:hyperlink w:anchor="_Toc256000102" w:history="1">
        <w:r w:rsidR="00A77B3E">
          <w:rPr>
            <w:rStyle w:val="Hyperlink"/>
            <w:rFonts w:ascii="TimesNewRoman" w:eastAsia="TimesNewRoman" w:hAnsi="TimesNewRoman" w:cs="TimesNewRoman"/>
          </w:rPr>
          <w:t xml:space="preserve">Таблица 6А: План за обещания </w:t>
        </w:r>
      </w:hyperlink>
      <w:r w:rsidR="00EE0A2B">
        <w:tab/>
      </w:r>
      <w:r w:rsidR="00EE0A2B">
        <w:fldChar w:fldCharType="begin"/>
      </w:r>
      <w:r w:rsidR="00EE0A2B">
        <w:instrText xml:space="preserve"> PAGEREF _Toc256000102 \h </w:instrText>
      </w:r>
      <w:r w:rsidR="00EE0A2B">
        <w:fldChar w:fldCharType="separate"/>
      </w:r>
      <w:hyperlink w:anchor="_Toc256000102" w:history="1">
        <w:r w:rsidR="00EE0A2B">
          <w:t>46</w:t>
        </w:r>
      </w:hyperlink>
      <w:r w:rsidR="00EE0A2B">
        <w:fldChar w:fldCharType="end"/>
      </w:r>
    </w:p>
    <w:p w14:paraId="37AB415D" w14:textId="77777777" w:rsidR="00723994" w:rsidRDefault="00D73605">
      <w:pPr>
        <w:pStyle w:val="TOC2"/>
        <w:tabs>
          <w:tab w:val="right" w:leader="dot" w:pos="10240"/>
        </w:tabs>
        <w:rPr>
          <w:rFonts w:ascii="Calibri" w:hAnsi="Calibri"/>
          <w:sz w:val="22"/>
        </w:rPr>
      </w:pPr>
      <w:hyperlink w:anchor="_Toc256000103" w:history="1">
        <w:r w:rsidR="00A77B3E">
          <w:rPr>
            <w:rStyle w:val="Hyperlink"/>
            <w:rFonts w:ascii="TimesNewRoman" w:eastAsia="TimesNewRoman" w:hAnsi="TimesNewRoman" w:cs="TimesNewRoman"/>
          </w:rPr>
          <w:t xml:space="preserve">3.3. Трансфери </w:t>
        </w:r>
      </w:hyperlink>
      <w:r w:rsidR="00EE0A2B">
        <w:tab/>
      </w:r>
      <w:r w:rsidR="00EE0A2B">
        <w:fldChar w:fldCharType="begin"/>
      </w:r>
      <w:r w:rsidR="00EE0A2B">
        <w:instrText xml:space="preserve"> PAGEREF _Toc256000103 \h </w:instrText>
      </w:r>
      <w:r w:rsidR="00EE0A2B">
        <w:fldChar w:fldCharType="separate"/>
      </w:r>
      <w:hyperlink w:anchor="_Toc256000103" w:history="1">
        <w:r w:rsidR="00EE0A2B">
          <w:t>47</w:t>
        </w:r>
      </w:hyperlink>
      <w:r w:rsidR="00EE0A2B">
        <w:fldChar w:fldCharType="end"/>
      </w:r>
    </w:p>
    <w:p w14:paraId="3FF7608E" w14:textId="77777777" w:rsidR="00723994" w:rsidRDefault="00D73605">
      <w:pPr>
        <w:pStyle w:val="TOC1"/>
        <w:tabs>
          <w:tab w:val="right" w:leader="dot" w:pos="10240"/>
        </w:tabs>
        <w:rPr>
          <w:rFonts w:ascii="Calibri" w:hAnsi="Calibri"/>
          <w:sz w:val="22"/>
        </w:rPr>
      </w:pPr>
      <w:hyperlink w:anchor="_Toc256000104" w:history="1">
        <w:r w:rsidR="00A77B3E">
          <w:rPr>
            <w:rStyle w:val="Hyperlink"/>
          </w:rPr>
          <w:t xml:space="preserve">4. Благоприятстващи условия </w:t>
        </w:r>
      </w:hyperlink>
      <w:r w:rsidR="00EE0A2B">
        <w:tab/>
      </w:r>
      <w:r w:rsidR="00EE0A2B">
        <w:fldChar w:fldCharType="begin"/>
      </w:r>
      <w:r w:rsidR="00EE0A2B">
        <w:instrText xml:space="preserve"> PAGEREF _Toc256000104 \h </w:instrText>
      </w:r>
      <w:r w:rsidR="00EE0A2B">
        <w:fldChar w:fldCharType="separate"/>
      </w:r>
      <w:hyperlink w:anchor="_Toc256000104" w:history="1">
        <w:r w:rsidR="00EE0A2B">
          <w:t>49</w:t>
        </w:r>
      </w:hyperlink>
      <w:r w:rsidR="00EE0A2B">
        <w:fldChar w:fldCharType="end"/>
      </w:r>
    </w:p>
    <w:p w14:paraId="10400447" w14:textId="77777777" w:rsidR="00723994" w:rsidRDefault="00D73605">
      <w:pPr>
        <w:pStyle w:val="TOC2"/>
        <w:tabs>
          <w:tab w:val="right" w:leader="dot" w:pos="10240"/>
        </w:tabs>
        <w:rPr>
          <w:rFonts w:ascii="Calibri" w:hAnsi="Calibri"/>
          <w:sz w:val="22"/>
        </w:rPr>
      </w:pPr>
      <w:hyperlink w:anchor="_Toc256000105" w:history="1">
        <w:r w:rsidR="00A77B3E">
          <w:rPr>
            <w:rStyle w:val="Hyperlink"/>
          </w:rPr>
          <w:t xml:space="preserve">Таблица 9: Хоризонтални благоприятстващи условия </w:t>
        </w:r>
      </w:hyperlink>
      <w:r w:rsidR="00EE0A2B">
        <w:tab/>
      </w:r>
      <w:r w:rsidR="00EE0A2B">
        <w:fldChar w:fldCharType="begin"/>
      </w:r>
      <w:r w:rsidR="00EE0A2B">
        <w:instrText xml:space="preserve"> PAGEREF _Toc256000105 \h </w:instrText>
      </w:r>
      <w:r w:rsidR="00EE0A2B">
        <w:fldChar w:fldCharType="separate"/>
      </w:r>
      <w:hyperlink w:anchor="_Toc256000105" w:history="1">
        <w:r w:rsidR="00EE0A2B">
          <w:t>49</w:t>
        </w:r>
      </w:hyperlink>
      <w:r w:rsidR="00EE0A2B">
        <w:fldChar w:fldCharType="end"/>
      </w:r>
    </w:p>
    <w:p w14:paraId="02F0BF5C" w14:textId="77777777" w:rsidR="00723994" w:rsidRDefault="00D73605">
      <w:pPr>
        <w:pStyle w:val="TOC1"/>
        <w:tabs>
          <w:tab w:val="right" w:leader="dot" w:pos="10240"/>
        </w:tabs>
        <w:rPr>
          <w:rFonts w:ascii="Calibri" w:hAnsi="Calibri"/>
          <w:sz w:val="22"/>
        </w:rPr>
      </w:pPr>
      <w:hyperlink w:anchor="_Toc256000106" w:history="1">
        <w:r w:rsidR="00A77B3E">
          <w:rPr>
            <w:rStyle w:val="Hyperlink"/>
          </w:rPr>
          <w:t xml:space="preserve">5. Органи, отговарящи за програмата </w:t>
        </w:r>
      </w:hyperlink>
      <w:r w:rsidR="00EE0A2B">
        <w:tab/>
      </w:r>
      <w:r w:rsidR="00EE0A2B">
        <w:fldChar w:fldCharType="begin"/>
      </w:r>
      <w:r w:rsidR="00EE0A2B">
        <w:instrText xml:space="preserve"> PAGEREF _Toc256000106 \h </w:instrText>
      </w:r>
      <w:r w:rsidR="00EE0A2B">
        <w:fldChar w:fldCharType="separate"/>
      </w:r>
      <w:hyperlink w:anchor="_Toc256000106" w:history="1">
        <w:r w:rsidR="00EE0A2B">
          <w:t>55</w:t>
        </w:r>
      </w:hyperlink>
      <w:r w:rsidR="00EE0A2B">
        <w:fldChar w:fldCharType="end"/>
      </w:r>
    </w:p>
    <w:p w14:paraId="68E9DC4D" w14:textId="77777777" w:rsidR="00723994" w:rsidRDefault="00D73605">
      <w:pPr>
        <w:pStyle w:val="TOC2"/>
        <w:tabs>
          <w:tab w:val="right" w:leader="dot" w:pos="10240"/>
        </w:tabs>
        <w:rPr>
          <w:rFonts w:ascii="Calibri" w:hAnsi="Calibri"/>
          <w:sz w:val="22"/>
        </w:rPr>
      </w:pPr>
      <w:hyperlink w:anchor="_Toc256000107" w:history="1">
        <w:r w:rsidR="00A77B3E">
          <w:rPr>
            <w:rStyle w:val="Hyperlink"/>
          </w:rPr>
          <w:t xml:space="preserve">Таблица 10: Органи, отговорни за програмата </w:t>
        </w:r>
      </w:hyperlink>
      <w:r w:rsidR="00EE0A2B">
        <w:tab/>
      </w:r>
      <w:r w:rsidR="00EE0A2B">
        <w:fldChar w:fldCharType="begin"/>
      </w:r>
      <w:r w:rsidR="00EE0A2B">
        <w:instrText xml:space="preserve"> PAGEREF _Toc256000107 \h </w:instrText>
      </w:r>
      <w:r w:rsidR="00EE0A2B">
        <w:fldChar w:fldCharType="separate"/>
      </w:r>
      <w:hyperlink w:anchor="_Toc256000107" w:history="1">
        <w:r w:rsidR="00EE0A2B">
          <w:t>55</w:t>
        </w:r>
      </w:hyperlink>
      <w:r w:rsidR="00EE0A2B">
        <w:fldChar w:fldCharType="end"/>
      </w:r>
    </w:p>
    <w:p w14:paraId="6EB5526F" w14:textId="77777777" w:rsidR="00723994" w:rsidRDefault="00D73605">
      <w:pPr>
        <w:pStyle w:val="TOC1"/>
        <w:tabs>
          <w:tab w:val="right" w:leader="dot" w:pos="10240"/>
        </w:tabs>
        <w:rPr>
          <w:rFonts w:ascii="Calibri" w:hAnsi="Calibri"/>
          <w:sz w:val="22"/>
        </w:rPr>
      </w:pPr>
      <w:hyperlink w:anchor="_Toc256000108" w:history="1">
        <w:r w:rsidR="00A77B3E">
          <w:rPr>
            <w:rStyle w:val="Hyperlink"/>
          </w:rPr>
          <w:t xml:space="preserve">6. Партньорство </w:t>
        </w:r>
      </w:hyperlink>
      <w:r w:rsidR="00EE0A2B">
        <w:tab/>
      </w:r>
      <w:r w:rsidR="00EE0A2B">
        <w:fldChar w:fldCharType="begin"/>
      </w:r>
      <w:r w:rsidR="00EE0A2B">
        <w:instrText xml:space="preserve"> PAGEREF _Toc256000108 \h </w:instrText>
      </w:r>
      <w:r w:rsidR="00EE0A2B">
        <w:fldChar w:fldCharType="separate"/>
      </w:r>
      <w:hyperlink w:anchor="_Toc256000108" w:history="1">
        <w:r w:rsidR="00EE0A2B">
          <w:t>56</w:t>
        </w:r>
      </w:hyperlink>
      <w:r w:rsidR="00EE0A2B">
        <w:fldChar w:fldCharType="end"/>
      </w:r>
    </w:p>
    <w:p w14:paraId="3D2862B6" w14:textId="77777777" w:rsidR="00723994" w:rsidRDefault="00D73605">
      <w:pPr>
        <w:pStyle w:val="TOC1"/>
        <w:tabs>
          <w:tab w:val="right" w:leader="dot" w:pos="10240"/>
        </w:tabs>
        <w:rPr>
          <w:rFonts w:ascii="Calibri" w:hAnsi="Calibri"/>
          <w:sz w:val="22"/>
        </w:rPr>
      </w:pPr>
      <w:hyperlink w:anchor="_Toc256000109" w:history="1">
        <w:r w:rsidR="00A77B3E">
          <w:rPr>
            <w:rStyle w:val="Hyperlink"/>
          </w:rPr>
          <w:t xml:space="preserve">7. Комуникация и видимост </w:t>
        </w:r>
      </w:hyperlink>
      <w:r w:rsidR="00EE0A2B">
        <w:tab/>
      </w:r>
      <w:r w:rsidR="00EE0A2B">
        <w:fldChar w:fldCharType="begin"/>
      </w:r>
      <w:r w:rsidR="00EE0A2B">
        <w:instrText xml:space="preserve"> PAGEREF _Toc256000109 \h </w:instrText>
      </w:r>
      <w:r w:rsidR="00EE0A2B">
        <w:fldChar w:fldCharType="separate"/>
      </w:r>
      <w:hyperlink w:anchor="_Toc256000109" w:history="1">
        <w:r w:rsidR="00EE0A2B">
          <w:t>59</w:t>
        </w:r>
      </w:hyperlink>
      <w:r w:rsidR="00EE0A2B">
        <w:fldChar w:fldCharType="end"/>
      </w:r>
    </w:p>
    <w:p w14:paraId="515FB9A8" w14:textId="77777777" w:rsidR="00723994" w:rsidRDefault="00D73605">
      <w:pPr>
        <w:pStyle w:val="TOC1"/>
        <w:tabs>
          <w:tab w:val="right" w:leader="dot" w:pos="10240"/>
        </w:tabs>
        <w:rPr>
          <w:rFonts w:ascii="Calibri" w:hAnsi="Calibri"/>
          <w:sz w:val="22"/>
        </w:rPr>
      </w:pPr>
      <w:hyperlink w:anchor="_Toc256000110" w:history="1">
        <w:r w:rsidR="00A77B3E">
          <w:rPr>
            <w:rStyle w:val="Hyperlink"/>
          </w:rPr>
          <w:t xml:space="preserve">8. Използване на единични разходи, еднократни суми, фиксирани ставки и финансиране, което не е свързано с разходите </w:t>
        </w:r>
      </w:hyperlink>
      <w:r w:rsidR="00EE0A2B">
        <w:tab/>
      </w:r>
      <w:r w:rsidR="00EE0A2B">
        <w:fldChar w:fldCharType="begin"/>
      </w:r>
      <w:r w:rsidR="00EE0A2B">
        <w:instrText xml:space="preserve"> PAGEREF _Toc256000110 \h </w:instrText>
      </w:r>
      <w:r w:rsidR="00EE0A2B">
        <w:fldChar w:fldCharType="separate"/>
      </w:r>
      <w:hyperlink w:anchor="_Toc256000110" w:history="1">
        <w:r w:rsidR="00EE0A2B">
          <w:t>61</w:t>
        </w:r>
      </w:hyperlink>
      <w:r w:rsidR="00EE0A2B">
        <w:fldChar w:fldCharType="end"/>
      </w:r>
    </w:p>
    <w:p w14:paraId="60623E31" w14:textId="77777777" w:rsidR="00723994" w:rsidRDefault="00D73605">
      <w:pPr>
        <w:pStyle w:val="TOC1"/>
        <w:tabs>
          <w:tab w:val="right" w:leader="dot" w:pos="10240"/>
        </w:tabs>
        <w:rPr>
          <w:rFonts w:ascii="Calibri" w:hAnsi="Calibri"/>
          <w:sz w:val="22"/>
        </w:rPr>
      </w:pPr>
      <w:hyperlink w:anchor="_Toc256000111" w:history="1">
        <w:r w:rsidR="00A77B3E">
          <w:rPr>
            <w:rStyle w:val="Hyperlink"/>
          </w:rPr>
          <w:t xml:space="preserve">Приложение 1: Принос на Съюза въз основа на единични разходи, еднократни суми и фиксирани ставки </w:t>
        </w:r>
      </w:hyperlink>
      <w:r w:rsidR="00EE0A2B">
        <w:tab/>
      </w:r>
      <w:r w:rsidR="00EE0A2B">
        <w:fldChar w:fldCharType="begin"/>
      </w:r>
      <w:r w:rsidR="00EE0A2B">
        <w:instrText xml:space="preserve"> PAGEREF _Toc256000111 \h </w:instrText>
      </w:r>
      <w:r w:rsidR="00EE0A2B">
        <w:fldChar w:fldCharType="separate"/>
      </w:r>
      <w:hyperlink w:anchor="_Toc256000111" w:history="1">
        <w:r w:rsidR="00EE0A2B">
          <w:t>62</w:t>
        </w:r>
      </w:hyperlink>
      <w:r w:rsidR="00EE0A2B">
        <w:fldChar w:fldCharType="end"/>
      </w:r>
    </w:p>
    <w:p w14:paraId="33F8C7AD" w14:textId="77777777" w:rsidR="00723994" w:rsidRDefault="00D73605">
      <w:pPr>
        <w:pStyle w:val="TOC2"/>
        <w:tabs>
          <w:tab w:val="right" w:leader="dot" w:pos="10240"/>
        </w:tabs>
        <w:rPr>
          <w:rFonts w:ascii="Calibri" w:hAnsi="Calibri"/>
          <w:sz w:val="22"/>
        </w:rPr>
      </w:pPr>
      <w:hyperlink w:anchor="_Toc256000112" w:history="1">
        <w:r w:rsidR="00A77B3E">
          <w:rPr>
            <w:rStyle w:val="Hyperlink"/>
          </w:rPr>
          <w:t xml:space="preserve">А. Обобщение на основните елементи </w:t>
        </w:r>
      </w:hyperlink>
      <w:r w:rsidR="00EE0A2B">
        <w:tab/>
      </w:r>
      <w:r w:rsidR="00EE0A2B">
        <w:fldChar w:fldCharType="begin"/>
      </w:r>
      <w:r w:rsidR="00EE0A2B">
        <w:instrText xml:space="preserve"> PAGEREF _Toc256000112 \h </w:instrText>
      </w:r>
      <w:r w:rsidR="00EE0A2B">
        <w:fldChar w:fldCharType="separate"/>
      </w:r>
      <w:hyperlink w:anchor="_Toc256000112" w:history="1">
        <w:r w:rsidR="00EE0A2B">
          <w:t>62</w:t>
        </w:r>
      </w:hyperlink>
      <w:r w:rsidR="00EE0A2B">
        <w:fldChar w:fldCharType="end"/>
      </w:r>
    </w:p>
    <w:p w14:paraId="6A110492" w14:textId="77777777" w:rsidR="00723994" w:rsidRDefault="00D73605">
      <w:pPr>
        <w:pStyle w:val="TOC2"/>
        <w:tabs>
          <w:tab w:val="right" w:leader="dot" w:pos="10240"/>
        </w:tabs>
        <w:rPr>
          <w:rFonts w:ascii="Calibri" w:hAnsi="Calibri"/>
          <w:sz w:val="22"/>
        </w:rPr>
      </w:pPr>
      <w:hyperlink w:anchor="_Toc256000113" w:history="1">
        <w:r w:rsidR="00A77B3E">
          <w:rPr>
            <w:rStyle w:val="Hyperlink"/>
          </w:rPr>
          <w:t xml:space="preserve">Б. Подробности по вид операция </w:t>
        </w:r>
      </w:hyperlink>
      <w:r w:rsidR="00EE0A2B">
        <w:tab/>
      </w:r>
      <w:r w:rsidR="00EE0A2B">
        <w:fldChar w:fldCharType="begin"/>
      </w:r>
      <w:r w:rsidR="00EE0A2B">
        <w:instrText xml:space="preserve"> PAGEREF _Toc256000113 \h </w:instrText>
      </w:r>
      <w:r w:rsidR="00EE0A2B">
        <w:fldChar w:fldCharType="separate"/>
      </w:r>
      <w:hyperlink w:anchor="_Toc256000113" w:history="1">
        <w:r w:rsidR="00EE0A2B">
          <w:t>63</w:t>
        </w:r>
      </w:hyperlink>
      <w:r w:rsidR="00EE0A2B">
        <w:fldChar w:fldCharType="end"/>
      </w:r>
    </w:p>
    <w:p w14:paraId="29E9553E" w14:textId="77777777" w:rsidR="00723994" w:rsidRDefault="00D73605">
      <w:pPr>
        <w:pStyle w:val="TOC2"/>
        <w:tabs>
          <w:tab w:val="right" w:leader="dot" w:pos="10240"/>
        </w:tabs>
        <w:rPr>
          <w:rFonts w:ascii="Calibri" w:hAnsi="Calibri"/>
          <w:sz w:val="22"/>
        </w:rPr>
      </w:pPr>
      <w:hyperlink w:anchor="_Toc256000114" w:history="1">
        <w:r w:rsidR="00A77B3E">
          <w:rPr>
            <w:rStyle w:val="Hyperlink"/>
            <w:rFonts w:ascii="TimesNewRoman" w:eastAsia="TimesNewRoman" w:hAnsi="TimesNewRoman" w:cs="TimesNewRoman"/>
          </w:rPr>
          <w:t xml:space="preserve">В. Изчисляване на стандартната скала на единичните разходи, еднократните суми или фиксираните ставки </w:t>
        </w:r>
      </w:hyperlink>
      <w:r w:rsidR="00EE0A2B">
        <w:tab/>
      </w:r>
      <w:r w:rsidR="00EE0A2B">
        <w:fldChar w:fldCharType="begin"/>
      </w:r>
      <w:r w:rsidR="00EE0A2B">
        <w:instrText xml:space="preserve"> PAGEREF _Toc256000114 \h </w:instrText>
      </w:r>
      <w:r w:rsidR="00EE0A2B">
        <w:fldChar w:fldCharType="separate"/>
      </w:r>
      <w:hyperlink w:anchor="_Toc256000114" w:history="1">
        <w:r w:rsidR="00EE0A2B">
          <w:t>64</w:t>
        </w:r>
      </w:hyperlink>
      <w:r w:rsidR="00EE0A2B">
        <w:fldChar w:fldCharType="end"/>
      </w:r>
    </w:p>
    <w:p w14:paraId="7777FD31" w14:textId="77777777" w:rsidR="00723994" w:rsidRDefault="00D73605">
      <w:pPr>
        <w:pStyle w:val="TOC4"/>
        <w:tabs>
          <w:tab w:val="right" w:leader="dot" w:pos="10240"/>
        </w:tabs>
        <w:rPr>
          <w:rFonts w:ascii="Calibri" w:hAnsi="Calibri"/>
          <w:sz w:val="22"/>
        </w:rPr>
      </w:pPr>
      <w:hyperlink w:anchor="_Toc256000115" w:history="1">
        <w:r w:rsidR="00A77B3E">
          <w:rPr>
            <w:rStyle w:val="Hyperlink"/>
            <w:rFonts w:ascii="TimesNewRoman" w:eastAsia="TimesNewRoman" w:hAnsi="TimesNewRoman" w:cs="TimesNewRoman"/>
          </w:rPr>
          <w:t xml:space="preserve">1. Източник на данни, използвани за изчисляване на стандартната скала на единичните разходи, еднократните суми или фиксираните ставки (кой е изготвил, събрал и записал данните, къде се съхраняват данните, крайни срокове, валидиране и др.) </w:t>
        </w:r>
      </w:hyperlink>
      <w:r w:rsidR="00EE0A2B">
        <w:tab/>
      </w:r>
      <w:r w:rsidR="00EE0A2B">
        <w:fldChar w:fldCharType="begin"/>
      </w:r>
      <w:r w:rsidR="00EE0A2B">
        <w:instrText xml:space="preserve"> PAGEREF _Toc256000115 \h </w:instrText>
      </w:r>
      <w:r w:rsidR="00EE0A2B">
        <w:fldChar w:fldCharType="separate"/>
      </w:r>
      <w:hyperlink w:anchor="_Toc256000115" w:history="1">
        <w:r w:rsidR="00EE0A2B">
          <w:t>64</w:t>
        </w:r>
      </w:hyperlink>
      <w:r w:rsidR="00EE0A2B">
        <w:fldChar w:fldCharType="end"/>
      </w:r>
    </w:p>
    <w:p w14:paraId="5139408E" w14:textId="77777777" w:rsidR="00723994" w:rsidRDefault="00D73605">
      <w:pPr>
        <w:pStyle w:val="TOC4"/>
        <w:tabs>
          <w:tab w:val="right" w:leader="dot" w:pos="10240"/>
        </w:tabs>
        <w:rPr>
          <w:rFonts w:ascii="Calibri" w:hAnsi="Calibri"/>
          <w:sz w:val="22"/>
        </w:rPr>
      </w:pPr>
      <w:hyperlink w:anchor="_Toc256000116" w:history="1">
        <w:r w:rsidR="00A77B3E">
          <w:rPr>
            <w:rStyle w:val="Hyperlink"/>
          </w:rPr>
          <w:t xml:space="preserve">2. Моля, уточнете защо предложеният метод и изчисление, основани на член 94(2) от </w:t>
        </w:r>
        <w:r w:rsidR="00EE0A2B">
          <w:rPr>
            <w:rStyle w:val="Hyperlink"/>
            <w:lang w:val="bg-BG"/>
          </w:rPr>
          <w:t>РОР</w:t>
        </w:r>
        <w:r w:rsidR="00A77B3E">
          <w:rPr>
            <w:rStyle w:val="Hyperlink"/>
          </w:rPr>
          <w:t xml:space="preserve">, са от значение за вида операция. </w:t>
        </w:r>
      </w:hyperlink>
      <w:r w:rsidR="00EE0A2B">
        <w:tab/>
      </w:r>
      <w:r w:rsidR="00EE0A2B">
        <w:fldChar w:fldCharType="begin"/>
      </w:r>
      <w:r w:rsidR="00EE0A2B">
        <w:instrText xml:space="preserve"> PAGEREF _Toc256000116 \h </w:instrText>
      </w:r>
      <w:r w:rsidR="00EE0A2B">
        <w:fldChar w:fldCharType="separate"/>
      </w:r>
      <w:hyperlink w:anchor="_Toc256000116" w:history="1">
        <w:r w:rsidR="00EE0A2B">
          <w:t>65</w:t>
        </w:r>
      </w:hyperlink>
      <w:r w:rsidR="00EE0A2B">
        <w:fldChar w:fldCharType="end"/>
      </w:r>
    </w:p>
    <w:p w14:paraId="1C6E55E3" w14:textId="77777777" w:rsidR="00723994" w:rsidRDefault="00D73605">
      <w:pPr>
        <w:pStyle w:val="TOC4"/>
        <w:tabs>
          <w:tab w:val="right" w:leader="dot" w:pos="10240"/>
        </w:tabs>
        <w:rPr>
          <w:rFonts w:ascii="Calibri" w:hAnsi="Calibri"/>
          <w:sz w:val="22"/>
        </w:rPr>
      </w:pPr>
      <w:hyperlink w:anchor="_Toc256000117" w:history="1">
        <w:r w:rsidR="00A77B3E">
          <w:rPr>
            <w:rStyle w:val="Hyperlink"/>
          </w:rPr>
          <w:t xml:space="preserve">3. Моля, уточнете как са направени изчисленията, по-специално включително всички направени допускания по отношение на качеството или количествата. Когато е уместно, следва да се използват статистически данни и референтни показатели и, ако е поискано, да се предоставят във формат, който може да се използва от Комисията. </w:t>
        </w:r>
      </w:hyperlink>
      <w:r w:rsidR="00EE0A2B">
        <w:tab/>
      </w:r>
      <w:r w:rsidR="00EE0A2B">
        <w:fldChar w:fldCharType="begin"/>
      </w:r>
      <w:r w:rsidR="00EE0A2B">
        <w:instrText xml:space="preserve"> PAGEREF _Toc256000117 \h </w:instrText>
      </w:r>
      <w:r w:rsidR="00EE0A2B">
        <w:fldChar w:fldCharType="separate"/>
      </w:r>
      <w:hyperlink w:anchor="_Toc256000117" w:history="1">
        <w:r w:rsidR="00EE0A2B">
          <w:t>66</w:t>
        </w:r>
      </w:hyperlink>
      <w:r w:rsidR="00EE0A2B">
        <w:fldChar w:fldCharType="end"/>
      </w:r>
    </w:p>
    <w:p w14:paraId="4FE1B82F" w14:textId="77777777" w:rsidR="00723994" w:rsidRDefault="00D73605">
      <w:pPr>
        <w:pStyle w:val="TOC4"/>
        <w:tabs>
          <w:tab w:val="right" w:leader="dot" w:pos="10240"/>
        </w:tabs>
        <w:rPr>
          <w:rFonts w:ascii="Calibri" w:hAnsi="Calibri"/>
          <w:sz w:val="22"/>
        </w:rPr>
      </w:pPr>
      <w:hyperlink w:anchor="_Toc256000118" w:history="1">
        <w:r w:rsidR="00A77B3E">
          <w:rPr>
            <w:rStyle w:val="Hyperlink"/>
          </w:rPr>
          <w:t xml:space="preserve">4. Моля, обяснете как сте гарантирали, че само допустимите разходи са включени в изчисляването на стандартната скала за единични разходи, еднократната сума или фиксираната ставка. </w:t>
        </w:r>
      </w:hyperlink>
      <w:r w:rsidR="00EE0A2B">
        <w:tab/>
      </w:r>
      <w:r w:rsidR="00EE0A2B">
        <w:fldChar w:fldCharType="begin"/>
      </w:r>
      <w:r w:rsidR="00EE0A2B">
        <w:instrText xml:space="preserve"> PAGEREF _Toc256000118 \h </w:instrText>
      </w:r>
      <w:r w:rsidR="00EE0A2B">
        <w:fldChar w:fldCharType="separate"/>
      </w:r>
      <w:hyperlink w:anchor="_Toc256000118" w:history="1">
        <w:r w:rsidR="00EE0A2B">
          <w:t>67</w:t>
        </w:r>
      </w:hyperlink>
      <w:r w:rsidR="00EE0A2B">
        <w:fldChar w:fldCharType="end"/>
      </w:r>
    </w:p>
    <w:p w14:paraId="2163D14C" w14:textId="77777777" w:rsidR="00723994" w:rsidRDefault="00D73605">
      <w:pPr>
        <w:pStyle w:val="TOC4"/>
        <w:tabs>
          <w:tab w:val="right" w:leader="dot" w:pos="10240"/>
        </w:tabs>
        <w:rPr>
          <w:rFonts w:ascii="Calibri" w:hAnsi="Calibri"/>
          <w:sz w:val="22"/>
        </w:rPr>
      </w:pPr>
      <w:hyperlink w:anchor="_Toc256000119" w:history="1">
        <w:r w:rsidR="00A77B3E">
          <w:rPr>
            <w:rStyle w:val="Hyperlink"/>
          </w:rPr>
          <w:t xml:space="preserve">5. Оценка на одитния(ите) орган(и) на методологията за изчисление и сумите, както и на мерките за осигуряване на проверката, качеството, събирането и съхранението на данните. </w:t>
        </w:r>
      </w:hyperlink>
      <w:r w:rsidR="00EE0A2B">
        <w:tab/>
      </w:r>
      <w:r w:rsidR="00EE0A2B">
        <w:fldChar w:fldCharType="begin"/>
      </w:r>
      <w:r w:rsidR="00EE0A2B">
        <w:instrText xml:space="preserve"> PAGEREF _Toc256000119 \h </w:instrText>
      </w:r>
      <w:r w:rsidR="00EE0A2B">
        <w:fldChar w:fldCharType="separate"/>
      </w:r>
      <w:hyperlink w:anchor="_Toc256000119" w:history="1">
        <w:r w:rsidR="00EE0A2B">
          <w:t>68</w:t>
        </w:r>
      </w:hyperlink>
      <w:r w:rsidR="00EE0A2B">
        <w:fldChar w:fldCharType="end"/>
      </w:r>
    </w:p>
    <w:p w14:paraId="0D610B82" w14:textId="77777777" w:rsidR="00723994" w:rsidRDefault="00D73605">
      <w:pPr>
        <w:pStyle w:val="TOC1"/>
        <w:tabs>
          <w:tab w:val="right" w:leader="dot" w:pos="10240"/>
        </w:tabs>
        <w:rPr>
          <w:rFonts w:ascii="Calibri" w:hAnsi="Calibri"/>
          <w:sz w:val="22"/>
        </w:rPr>
      </w:pPr>
      <w:hyperlink w:anchor="_Toc256000120" w:history="1">
        <w:r w:rsidR="00A77B3E">
          <w:rPr>
            <w:rStyle w:val="Hyperlink"/>
          </w:rPr>
          <w:t xml:space="preserve">Приложение 2: Принос на Съюза въз основа на финансиране, което не е свързано с разходи </w:t>
        </w:r>
      </w:hyperlink>
      <w:r w:rsidR="00EE0A2B">
        <w:tab/>
      </w:r>
      <w:r w:rsidR="00EE0A2B">
        <w:fldChar w:fldCharType="begin"/>
      </w:r>
      <w:r w:rsidR="00EE0A2B">
        <w:instrText xml:space="preserve"> PAGEREF _Toc256000120 \h </w:instrText>
      </w:r>
      <w:r w:rsidR="00EE0A2B">
        <w:fldChar w:fldCharType="separate"/>
      </w:r>
      <w:hyperlink w:anchor="_Toc256000120" w:history="1">
        <w:r w:rsidR="00EE0A2B">
          <w:t>69</w:t>
        </w:r>
      </w:hyperlink>
      <w:r w:rsidR="00EE0A2B">
        <w:fldChar w:fldCharType="end"/>
      </w:r>
    </w:p>
    <w:p w14:paraId="5F0324DC" w14:textId="77777777" w:rsidR="00723994" w:rsidRDefault="00D73605">
      <w:pPr>
        <w:pStyle w:val="TOC2"/>
        <w:tabs>
          <w:tab w:val="right" w:leader="dot" w:pos="10240"/>
        </w:tabs>
        <w:rPr>
          <w:rFonts w:ascii="Calibri" w:hAnsi="Calibri"/>
          <w:sz w:val="22"/>
        </w:rPr>
      </w:pPr>
      <w:hyperlink w:anchor="_Toc256000121" w:history="1">
        <w:r w:rsidR="00A77B3E">
          <w:rPr>
            <w:rStyle w:val="Hyperlink"/>
          </w:rPr>
          <w:t xml:space="preserve">А. Обобщение на основните елементи </w:t>
        </w:r>
      </w:hyperlink>
      <w:r w:rsidR="00EE0A2B">
        <w:tab/>
      </w:r>
      <w:r w:rsidR="00EE0A2B">
        <w:fldChar w:fldCharType="begin"/>
      </w:r>
      <w:r w:rsidR="00EE0A2B">
        <w:instrText xml:space="preserve"> PAGEREF _Toc256000121 \h </w:instrText>
      </w:r>
      <w:r w:rsidR="00EE0A2B">
        <w:fldChar w:fldCharType="separate"/>
      </w:r>
      <w:hyperlink w:anchor="_Toc256000121" w:history="1">
        <w:r w:rsidR="00EE0A2B">
          <w:t>69</w:t>
        </w:r>
      </w:hyperlink>
      <w:r w:rsidR="00EE0A2B">
        <w:fldChar w:fldCharType="end"/>
      </w:r>
    </w:p>
    <w:p w14:paraId="16A9F353" w14:textId="77777777" w:rsidR="00723994" w:rsidRDefault="00D73605">
      <w:pPr>
        <w:pStyle w:val="TOC2"/>
        <w:tabs>
          <w:tab w:val="right" w:leader="dot" w:pos="10240"/>
        </w:tabs>
        <w:rPr>
          <w:rFonts w:ascii="Calibri" w:hAnsi="Calibri"/>
          <w:sz w:val="22"/>
        </w:rPr>
      </w:pPr>
      <w:hyperlink w:anchor="_Toc256000122" w:history="1">
        <w:r w:rsidR="00A77B3E">
          <w:rPr>
            <w:rStyle w:val="Hyperlink"/>
            <w:rFonts w:ascii="TimesNewRoman" w:eastAsia="TimesNewRoman" w:hAnsi="TimesNewRoman" w:cs="TimesNewRoman"/>
          </w:rPr>
          <w:t xml:space="preserve">Б. Подробности по вид операция </w:t>
        </w:r>
      </w:hyperlink>
      <w:r w:rsidR="00EE0A2B">
        <w:tab/>
      </w:r>
      <w:r w:rsidR="00EE0A2B">
        <w:fldChar w:fldCharType="begin"/>
      </w:r>
      <w:r w:rsidR="00EE0A2B">
        <w:instrText xml:space="preserve"> PAGEREF _Toc256000122 \h </w:instrText>
      </w:r>
      <w:r w:rsidR="00EE0A2B">
        <w:fldChar w:fldCharType="separate"/>
      </w:r>
      <w:hyperlink w:anchor="_Toc256000122" w:history="1">
        <w:r w:rsidR="00EE0A2B">
          <w:t>70</w:t>
        </w:r>
      </w:hyperlink>
      <w:r w:rsidR="00EE0A2B">
        <w:fldChar w:fldCharType="end"/>
      </w:r>
    </w:p>
    <w:p w14:paraId="10E8841B" w14:textId="77777777" w:rsidR="00723994" w:rsidRDefault="00D73605">
      <w:pPr>
        <w:pStyle w:val="TOC1"/>
        <w:tabs>
          <w:tab w:val="right" w:leader="dot" w:pos="10240"/>
        </w:tabs>
        <w:rPr>
          <w:rFonts w:ascii="Calibri" w:hAnsi="Calibri"/>
          <w:sz w:val="22"/>
        </w:rPr>
      </w:pPr>
      <w:hyperlink w:anchor="_Toc256000123" w:history="1">
        <w:r w:rsidR="00A77B3E">
          <w:rPr>
            <w:rStyle w:val="Hyperlink"/>
            <w:rFonts w:ascii="TimesNewRoman" w:eastAsia="TimesNewRoman" w:hAnsi="TimesNewRoman" w:cs="TimesNewRoman"/>
          </w:rPr>
          <w:t xml:space="preserve">Приложение 3 </w:t>
        </w:r>
      </w:hyperlink>
      <w:r w:rsidR="00EE0A2B">
        <w:tab/>
      </w:r>
      <w:r w:rsidR="00EE0A2B">
        <w:fldChar w:fldCharType="begin"/>
      </w:r>
      <w:r w:rsidR="00EE0A2B">
        <w:instrText xml:space="preserve"> PAGEREF _Toc256000123 \h </w:instrText>
      </w:r>
      <w:r w:rsidR="00EE0A2B">
        <w:fldChar w:fldCharType="separate"/>
      </w:r>
      <w:hyperlink w:anchor="_Toc256000123" w:history="1">
        <w:r w:rsidR="00EE0A2B">
          <w:t>71</w:t>
        </w:r>
      </w:hyperlink>
      <w:r w:rsidR="00EE0A2B">
        <w:fldChar w:fldCharType="end"/>
      </w:r>
    </w:p>
    <w:p w14:paraId="4320C831" w14:textId="77777777" w:rsidR="00723994" w:rsidRDefault="00D73605">
      <w:pPr>
        <w:pStyle w:val="TOC2"/>
        <w:tabs>
          <w:tab w:val="right" w:leader="dot" w:pos="10240"/>
        </w:tabs>
        <w:rPr>
          <w:rFonts w:ascii="Calibri" w:hAnsi="Calibri"/>
          <w:sz w:val="22"/>
        </w:rPr>
      </w:pPr>
      <w:hyperlink w:anchor="_Toc256000124" w:history="1">
        <w:r w:rsidR="00A77B3E">
          <w:rPr>
            <w:rStyle w:val="Hyperlink"/>
            <w:rFonts w:ascii="TimesNewRoman" w:eastAsia="TimesNewRoman" w:hAnsi="TimesNewRoman" w:cs="TimesNewRoman"/>
          </w:rPr>
          <w:t xml:space="preserve">Тематичен механизъм (член 11 от Регламента за ФУМИ, член 8 от Регламента за </w:t>
        </w:r>
        <w:r w:rsidR="00EE0A2B">
          <w:rPr>
            <w:rStyle w:val="Hyperlink"/>
            <w:rFonts w:ascii="TimesNewRoman" w:eastAsia="TimesNewRoman" w:hAnsi="TimesNewRoman" w:cs="TimesNewRoman"/>
            <w:lang w:val="bg-BG"/>
          </w:rPr>
          <w:t>ИУГВП</w:t>
        </w:r>
        <w:r w:rsidR="00A77B3E">
          <w:rPr>
            <w:rStyle w:val="Hyperlink"/>
            <w:rFonts w:ascii="TimesNewRoman" w:eastAsia="TimesNewRoman" w:hAnsi="TimesNewRoman" w:cs="TimesNewRoman"/>
          </w:rPr>
          <w:t xml:space="preserve">, член 8 от Регламента за </w:t>
        </w:r>
        <w:r w:rsidR="00EE0A2B">
          <w:rPr>
            <w:rStyle w:val="Hyperlink"/>
            <w:rFonts w:ascii="TimesNewRoman" w:eastAsia="TimesNewRoman" w:hAnsi="TimesNewRoman" w:cs="TimesNewRoman"/>
            <w:lang w:val="bg-BG"/>
          </w:rPr>
          <w:t>ФВС</w:t>
        </w:r>
        <w:r w:rsidR="00A77B3E">
          <w:rPr>
            <w:rStyle w:val="Hyperlink"/>
            <w:rFonts w:ascii="TimesNewRoman" w:eastAsia="TimesNewRoman" w:hAnsi="TimesNewRoman" w:cs="TimesNewRoman"/>
          </w:rPr>
          <w:t xml:space="preserve">) </w:t>
        </w:r>
      </w:hyperlink>
      <w:r w:rsidR="00EE0A2B">
        <w:tab/>
      </w:r>
      <w:r w:rsidR="00EE0A2B">
        <w:fldChar w:fldCharType="begin"/>
      </w:r>
      <w:r w:rsidR="00EE0A2B">
        <w:instrText xml:space="preserve"> PAGEREF _Toc256000124 \h </w:instrText>
      </w:r>
      <w:r w:rsidR="00EE0A2B">
        <w:fldChar w:fldCharType="separate"/>
      </w:r>
      <w:hyperlink w:anchor="_Toc256000124" w:history="1">
        <w:r w:rsidR="00EE0A2B">
          <w:t>71</w:t>
        </w:r>
      </w:hyperlink>
      <w:r w:rsidR="00EE0A2B">
        <w:fldChar w:fldCharType="end"/>
      </w:r>
    </w:p>
    <w:p w14:paraId="5BACC51C" w14:textId="77777777" w:rsidR="00723994" w:rsidRDefault="00D73605">
      <w:pPr>
        <w:pStyle w:val="TOC1"/>
        <w:tabs>
          <w:tab w:val="right" w:leader="dot" w:pos="10240"/>
        </w:tabs>
        <w:rPr>
          <w:rFonts w:ascii="Calibri" w:hAnsi="Calibri"/>
          <w:sz w:val="22"/>
        </w:rPr>
      </w:pPr>
      <w:hyperlink w:anchor="_Toc256000125" w:history="1">
        <w:r w:rsidR="00A77B3E">
          <w:rPr>
            <w:rStyle w:val="Hyperlink"/>
            <w:rFonts w:ascii="TimesNewRoman" w:eastAsia="TimesNewRoman" w:hAnsi="TimesNewRoman" w:cs="TimesNewRoman"/>
          </w:rPr>
          <w:t xml:space="preserve">ДОКУМЕНТИ </w:t>
        </w:r>
      </w:hyperlink>
      <w:r w:rsidR="00EE0A2B">
        <w:tab/>
      </w:r>
      <w:r w:rsidR="00EE0A2B">
        <w:fldChar w:fldCharType="begin"/>
      </w:r>
      <w:r w:rsidR="00EE0A2B">
        <w:instrText xml:space="preserve"> PAGEREF _Toc256000125 \h </w:instrText>
      </w:r>
      <w:r w:rsidR="00EE0A2B">
        <w:fldChar w:fldCharType="separate"/>
      </w:r>
      <w:hyperlink w:anchor="_Toc256000125" w:history="1">
        <w:r w:rsidR="00EE0A2B">
          <w:t>74</w:t>
        </w:r>
      </w:hyperlink>
      <w:r w:rsidR="00EE0A2B">
        <w:fldChar w:fldCharType="end"/>
      </w:r>
    </w:p>
    <w:p w14:paraId="0E129DB0" w14:textId="77777777" w:rsidR="00A77B3E" w:rsidRDefault="00EE0A2B">
      <w:pPr>
        <w:pStyle w:val="Heading1"/>
        <w:rPr>
          <w:rFonts w:ascii="Times New Roman" w:hAnsi="Times New Roman" w:cs="Times New Roman"/>
          <w:b w:val="0"/>
          <w:color w:val="000000"/>
          <w:sz w:val="24"/>
        </w:rPr>
      </w:pPr>
      <w:r>
        <w:rPr>
          <w:rFonts w:ascii="Times New Roman" w:hAnsi="Times New Roman" w:cs="Times New Roman"/>
          <w:b w:val="0"/>
          <w:color w:val="000000"/>
          <w:sz w:val="24"/>
        </w:rPr>
        <w:fldChar w:fldCharType="end"/>
      </w:r>
      <w:r>
        <w:rPr>
          <w:rFonts w:ascii="Times New Roman" w:hAnsi="Times New Roman" w:cs="Times New Roman"/>
          <w:b w:val="0"/>
          <w:color w:val="000000"/>
          <w:sz w:val="24"/>
        </w:rPr>
        <w:br w:type="page"/>
      </w:r>
      <w:bookmarkStart w:id="0" w:name="_Toc256000063"/>
      <w:r>
        <w:rPr>
          <w:rFonts w:ascii="Times New Roman" w:hAnsi="Times New Roman" w:cs="Times New Roman"/>
          <w:b w:val="0"/>
          <w:color w:val="000000"/>
          <w:sz w:val="24"/>
        </w:rPr>
        <w:lastRenderedPageBreak/>
        <w:t>1. Стратегия на програмата: основни предизвикателства и политически отговори</w:t>
      </w:r>
      <w:bookmarkEnd w:id="0"/>
    </w:p>
    <w:p w14:paraId="7B382C98" w14:textId="77777777" w:rsidR="00A77B3E" w:rsidRDefault="00EE0A2B">
      <w:pPr>
        <w:rPr>
          <w:color w:val="000000"/>
          <w:sz w:val="16"/>
        </w:rPr>
      </w:pPr>
      <w:r>
        <w:rPr>
          <w:color w:val="000000"/>
        </w:rPr>
        <w:t>Позоваване: букви (a)(iii), (iv), (v) и (ix) Член 22(3) от Регламент (ЕС) 2021/1060 (РОР)</w:t>
      </w:r>
    </w:p>
    <w:p w14:paraId="3513C43F" w14:textId="77777777" w:rsidR="00A77B3E" w:rsidRDefault="00A77B3E">
      <w:pPr>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723994" w14:paraId="0FFF3F32" w14:textId="77777777">
        <w:trPr>
          <w:trHeight w:val="240"/>
        </w:trPr>
        <w:tc>
          <w:tcPr>
            <w:tcW w:w="5000" w:type="pct"/>
            <w:tcBorders>
              <w:top w:val="single" w:sz="4" w:space="0" w:color="auto"/>
              <w:left w:val="single" w:sz="4" w:space="0" w:color="auto"/>
              <w:bottom w:val="single" w:sz="4" w:space="0" w:color="auto"/>
              <w:right w:val="single" w:sz="4" w:space="0" w:color="auto"/>
            </w:tcBorders>
            <w:tcMar>
              <w:left w:w="100" w:type="dxa"/>
              <w:right w:w="100" w:type="dxa"/>
            </w:tcMar>
          </w:tcPr>
          <w:p w14:paraId="525C76A2" w14:textId="77777777" w:rsidR="00A77B3E" w:rsidRDefault="00A77B3E">
            <w:pPr>
              <w:rPr>
                <w:color w:val="000000"/>
                <w:sz w:val="0"/>
              </w:rPr>
            </w:pPr>
          </w:p>
          <w:p w14:paraId="40400536" w14:textId="77777777" w:rsidR="00A77B3E" w:rsidRDefault="00EE0A2B">
            <w:pPr>
              <w:rPr>
                <w:color w:val="000000"/>
              </w:rPr>
            </w:pPr>
            <w:r>
              <w:rPr>
                <w:color w:val="000000"/>
              </w:rPr>
              <w:t>От 2013 г. насам продължаващите конфликти в Близкия изток създават постоянен миграционен натиск върху Европа и по-специално върху България, предвид специфичното ѝ географско положение на външните граници на ЕС.</w:t>
            </w:r>
          </w:p>
          <w:p w14:paraId="7314B2B8" w14:textId="77777777" w:rsidR="00A77B3E" w:rsidRDefault="00EE0A2B">
            <w:pPr>
              <w:rPr>
                <w:color w:val="000000"/>
              </w:rPr>
            </w:pPr>
            <w:r>
              <w:rPr>
                <w:color w:val="000000"/>
              </w:rPr>
              <w:t>Общо 3 487 нелегални мигранти са били задържани през 2020 г. от българските власти. Това е увеличение с 59,7% в сравнение със същия период на 2019 г. (2 184). През 2018 г. в България са подадени общо 2 536 молби за международна закрила, през 2019 г. – общо 2 152 молби, а през 2020 г. – общо 3 525 молби. Общо 1736 (49%) от тези кандидати са граждани на Афганистан, 1089 (31%) – граждани на Сирия, 239 (7%) – граждани на Ирак, 114 (3%) – граждани на Мароко и 85 (2%) – граждани на Пакистан. Тенденцията за увеличаване на броя на молбите за международна закрила се запазва и през 2021 г.</w:t>
            </w:r>
          </w:p>
          <w:p w14:paraId="7C192F55" w14:textId="77777777" w:rsidR="00A77B3E" w:rsidRDefault="00EE0A2B">
            <w:pPr>
              <w:rPr>
                <w:color w:val="000000"/>
              </w:rPr>
            </w:pPr>
            <w:r>
              <w:rPr>
                <w:color w:val="000000"/>
              </w:rPr>
              <w:t>През 2022 г., поради ситуацията в Украйна, ЕС се сблъска с масов приток на разселени лица от Украйна, които не могат да се завърнат в страната си на произход. Мащабът на притока представлява ясен риск, че системите за убежище на държавите членки няма да могат да обработват пристигащите. ЕС прие Решение за изпълнение (ЕС) 2022/382 на Съвета по смисъла на чл. 5 от Директива 2001/55/ЕО, с което се въвежда временна закрила. На национално ниво беше прието Решение № 144 от 10 март 2022 г. на Министерския съвет за предоставяне на временна закрила на лица, разселени от Украйна, и за изменение на Националния план за действие. Решението впоследствие беше изменено през 2023, 2024 и 2025 г., за да се удължи срокът на временната закрила.</w:t>
            </w:r>
          </w:p>
          <w:p w14:paraId="6D39BEB2" w14:textId="77777777" w:rsidR="00A77B3E" w:rsidRDefault="00EE0A2B">
            <w:pPr>
              <w:rPr>
                <w:color w:val="000000"/>
              </w:rPr>
            </w:pPr>
            <w:r>
              <w:rPr>
                <w:color w:val="000000"/>
              </w:rPr>
              <w:t>България е изправена пред предизвикателството да гарантира функционирането на системата за убежище в случай на непропорционален натиск върху границите си. През 2014 г. беше приета и внедрена Националната стратегия за миграция, убежище и интеграция. През 2015 г. тя беше актуализирана за периода до 2020 г. През 2021 г. беше приета нова стратегия за периода до 2025 г. С Решение на Министерския съвет през 2025 г. беше приета Националната стратегия за управление на миграцията и убежището 2025-2030 г. Стратегията е разработена в отговор на нарастващата нужда от устойчив, ефективен и координиран подход в динамична миграционна среда и завишените очаквания от ЕС. Документът се основава на изискванията, произтичащи от Пакта на ЕС за миграцията и убежището, установяващ всеобхватна рамка за управление на миграцията в ЕС, основана на споделена отговорност, процедурна ефективност, връщане и солидарност между държавите членки. Новият стратегически документ определя прилагането на процедурите за връщане като ключов компонент в управлението на миграцията. Акцентът е поставен върху необходимостта от подобряване на националната система за връщане чрез повишаване на капацитета за насърчаване на доброволното връщане, включително чрез създаването на мрежа от консултанти по връщане и предоставянето на финансови стимули. Последните мерки са част от проект за специфични действия, включен в програмата ФУМИ през 2025 г.</w:t>
            </w:r>
          </w:p>
          <w:p w14:paraId="5B55A561" w14:textId="77777777" w:rsidR="00A77B3E" w:rsidRDefault="00EE0A2B">
            <w:pPr>
              <w:rPr>
                <w:color w:val="000000"/>
              </w:rPr>
            </w:pPr>
            <w:r>
              <w:rPr>
                <w:color w:val="000000"/>
              </w:rPr>
              <w:t>България е увеличила капацитета за прием и непрекъснато поддържа и подобрява условията за настаняване и процедурата за международна закрила. По време на процедурата по разглеждане на молбите за международна закрила се прилагат мерки за първоначална адаптация. Специално внимание се обръща на уязвимите лица, като се отчитат специфичните им нужди.</w:t>
            </w:r>
          </w:p>
          <w:p w14:paraId="7FB657AC" w14:textId="77777777" w:rsidR="00A77B3E" w:rsidRDefault="00EE0A2B">
            <w:pPr>
              <w:rPr>
                <w:color w:val="000000"/>
              </w:rPr>
            </w:pPr>
            <w:r>
              <w:rPr>
                <w:color w:val="000000"/>
              </w:rPr>
              <w:t xml:space="preserve">През 2021 г., въпреки продължаващата епидемична обстановка, свързана с разпространението на COVID-19, на територията на Република България се наблюдава осезаемо увеличение на броя на молбите за международна закрила, подадени от граждани на трети държави и лица без гражданство. Общият брой на лицата, подали молби за закрила през първата половина на 2021 г., е 2277 - пет пъти повече отколкото през същия период на 2020 г. (390 молби). През втората половина на годината е регистрирано значително увеличение, като до края на отчетния период са подадени общо 10 999 молби - с 212% повече отколкото през 2020 г. (3525). Прави впечатление, че 80% от всички молби за международна закрила през 2021 г. са подадени през втората половина на годината. Най-голям дял от молбите са от граждани на Афганистан - 55% (6026), Сирия - 34% (3758), Ирак - 4% (479) и Пакистан - 2% (173). През периода 2020–2021 г. се наблюдава забележимо увеличение на броя на подадените заявления от марокански граждани — 114 през 2020 г. (3%) и 206 през 2021 г. (2%), в сравнение с едва 40 марокански граждани, </w:t>
            </w:r>
            <w:r>
              <w:rPr>
                <w:color w:val="000000"/>
              </w:rPr>
              <w:lastRenderedPageBreak/>
              <w:t>регистрирани през предходните четири години (2015–2019 г.). В края на 2020 г. броят на лицата в процедура е със 71% по-нисък (2201). Процентът на заетост на приемните центрове достигна 45–48% през ноември и декември — ниво, ненаблюдавано от есента на 2016 г. Към 31 декември 2021 г. в процедура са били 7556 лица, като по-голямата част от тях са граждани на Афганистан (60%), Сирия (31%) и Ирак (3%).</w:t>
            </w:r>
          </w:p>
          <w:p w14:paraId="114E4EBC" w14:textId="77777777" w:rsidR="00A77B3E" w:rsidRDefault="00EE0A2B">
            <w:pPr>
              <w:rPr>
                <w:color w:val="000000"/>
              </w:rPr>
            </w:pPr>
            <w:r>
              <w:rPr>
                <w:color w:val="000000"/>
              </w:rPr>
              <w:t>През 2021 г. са регистрирани общо 3172 непридружени непълнолетни, което представлява 29% от всички подадени заявления през годината. Повечето от тях са граждани на Афганистан (82% или 2603 заявления) и Сирия (15% или 463). За сравнение, през 2020 г. са регистрирани 799 непридружени непълнолетни (23% от общия брой заявления за периода).</w:t>
            </w:r>
          </w:p>
          <w:p w14:paraId="042F2F7C" w14:textId="77777777" w:rsidR="00A77B3E" w:rsidRDefault="00EE0A2B">
            <w:pPr>
              <w:rPr>
                <w:color w:val="000000"/>
              </w:rPr>
            </w:pPr>
            <w:r>
              <w:rPr>
                <w:color w:val="000000"/>
              </w:rPr>
              <w:t>През 2022 г., въпреки продължаващата извънредна ситуация, причинена от пандемията от COVID-19, Република България отбеляза рекордно увеличение на броя на молбите за международна закрила, подадени от граждани на трети държави и лица без гражданство. Общият им брой достигна 20 407, близо два пъти повече отколкото през 2021 г. (10 999). Това представлява най-големият брой молби за убежище от създаването на Държавната агенция за бежанците (ДАБ); предишният пик беше регистриран през 2015 г. (20 391 молби). Най-голям дял от молбите през 2022 г. са подадени от граждани на Сирия – 42% (8 598), Афганистан – 35% (7 164), Мароко – 8% (1 721), Украйна – 6% (1 313) и Ирак – 3% (656).</w:t>
            </w:r>
          </w:p>
          <w:p w14:paraId="213D4978" w14:textId="77777777" w:rsidR="00A77B3E" w:rsidRDefault="00EE0A2B">
            <w:pPr>
              <w:rPr>
                <w:color w:val="000000"/>
              </w:rPr>
            </w:pPr>
            <w:r>
              <w:rPr>
                <w:color w:val="000000"/>
              </w:rPr>
              <w:t>Между 2021 и 2022 г. се наблюдава значително увеличение на заявленията, подадени от марокански граждани. Традиционно високопоставени държави като Ирак и Пакистан бяха изместени от големия брой заявления, подадени от украински граждани.</w:t>
            </w:r>
          </w:p>
          <w:p w14:paraId="47383485" w14:textId="77777777" w:rsidR="00A77B3E" w:rsidRDefault="00EE0A2B">
            <w:pPr>
              <w:rPr>
                <w:color w:val="000000"/>
              </w:rPr>
            </w:pPr>
            <w:r>
              <w:rPr>
                <w:color w:val="000000"/>
              </w:rPr>
              <w:t>Към края на 2022 г. в процедура са били 11 185 лица, което е 1,5 пъти повече, отколкото в края на 2021 г. (7 556). По-голямата част от тях са били граждани на Афганистан, Сирия и Мароко. Между юни и декември 2022 г. са подадени 11 567 заявления, докато броят на лицата в процедура в края на декември е останал около 11 000. Към 31 март 2022 г. от ДАБ са издадени 732 решения за международна закрила; към 31 декември 2022 г. броят им е достигнал 18 880. В края на 2022 г. в териториалните звена на ДАБ са били настанени 2 412 чуждестранни граждани, с обща заетост от 64%. По-голямата част са били граждани на Сирия (82%) и Афганистан (6%). Най-високата заетост е регистрирана в края на октомври 2022 г., когато са били настанени 2 967 лица (75% от общия капацитет).</w:t>
            </w:r>
          </w:p>
          <w:p w14:paraId="5243A76F" w14:textId="77777777" w:rsidR="00A77B3E" w:rsidRDefault="00EE0A2B">
            <w:pPr>
              <w:rPr>
                <w:color w:val="000000"/>
              </w:rPr>
            </w:pPr>
            <w:r>
              <w:rPr>
                <w:color w:val="000000"/>
              </w:rPr>
              <w:t>През 2022 г. са регистрирани 3348 непридружени непълнолетни, което представлява 17% от всички заявления — най-големият брой регистрирани непридружени непълнолетни от 1993 г. насам, след пика през 2021 г. (3172). Повечето са граждани на Афганистан (54% или 1803) и Сирия (41% или 1383). Непридружените непълнолетни са настанени в безопасните зони на приемните центрове в София, а именно звената „Овча купел“ (капацитет 130) и „Военна рампа“ (капацитет 100).</w:t>
            </w:r>
          </w:p>
          <w:p w14:paraId="087B345B" w14:textId="77777777" w:rsidR="00A77B3E" w:rsidRDefault="00EE0A2B">
            <w:pPr>
              <w:rPr>
                <w:color w:val="000000"/>
              </w:rPr>
            </w:pPr>
            <w:r>
              <w:rPr>
                <w:color w:val="000000"/>
              </w:rPr>
              <w:t>Между 15 март 2022 г. и 13 януари 2023 г. са регистрирани 149 268 лица за временна закрила — 22 057 мъже, 74 348 жени, 52 274 придружени непълнолетни и 589 непридружени непълнолетни.</w:t>
            </w:r>
          </w:p>
          <w:p w14:paraId="7994312A" w14:textId="77777777" w:rsidR="00A77B3E" w:rsidRDefault="00EE0A2B">
            <w:pPr>
              <w:rPr>
                <w:color w:val="000000"/>
              </w:rPr>
            </w:pPr>
            <w:r>
              <w:rPr>
                <w:color w:val="000000"/>
              </w:rPr>
              <w:t>Нахлуването в Украйна доведе до безпрецедентен приток на украински граждани в ЕС, което доведе до активиране на Директива 2001/55/ЕО на Съвета от 20 юли 2001 г. относно временната закрила. До края на 2022 г. 149 359 лица са получили временна закрила в България. Според данни на Министерството на вътрешните работи, общо 976 776 украински граждани са преминали границите на България през 2022 г., а към 31 декември 2022 г. в страната са останали 50 262.</w:t>
            </w:r>
          </w:p>
          <w:p w14:paraId="452F1B9B" w14:textId="77777777" w:rsidR="00A77B3E" w:rsidRDefault="00EE0A2B">
            <w:pPr>
              <w:rPr>
                <w:color w:val="000000"/>
              </w:rPr>
            </w:pPr>
            <w:r>
              <w:rPr>
                <w:color w:val="000000"/>
              </w:rPr>
              <w:t>Постоянното увеличаване на миграционните потоци към Европейския съюз (ЕС) – явление, наблюдавано във всички държави членки през последните години – достигна своя връх през 2023 г., поставяйки цялата Обща европейска система за убежище (ОЕСУ) под сериозен натиск. Динамиката на глобалната социално-политическа среда, особено в милитаризираните региони, оказва пряко влияние върху миграционните тенденции. След конфликтите в Близкия изток, Европа е изправена пред въоръжена конфронтация между две от най-големите държави на континента – Русия и Украйна – както и пред мащабния конфликт между Израел и Хамас в ивицата Газа от две години.</w:t>
            </w:r>
          </w:p>
          <w:p w14:paraId="3B42F32F" w14:textId="77777777" w:rsidR="00A77B3E" w:rsidRDefault="00EE0A2B">
            <w:pPr>
              <w:rPr>
                <w:color w:val="000000"/>
              </w:rPr>
            </w:pPr>
            <w:r>
              <w:rPr>
                <w:color w:val="000000"/>
              </w:rPr>
              <w:t xml:space="preserve">Рекордният брой граждани на трети държави и лица без гражданство, търсещи международна закрила в държавите членки на ЕС, съчетан с продължаващия приток на украински граждани, търсещи временна закрила, подтикнаха всички държави членки да се включат в по-открит </w:t>
            </w:r>
            <w:r>
              <w:rPr>
                <w:color w:val="000000"/>
              </w:rPr>
              <w:lastRenderedPageBreak/>
              <w:t>диалог, обмен на опит в управлението на миграционния натиск и засилено взаимно сътрудничество за подобряване на цялостната ситуация в целия Съюз.</w:t>
            </w:r>
          </w:p>
          <w:p w14:paraId="12781ECE" w14:textId="77777777" w:rsidR="00A77B3E" w:rsidRDefault="00EE0A2B">
            <w:pPr>
              <w:rPr>
                <w:color w:val="000000"/>
              </w:rPr>
            </w:pPr>
            <w:r>
              <w:rPr>
                <w:color w:val="000000"/>
              </w:rPr>
              <w:t>През 2023 г. в България са подадени общо 22 518 молби за международна закрила — най-големият брой от създаването на ДАБ през 1993 г. Това представлява увеличение с 10% в сравнение с 2022 г. (20 507 молби, включително 1287 от украински граждани преди приемането на Решение № 144 на Министерския съвет от 10 март 2022 г. за предоставяне на временна закрила на разселени лица от Украйна).</w:t>
            </w:r>
          </w:p>
          <w:p w14:paraId="25427850" w14:textId="77777777" w:rsidR="00A77B3E" w:rsidRDefault="00EE0A2B">
            <w:pPr>
              <w:rPr>
                <w:color w:val="000000"/>
              </w:rPr>
            </w:pPr>
            <w:r>
              <w:rPr>
                <w:color w:val="000000"/>
              </w:rPr>
              <w:t>Най-големият дял от заявленията са подадени от сирийски граждани (55% или 12 416), афганистанци (26% или 5 906) и мароканци (12% или 2 580).</w:t>
            </w:r>
          </w:p>
          <w:p w14:paraId="020E66BD" w14:textId="77777777" w:rsidR="00A77B3E" w:rsidRDefault="00EE0A2B">
            <w:pPr>
              <w:rPr>
                <w:color w:val="000000"/>
              </w:rPr>
            </w:pPr>
            <w:r>
              <w:rPr>
                <w:color w:val="000000"/>
              </w:rPr>
              <w:t>През 2023 г. са регистрирани 3843 непридружени непълнолетни (17% от общия брой заявления), от които 52% са сирийци (1995) и 42% афганистанци (1607). За сравнение, през 2022 г. кандидатстване са подали 3348 непридружени непълнолетни (54% афганистанци и 41% сирийци) - най-високият брой, регистриран някога.</w:t>
            </w:r>
          </w:p>
          <w:p w14:paraId="7D8813AF" w14:textId="77777777" w:rsidR="00A77B3E" w:rsidRDefault="00EE0A2B">
            <w:pPr>
              <w:rPr>
                <w:color w:val="000000"/>
              </w:rPr>
            </w:pPr>
            <w:r>
              <w:rPr>
                <w:color w:val="000000"/>
              </w:rPr>
              <w:t>В края на 2023 г. в приемните центрове на ДАБ са били настанени 2611 чуждестранни граждани, с обща заетост от 73%. През същия период на 2022 г. са били настанени 2412 лица (64% заетост), което показва постоянно увеличение. Средната заетост през цялата 2023 г. е била 58%, като най-високата стойност е регистрирана през ноември (76%) - ниво, невиждано от 2016 г. насам.</w:t>
            </w:r>
          </w:p>
          <w:p w14:paraId="6868152A" w14:textId="77777777" w:rsidR="00A77B3E" w:rsidRDefault="00EE0A2B">
            <w:pPr>
              <w:rPr>
                <w:color w:val="000000"/>
              </w:rPr>
            </w:pPr>
            <w:r>
              <w:rPr>
                <w:color w:val="000000"/>
              </w:rPr>
              <w:t>В началото на 2023 г. 11 185 души са били в процедура, а до края на годината броят им е достигнал рекордните 16 139 от създаването на ДАБ през 1993 г.</w:t>
            </w:r>
          </w:p>
          <w:p w14:paraId="7C00CF16" w14:textId="77777777" w:rsidR="00A77B3E" w:rsidRDefault="00EE0A2B">
            <w:pPr>
              <w:rPr>
                <w:color w:val="000000"/>
              </w:rPr>
            </w:pPr>
            <w:r>
              <w:rPr>
                <w:color w:val="000000"/>
              </w:rPr>
              <w:t>През 2024 г. се наблюдава рязък спад в общия брой молби за международна закрила, подадени от граждани на трети държави и лица без гражданство. Докато през 2023 г. са подадени общо 22 518 молби, през 2024 г. броят им е намалял с 46% до 12 250.</w:t>
            </w:r>
          </w:p>
          <w:p w14:paraId="46156F3C" w14:textId="77777777" w:rsidR="00A77B3E" w:rsidRDefault="00EE0A2B">
            <w:pPr>
              <w:rPr>
                <w:color w:val="000000"/>
              </w:rPr>
            </w:pPr>
            <w:r>
              <w:rPr>
                <w:color w:val="000000"/>
              </w:rPr>
              <w:t>Значителен спад се наблюдава сред афганистански граждани — от 5906 през 2023 г. до 1980 през 2024 г. За разлика от това, молбите от египетски граждани са се увеличили от 184 през 2023 г. до 654 през 2024 г., от които 483 са подадени от непридружени непълнолетни. Това потвърждава тенденцията, установена през първата половина на годината, показваща забележимо увеличение на броя на египетските деца, търсещи закрила в България.</w:t>
            </w:r>
          </w:p>
          <w:p w14:paraId="3F592E88" w14:textId="77777777" w:rsidR="00A77B3E" w:rsidRDefault="00EE0A2B">
            <w:pPr>
              <w:rPr>
                <w:color w:val="000000"/>
              </w:rPr>
            </w:pPr>
            <w:r>
              <w:rPr>
                <w:color w:val="000000"/>
              </w:rPr>
              <w:t>Общият брой на непридружените непълнолетни, търсещи закрила, е намалял почти наполовина — от 3843 през 2023 г. до 2601 през 2024 г. Само през 2024 г. са издадени 2457 решения за прекратяване на производствата на непридружени непълнолетни, които са се укрили.</w:t>
            </w:r>
          </w:p>
          <w:p w14:paraId="5B5AFA29" w14:textId="77777777" w:rsidR="00A77B3E" w:rsidRDefault="00EE0A2B">
            <w:pPr>
              <w:rPr>
                <w:color w:val="000000"/>
              </w:rPr>
            </w:pPr>
            <w:r>
              <w:rPr>
                <w:color w:val="000000"/>
              </w:rPr>
              <w:t>По-ниският миграционен натиск върху територията на България е виден и от средната заетост на приемните центрове на ДАБ. Докато през 2023 г. средната заетост е била 58%, през 2024 г. тя е спаднала до 48%, като през предходните месеци се наблюдава постоянна тенденция на спад.</w:t>
            </w:r>
          </w:p>
          <w:p w14:paraId="4C3BE02B" w14:textId="77777777" w:rsidR="00A77B3E" w:rsidRDefault="00EE0A2B">
            <w:pPr>
              <w:rPr>
                <w:color w:val="000000"/>
              </w:rPr>
            </w:pPr>
            <w:r>
              <w:rPr>
                <w:color w:val="000000"/>
              </w:rPr>
              <w:t>Подкрепата в областта на интеграцията на национално ниво е насочена към граждани на трети страни (ГТС), които пребивават законно в България.</w:t>
            </w:r>
          </w:p>
          <w:p w14:paraId="3013B354" w14:textId="77777777" w:rsidR="00A77B3E" w:rsidRDefault="00EE0A2B">
            <w:pPr>
              <w:rPr>
                <w:color w:val="000000"/>
              </w:rPr>
            </w:pPr>
            <w:r>
              <w:rPr>
                <w:color w:val="000000"/>
              </w:rPr>
              <w:t>Според данни на Националната агенция за приходите към началото на 2020 г. общо 24 556 граждани на трети страни са били наети по трудов договор в България, а общо 137 чужденци са били самонаети. През 2024 г. в страната са издадени 7064 разрешения за дългосрочно пребиваване и работа от типа „Единно разрешение за пребиваване и работа“. В сравнение с 2023 г. тези разрешения са се увеличили с 64,3%.</w:t>
            </w:r>
          </w:p>
          <w:p w14:paraId="7ED371F5" w14:textId="77777777" w:rsidR="00A77B3E" w:rsidRDefault="00EE0A2B">
            <w:pPr>
              <w:rPr>
                <w:color w:val="000000"/>
              </w:rPr>
            </w:pPr>
            <w:r>
              <w:rPr>
                <w:color w:val="000000"/>
              </w:rPr>
              <w:t>България е една от входните точки на балканските и източносредиземноморските миграционни маршрути. За 2020 г. има само 821 решения за предоставяне на бежански или хуманитарен статут, докато има 1374 отрицателни решения и 452 прекратени дела. Специален фокус на политиката в тази област е тази категория мигранти да има достъп до съответните механизми за безопасно завръщане.</w:t>
            </w:r>
          </w:p>
          <w:p w14:paraId="10C7B90C" w14:textId="77777777" w:rsidR="00A77B3E" w:rsidRDefault="00EE0A2B">
            <w:pPr>
              <w:rPr>
                <w:color w:val="000000"/>
              </w:rPr>
            </w:pPr>
            <w:r>
              <w:rPr>
                <w:color w:val="000000"/>
              </w:rPr>
              <w:t>Акцентът е поставен върху доброволното връщане като приоритетна форма на политиката за връщане на незаконно пребиваващи граждани на трети страни. Принудителното връщане се използва като крайна мярка, като се потвърждава, че комбинираният подход на политиките за доброволно връщане и мерките за реинтеграция ще намали до минимум необходимостта от принудително връщане. Прилагането на процедурите за принудително връщане представлява ключов инструмент за противодействие на незаконната миграция. Броят на гражданите на трети страни, настанени в специалните домове на Дирекция „Миграция“ през последните 3 години, е следният: 2024 г. – 8 479 чужденци, 2023 г. – 17 299 чужденци, 2022 г. – 15 548 чужденци.</w:t>
            </w:r>
          </w:p>
          <w:p w14:paraId="5912AA58" w14:textId="77777777" w:rsidR="00A77B3E" w:rsidRDefault="00A77B3E">
            <w:pPr>
              <w:rPr>
                <w:color w:val="000000"/>
              </w:rPr>
            </w:pPr>
          </w:p>
          <w:p w14:paraId="3C1DD985" w14:textId="77777777" w:rsidR="00A77B3E" w:rsidRDefault="00EE0A2B">
            <w:pPr>
              <w:rPr>
                <w:color w:val="000000"/>
              </w:rPr>
            </w:pPr>
            <w:r>
              <w:rPr>
                <w:i/>
                <w:iCs/>
                <w:color w:val="000000"/>
              </w:rPr>
              <w:t>Основни национални стратегически предизвикателства и политически отговори</w:t>
            </w:r>
          </w:p>
          <w:p w14:paraId="602E9E34" w14:textId="77777777" w:rsidR="00A77B3E" w:rsidRDefault="00EE0A2B">
            <w:pPr>
              <w:rPr>
                <w:color w:val="000000"/>
              </w:rPr>
            </w:pPr>
            <w:r>
              <w:rPr>
                <w:color w:val="000000"/>
              </w:rPr>
              <w:lastRenderedPageBreak/>
              <w:t>След Анализа на социално-икономическото развитие на България 2007-2017 г. и определянето на националните приоритети за периода 2021-2027 г., сигурността и миграцията са сред трите хоризонтални политики, по които правителствените политики включват целенасочени действия през периода 2021-2027 г. Акцентът е поставен върху постигането на интегрирано управление на миграционните потоци чрез ефективно управление на връщането и поддържане на капацитета на националните системи за убежище и за противодействие на незаконната миграция по отношение на инфраструктура и услуги.</w:t>
            </w:r>
          </w:p>
          <w:p w14:paraId="77781764" w14:textId="77777777" w:rsidR="00A77B3E" w:rsidRDefault="00EE0A2B">
            <w:pPr>
              <w:rPr>
                <w:color w:val="000000"/>
              </w:rPr>
            </w:pPr>
            <w:r>
              <w:rPr>
                <w:color w:val="000000"/>
              </w:rPr>
              <w:t>Основно предизвикателство е създаването на ефективна система за интеграция на граждани на трети страни, включително на тези, които търсят или са получили международна закрила, в която всеки чужденец да може да участва във всички области и дейности на българското общество въз основа на принципите на равенство, толерантност и защита от дискриминация. Основна предпоставка за стабилността на системата е тя да функционира с активната роля на организациите на гражданското общество в партньорство с държавните институции и местните власти.</w:t>
            </w:r>
          </w:p>
          <w:p w14:paraId="552643C0" w14:textId="77777777" w:rsidR="00A77B3E" w:rsidRDefault="00EE0A2B">
            <w:pPr>
              <w:rPr>
                <w:color w:val="000000"/>
              </w:rPr>
            </w:pPr>
            <w:r>
              <w:rPr>
                <w:color w:val="000000"/>
              </w:rPr>
              <w:t>На национално ниво насоките за прилагане на националната политика в областта на връщането са определени в Националната стратегия за управление на миграцията и убежището 2025-2030 г. и Националната стратегия за интегрирано управление на границите 2024-2027 г., както и в годишния план за развитие на капацитета за управление на границите и връщане на незаконно пребиваващи граждани на трети страни. Предотвратяването и противодействието на незаконната миграция са определени като специфични национални цели, а осъществяването на връщането е очертано като важен елемент от управлението на миграцията.</w:t>
            </w:r>
          </w:p>
          <w:p w14:paraId="3801F04C" w14:textId="77777777" w:rsidR="00A77B3E" w:rsidRDefault="00EE0A2B">
            <w:pPr>
              <w:rPr>
                <w:color w:val="000000"/>
              </w:rPr>
            </w:pPr>
            <w:r>
              <w:rPr>
                <w:color w:val="000000"/>
              </w:rPr>
              <w:t>Подкрепата за НБД е хоризонтален приоритет и едновременно с това едно от предизвикателствата. Целта на подкрепата е гарантиране на правата на НБД чрез участието на всички отговорни институции – ДАБ, Държавна агенция за закрила на детето, Министерство на вътрешните работи (МВР), Агенция за социално подпомагане, Национално бюро за правна помощ, Национално сдружение на общините в Република България, Министерство на образованието и науката, Министерство на здравеопазването, както и неправителствени организации и агенции на ООН, доставчици на социални услуги и др. Дейностите се извършват в съответствие с приоритетите в Програмата на правителството за периода 2025-2029 г., както и с новата стратегическа програма 2024-2029 г. на Съвета на Европа. В центровете за ДАБ са създадени три зони за безопасност за НБД и е внедрена специализирана Методология за условията и организацията на социалната подкрепа в зоните за безопасност.</w:t>
            </w:r>
          </w:p>
          <w:p w14:paraId="3D6C5B64" w14:textId="77777777" w:rsidR="00A77B3E" w:rsidRDefault="00EE0A2B">
            <w:pPr>
              <w:rPr>
                <w:color w:val="000000"/>
              </w:rPr>
            </w:pPr>
            <w:r>
              <w:rPr>
                <w:color w:val="000000"/>
              </w:rPr>
              <w:t>С подкрепата на ЕС по линия на ФУМИ 2014-2020 г., от агенции на ЕС, международни и национални организации и конкретни държави членки, капацитетът за прием и настаняване в центровете за ДАБ беше значително подобрен. Понастоящем условията във всички центрове за ДАБ отговарят на установените стандарти на ниво ЕС. Също така е изградена инфраструктура за културни дейности, а предоставянето на услуги за адаптация е осигурено с финансиране от ФУМИ. Осигурен е достъп до квалифицирана медицинска помощ, охрана, превод по време на процедурата за международна закрила, транскултурна медиация и психологическа подкрепа. През 2024 г. в Програмата на ФУМИ 2021-2027 г. е включено специфично действие за създаване на алтернативни социални услуги в партньорство с международни организации и общини.</w:t>
            </w:r>
          </w:p>
          <w:p w14:paraId="00FAE59F" w14:textId="77777777" w:rsidR="00A77B3E" w:rsidRDefault="00EE0A2B">
            <w:pPr>
              <w:rPr>
                <w:color w:val="000000"/>
              </w:rPr>
            </w:pPr>
            <w:r>
              <w:rPr>
                <w:color w:val="000000"/>
              </w:rPr>
              <w:t>ДАБ работи за засилване на сътрудничеството с Агенцията на Европейския съюз в областта на убежището (EUAA) и Frontex, за да осигури по-ефективен контрол и управление на миграционните потоци.</w:t>
            </w:r>
          </w:p>
          <w:p w14:paraId="3447B385" w14:textId="77777777" w:rsidR="00A77B3E" w:rsidRDefault="00EE0A2B">
            <w:pPr>
              <w:rPr>
                <w:color w:val="000000"/>
              </w:rPr>
            </w:pPr>
            <w:r>
              <w:rPr>
                <w:color w:val="000000"/>
              </w:rPr>
              <w:t>Предприети бяха организационни, правни и законодателни мерки, насочени към постигане на ефективен и индивидуален подход към уязвимите лица, включително НБМ, и допълване на процесуалните гаранции в административните процедури.</w:t>
            </w:r>
          </w:p>
          <w:p w14:paraId="3DBEB5FB" w14:textId="77777777" w:rsidR="00A77B3E" w:rsidRDefault="00EE0A2B">
            <w:pPr>
              <w:rPr>
                <w:color w:val="000000"/>
              </w:rPr>
            </w:pPr>
            <w:r>
              <w:rPr>
                <w:color w:val="000000"/>
              </w:rPr>
              <w:t>Оперативните разходи и храната за настанените лица в центровете на ДАБ бяха осигурени с подкрепата на ФУМИ през периода 2014 – 2020 г. Направени са подобрения, например по отношение на осигуряването на храна. ДАБ въведе нова практика за провеждане на централизирано снабдяване с готова храна от лицензиран доставчик, което се оказа по-добър подход.</w:t>
            </w:r>
          </w:p>
          <w:p w14:paraId="58583A28" w14:textId="77777777" w:rsidR="00A77B3E" w:rsidRDefault="00EE0A2B">
            <w:pPr>
              <w:rPr>
                <w:color w:val="000000"/>
              </w:rPr>
            </w:pPr>
            <w:r>
              <w:rPr>
                <w:color w:val="000000"/>
              </w:rPr>
              <w:t xml:space="preserve">С финансиране от ФУМИ беше предприет цялостен набор от мерки за улесняване на интеграцията на гражданите на трети страни и за повишаване на толерантността в обществото, намаляване на междукултурните различия и улесняване на културната адаптация на мигрантите </w:t>
            </w:r>
            <w:r>
              <w:rPr>
                <w:color w:val="000000"/>
              </w:rPr>
              <w:lastRenderedPageBreak/>
              <w:t>и тяхното приемане от българското общество. Подобрена беше координацията и участието на заинтересованите страни на централно, регионално и местно ниво в областта на интеграцията, както и за изграждане на капацитет сред отговорните институции.</w:t>
            </w:r>
          </w:p>
          <w:p w14:paraId="4BBBFC21" w14:textId="77777777" w:rsidR="00A77B3E" w:rsidRDefault="00EE0A2B">
            <w:pPr>
              <w:rPr>
                <w:color w:val="000000"/>
              </w:rPr>
            </w:pPr>
            <w:r>
              <w:rPr>
                <w:color w:val="000000"/>
              </w:rPr>
              <w:t>Значителен напредък е постигнат в областта на връщането: повишаване на ефективността на връщането, изграждане и поддържане на административен капацитет на компетентни длъжностни лица, улесняване на процеса на идентификация, подобряване на комуникацията с дипломатическите мисии на рискови от гледна точка на миграцията трети страни, поддържане на капацитета за настаняване в центровете за задържане.</w:t>
            </w:r>
          </w:p>
          <w:p w14:paraId="05C4518A" w14:textId="77777777" w:rsidR="00A77B3E" w:rsidRDefault="00EE0A2B">
            <w:pPr>
              <w:rPr>
                <w:color w:val="000000"/>
              </w:rPr>
            </w:pPr>
            <w:r>
              <w:rPr>
                <w:color w:val="000000"/>
              </w:rPr>
              <w:t>Регулаторната рамка на национално ниво в областта на връщането беше подобрена чрез разработването на Единни стандарти за мониторинг на принудителното връщане. Бяха проведени мониторинг на петнадесет операции по принудително връщане и бяха представени петнадесет мониторингови доклада и окончателен аналитичен доклад. Начинът на действие беше усъвършенстван, за да се зачитат основните права и свободи на гражданите на трети страни, подлежащи на процедура по принудително връщане. Взаимодействието между компетентните органи беше подобрено. Постигнатите резултати допринасят за ефективното управление на принудителното връщане и прилагането на общите стандарти на ЕС за връщане.</w:t>
            </w:r>
          </w:p>
          <w:p w14:paraId="5778BC8D" w14:textId="77777777" w:rsidR="00A77B3E" w:rsidRDefault="00EE0A2B">
            <w:pPr>
              <w:rPr>
                <w:color w:val="000000"/>
              </w:rPr>
            </w:pPr>
            <w:r>
              <w:rPr>
                <w:color w:val="000000"/>
              </w:rPr>
              <w:t>Що се отнася до административния капацитет на компетентните</w:t>
            </w:r>
            <w:r>
              <w:rPr>
                <w:i/>
                <w:iCs/>
                <w:color w:val="000000"/>
              </w:rPr>
              <w:t xml:space="preserve"> </w:t>
            </w:r>
            <w:r>
              <w:rPr>
                <w:color w:val="000000"/>
              </w:rPr>
              <w:t xml:space="preserve">Заинтересованите страни </w:t>
            </w:r>
            <w:r>
              <w:rPr>
                <w:i/>
                <w:iCs/>
                <w:color w:val="000000"/>
              </w:rPr>
              <w:t xml:space="preserve">провеждат </w:t>
            </w:r>
            <w:r>
              <w:rPr>
                <w:color w:val="000000"/>
              </w:rPr>
              <w:t>обучения за повишаване на професионалната квалификация и натрупват значителен опит от УО и бенефициентите през периода 2014-2020 г. За периода 2021-2027 г. предизвикателство е включването на вътрешните фондове в РОР. Това се решава чрез специфични обучения и обмен на информация.</w:t>
            </w:r>
          </w:p>
          <w:p w14:paraId="4DE64783" w14:textId="77777777" w:rsidR="00A77B3E" w:rsidRDefault="00EE0A2B">
            <w:pPr>
              <w:rPr>
                <w:color w:val="000000"/>
              </w:rPr>
            </w:pPr>
            <w:r>
              <w:rPr>
                <w:color w:val="000000"/>
              </w:rPr>
              <w:t>Делът на гражданите на трети страни, които търсят международна закрила или пребивават законно в България, е малък в сравнение с броя на населението в страната. Не се очаква мерките по СЦ2 по Програмата ФУМИ 2021-2027 да имат видим принос за справяне с демографските предизвикателства.</w:t>
            </w:r>
          </w:p>
          <w:p w14:paraId="165241B6" w14:textId="77777777" w:rsidR="00A77B3E" w:rsidRDefault="00EE0A2B">
            <w:pPr>
              <w:rPr>
                <w:color w:val="000000"/>
              </w:rPr>
            </w:pPr>
            <w:r>
              <w:rPr>
                <w:color w:val="000000"/>
              </w:rPr>
              <w:t>През 2023 г. междинната оценка на програмата ФУМИ беше извършена в съответствие с член 44, параграф 5 от Регламент (ЕС) 2021/1060 на Европейския парламент и на Съвета от 24 юни 2021 г.</w:t>
            </w:r>
          </w:p>
          <w:p w14:paraId="6CAFA3C7" w14:textId="77777777" w:rsidR="00A77B3E" w:rsidRDefault="00EE0A2B">
            <w:pPr>
              <w:rPr>
                <w:color w:val="000000"/>
              </w:rPr>
            </w:pPr>
            <w:r>
              <w:rPr>
                <w:color w:val="000000"/>
              </w:rPr>
              <w:t>Основната цел на междинната оценка беше да се установи дали регулаторната рамка и одобрената програма по ФУМИ са подходящи за целта и допринасят за постигането на поставените цели на разумна цена; осигуряват подходяща подкрепа за справяне с променящите се нужди; и осигуряват добавена стойност за ЕС в съответствие с други източници или начини на финансиране. Една от основните цели на междинната оценка е да се отправят препоръки за това как да се подобри качеството на съдържанието и изпълнението на програмата ФУМИ. Разгледани са следните препоръки:</w:t>
            </w:r>
          </w:p>
          <w:p w14:paraId="292B0022" w14:textId="77777777" w:rsidR="00A77B3E" w:rsidRDefault="00EE0A2B">
            <w:pPr>
              <w:rPr>
                <w:color w:val="000000"/>
              </w:rPr>
            </w:pPr>
            <w:r>
              <w:rPr>
                <w:color w:val="000000"/>
              </w:rPr>
              <w:t>Що се отнася до препоръката за съкращаване на сроковете за одобряване на конкретни действия чрез законодателни промени в Закона за управление на европейските средства, за да се избегне необходимостта от повторно одобряване на проекти на бенефициенти по конкретни действия, вече одобрени от ЕК - формулярите за самоуправление, одобрени от Европейската комисия, не съдържат всички необходими данни за сключване на договори с бенефициенти, например подробен бюджет, разходи, план за обществени поръчки и др.</w:t>
            </w:r>
          </w:p>
          <w:p w14:paraId="71B0CF1F" w14:textId="77777777" w:rsidR="00A77B3E" w:rsidRDefault="00EE0A2B">
            <w:pPr>
              <w:rPr>
                <w:color w:val="000000"/>
              </w:rPr>
            </w:pPr>
            <w:r>
              <w:rPr>
                <w:color w:val="000000"/>
              </w:rPr>
              <w:t>Относно препоръката за развитие на капацитета за прилагане на хоризонталните принципи, служителите на УО участват в специализирани обучения с външни специалисти-лектори, обмен на опит с други УО в България. Темата е обхваната и от обученията, организирани от УО, насочени към бенефициентите на Програмата ФУМИ. Предвижда се промяна в СУК (Система за управление, контрол и управление) на УО в посока наемане на консултанти със специфичен опит.</w:t>
            </w:r>
          </w:p>
          <w:p w14:paraId="2706D000" w14:textId="77777777" w:rsidR="00A77B3E" w:rsidRDefault="00EE0A2B">
            <w:pPr>
              <w:rPr>
                <w:color w:val="000000"/>
              </w:rPr>
            </w:pPr>
            <w:r>
              <w:rPr>
                <w:color w:val="000000"/>
              </w:rPr>
              <w:t>Относно препоръката за по-целенасочена и мащабна комуникация чрез социалните медии, бяха проведени четири обучения за бенефициентите, изготвени и съобщени са писмени инструкции до бенефициентите за спазване на изискванията за публичност и визуализация. УО е назначил лице, което работи изключително по тези теми. Освен това е нает външен изпълнител, който предоставя услуги, свързани с проектирането и изпълнението на информационни кампании във Facebook.</w:t>
            </w:r>
          </w:p>
          <w:p w14:paraId="4B664DAA" w14:textId="77777777" w:rsidR="00A77B3E" w:rsidRDefault="00EE0A2B">
            <w:pPr>
              <w:rPr>
                <w:color w:val="000000"/>
              </w:rPr>
            </w:pPr>
            <w:r>
              <w:rPr>
                <w:color w:val="000000"/>
              </w:rPr>
              <w:lastRenderedPageBreak/>
              <w:t>По отношение на предприетите мерки за намаляване на административната тежест и рисковете по време на проверката се прилага проверка, базирана на риска, разработена от Управляващия орган и съгласувана с Одитния орган.</w:t>
            </w:r>
          </w:p>
          <w:p w14:paraId="2EBE5F68" w14:textId="77777777" w:rsidR="00A77B3E" w:rsidRDefault="00EE0A2B">
            <w:pPr>
              <w:rPr>
                <w:color w:val="000000"/>
              </w:rPr>
            </w:pPr>
            <w:r>
              <w:rPr>
                <w:i/>
                <w:iCs/>
                <w:color w:val="000000"/>
              </w:rPr>
              <w:t>Извлечени поуки</w:t>
            </w:r>
          </w:p>
          <w:p w14:paraId="585EDACB" w14:textId="77777777" w:rsidR="00A77B3E" w:rsidRDefault="00EE0A2B">
            <w:pPr>
              <w:rPr>
                <w:color w:val="000000"/>
              </w:rPr>
            </w:pPr>
            <w:r>
              <w:rPr>
                <w:color w:val="000000"/>
              </w:rPr>
              <w:t>След прилагането на Националната програма по ФУМИ за периода 2014-2020 г. бяха направени някои важни съображения. Националната програма трябва да осигури механизми за гъвкаво изпълнение на предвидените дейности, както и за пренасочване на финансирането, съобразно променящата се ситуация по време на периода на финансиране. Миграционната криза от 2013 г. и ситуацията с COVID-19 показаха необходимостта от бързо адаптиране към променящите се обстоятелства.</w:t>
            </w:r>
          </w:p>
          <w:p w14:paraId="49FC788F" w14:textId="77777777" w:rsidR="00A77B3E" w:rsidRDefault="00EE0A2B">
            <w:pPr>
              <w:rPr>
                <w:color w:val="000000"/>
              </w:rPr>
            </w:pPr>
            <w:r>
              <w:rPr>
                <w:color w:val="000000"/>
              </w:rPr>
              <w:t>За да се справят с тези предизвикателства, бяха проведени процедури за подбор, които включват няколко действия в рамките на една специална цел по ФУМИ, за да се осигури цялостен набор от мерки в областите на подкрепа на фонда. С подкрепата на неправителствените и международните организации, участващи в Комитета за наблюдение по Националната програма по ФУМИ, местните власти бяха включени в изпълнението на действията в областта на интеграцията като бенефициенти. Поуката, извлечена през периода 2014-2020 г. от провеждането на покани за представяне на предложения за изпълнение на набор от действия, беше използвана в процеса на определяне на мерки за периода 2021-2027 г. и в Програмата по ФУМИ бяха включени по-всеобхватни действия.</w:t>
            </w:r>
          </w:p>
          <w:p w14:paraId="75A9E57B" w14:textId="77777777" w:rsidR="00A77B3E" w:rsidRDefault="00A77B3E">
            <w:pPr>
              <w:rPr>
                <w:color w:val="000000"/>
              </w:rPr>
            </w:pPr>
          </w:p>
          <w:p w14:paraId="11D5903B" w14:textId="77777777" w:rsidR="00A77B3E" w:rsidRDefault="00EE0A2B">
            <w:pPr>
              <w:rPr>
                <w:color w:val="000000"/>
              </w:rPr>
            </w:pPr>
            <w:r>
              <w:rPr>
                <w:i/>
                <w:iCs/>
                <w:color w:val="000000"/>
              </w:rPr>
              <w:t>Актуално състояние на прилагането на достиженията на правото на ЕС (по-специално установяване и обяснение на недостатъците/празнините)</w:t>
            </w:r>
          </w:p>
          <w:p w14:paraId="490AD451" w14:textId="77777777" w:rsidR="00A77B3E" w:rsidRDefault="00EE0A2B">
            <w:pPr>
              <w:rPr>
                <w:color w:val="000000"/>
              </w:rPr>
            </w:pPr>
            <w:r>
              <w:rPr>
                <w:color w:val="000000"/>
              </w:rPr>
              <w:t>През последните години България постигна значителен напредък в прилагането на достиженията на правото на ЕС чрез създаването на зони за безопасност за непълнолетни лица (НПП) в центровете за търсене и спасяване. През периода януари – ноември 2020 г. в двете зони за безопасност са настанени и са получили подкрепа общо 1083 НПП. Създаден е работещ модел за подкрепа на НПП, който продължава да работи по Програмата ФМИ 2021-2027 г.</w:t>
            </w:r>
          </w:p>
          <w:p w14:paraId="3F7FF9B3" w14:textId="77777777" w:rsidR="00A77B3E" w:rsidRDefault="00EE0A2B">
            <w:pPr>
              <w:rPr>
                <w:color w:val="000000"/>
              </w:rPr>
            </w:pPr>
            <w:r>
              <w:rPr>
                <w:color w:val="000000"/>
              </w:rPr>
              <w:t>Националната стратегия 2025-2030 г. акцентира върху основния принцип за свободно движение на хора в ЕС, който заедно със свободата на движение на стоки, услуги и капитали формира основата не само на единния европейски пазар, но и повишава конкурентоспособността на икономиките в ЕС. В този контекст Законът за трудовата миграция и мобилност, както и Националната стратегия (2025-2030 г.) предвиждат внос на работна сила със съответната квалификация от трети държави, с които България е сключила споразумения за регулиране на трудовата миграция. Подкрепата за ефективното прилагане на тези споразумения е насочена към гражданите на тези трети държави чрез информиране и консултиране относно законодателната основа и условията за престой и заетост в България.</w:t>
            </w:r>
          </w:p>
          <w:p w14:paraId="2B9B0C70" w14:textId="77777777" w:rsidR="00A77B3E" w:rsidRDefault="00EE0A2B">
            <w:pPr>
              <w:rPr>
                <w:color w:val="000000"/>
              </w:rPr>
            </w:pPr>
            <w:r>
              <w:rPr>
                <w:color w:val="000000"/>
              </w:rPr>
              <w:t>Политиката за интеграция на граждани на трети страни, пребиваващи законно в страната, се осъществява съгласно общите основни принципи за интеграция на мигранти в ЕС и в съответствие с Плана на ЕС 2020 за интеграция и социално включване. Тя е неразделна част от държавната политика в областта на законната миграция.</w:t>
            </w:r>
          </w:p>
          <w:p w14:paraId="7638F84E" w14:textId="77777777" w:rsidR="00A77B3E" w:rsidRDefault="00EE0A2B">
            <w:pPr>
              <w:rPr>
                <w:color w:val="000000"/>
              </w:rPr>
            </w:pPr>
            <w:r>
              <w:rPr>
                <w:color w:val="000000"/>
              </w:rPr>
              <w:t>Връщането на незаконно пребиваващите чужденци, на които е наложена принудителна административна мярка, се извършва в съответствие с международноправни актове и приети инструменти на ниво ЕС, като например Директива 2008/115/ЕО; „Двадесет насоки за принудително връщане“ от 2005 г. на Съвета на Европа; както и сключени практически споразумения, които не са правно обвързващи, между ЕС и трети държави, които са държави на произход на незаконни миграционен персонал и ключови партньори на ЕС. Също така стриктно се спазват насоките на Препоръката за връщане и за създаване на общ „Наръчник за връщане“, както и на Плана за действие на ЕС относно връщането.</w:t>
            </w:r>
          </w:p>
          <w:p w14:paraId="029ABD74" w14:textId="77777777" w:rsidR="00A77B3E" w:rsidRDefault="00EE0A2B">
            <w:pPr>
              <w:rPr>
                <w:color w:val="000000"/>
              </w:rPr>
            </w:pPr>
            <w:r>
              <w:rPr>
                <w:color w:val="000000"/>
              </w:rPr>
              <w:t>През 2019 г. е създаден Националният съвет по миграция, граници, убежище и интеграция, с основна дейност да формулира и координира прилагането на държавната политика в областта на миграцията, границите, убежището и интеграцията в Република България. Съветът изготви актуализирана миграционна стратегия за периодите 2021-2025 г. и 2025-2030 г., която надгражда върху заложените приоритети в предишния стратегически документ, но също така се фокусира върху развитието на ниво ЕС.</w:t>
            </w:r>
          </w:p>
          <w:p w14:paraId="0562BB06" w14:textId="77777777" w:rsidR="00A77B3E" w:rsidRDefault="00EE0A2B">
            <w:pPr>
              <w:rPr>
                <w:color w:val="000000"/>
              </w:rPr>
            </w:pPr>
            <w:r>
              <w:rPr>
                <w:color w:val="000000"/>
              </w:rPr>
              <w:lastRenderedPageBreak/>
              <w:t xml:space="preserve">Съветът е и основният политически орган, отговорен за цялостното наблюдение и координация на дейностите, свързани с подготовката на България за прилагането на Пакта на ЕС за миграция и убежище. Като външна граница на ЕС, България е изправена пред необходимостта да създаде адекватен капацитет и да подобри съществуващата система за управление на миграцията, за да изпълни новите задачи, произтичащи от Пакта. Това включва мерки за развитие на капацитет и инфраструктура за скрининг на граждани на трети страни, както на границата, така и в страната, процедури за предоставяне на убежище и връщане на границата, както и за повишаване на ефективността и устойчивостта на връщанията, намаляване на стимулите за незаконна миграция, адаптиране на националната система за идентификация на пръстови отпечатъци EURODAC към настоящите изисквания на законодателството на ЕС и др. Необходими са допълнителни мерки за предоставяне на правни консултации по чл. 21 от </w:t>
            </w:r>
            <w:r>
              <w:rPr>
                <w:color w:val="000000"/>
                <w:lang w:val="bg-BG"/>
              </w:rPr>
              <w:t>Регламент за управление на убежището и миграцията</w:t>
            </w:r>
            <w:r>
              <w:rPr>
                <w:color w:val="000000"/>
              </w:rPr>
              <w:t xml:space="preserve"> и чл. 16 от </w:t>
            </w:r>
            <w:r>
              <w:rPr>
                <w:color w:val="000000"/>
                <w:lang w:val="bg-BG"/>
              </w:rPr>
              <w:t>Регламент за процедурите за убежище</w:t>
            </w:r>
            <w:r>
              <w:rPr>
                <w:color w:val="000000"/>
              </w:rPr>
              <w:t>, както и за надграждане на съществуващите механизми за наблюдение на спазването на основните права до независим механизъм за наблюдение по Регламента за скрининг с водеща роля на омбудсмана. България е поела ангажимент да работи за подобряване на своята интеграционна политика. Преглед на евентуалните пропуски в националната рамка за интеграционна политика ще бъде извършен от компетентните национални органи, съвместно със съответните заинтересовани страни, като например МОМ, ВКБООН, неправителствени организации и местни и регионални власти. Акцентът ще бъде поставен върху опростяването на достъпа до услуги за ГИП. Ще бъде разгледан опитът на други държави членки в областта на интеграцията на местно ниво.</w:t>
            </w:r>
          </w:p>
          <w:p w14:paraId="37AD8B48" w14:textId="77777777" w:rsidR="00A77B3E" w:rsidRDefault="00EE0A2B">
            <w:pPr>
              <w:rPr>
                <w:color w:val="000000"/>
              </w:rPr>
            </w:pPr>
            <w:r>
              <w:rPr>
                <w:color w:val="000000"/>
              </w:rPr>
              <w:t>Разходите, предвидени за подготовката и прилагането на Пакта, са в съответствие с нуждите/приоритетите, определени в Националния план за изпълнение (НИП). Нуждите, включени в НИП, са приоритизирани от компетентните български органи. Най-спешните/важни разходи са предвидени в рамките на Специфичното действие. Те включват мерки по BB1 до BB5 от Плана. Управляващият орган на България за ФУМИ и ИУГВП (Индустриален фонд за миграция и интеграция) и ИУГВП (Индустриален фонд за визуални и информационни технологии) предостави подкрепа за обобщаване на предложенията за финансиране, проверка спрямо мерките от Плана и определяне на правилния източник на финансиране, съответния вид интервенция и др. Тъй като финансирането, отпуснато на България по Специфичното действие, не е достатъчно, за да покрие всички нужди по НИП, ще се търси друго финансиране, включително национално, за да се покрие част от мерките. Разходите за персонал за ДАБ, според предварителните изчисления, възлизат на 4 978 370 евро на годишна база и ще бъдат финансирани от националния бюджет. Това включва възнаграждения и социалноосигурителни вноски на работодателя за следното разпределение по длъжности: 20 позиции за юрисконсулт; 100 позиции за младши експерт (териториални подразделения и централна администрация); 50 позиции за старши експерт (териториални управления и централна администрация); 30 позиции за главен експерт (териториални управления и централна администрация); 100 позиции за специалисто-технически позиции. Укрепването на капацитета на Националното бюро за правна помощ е предвидено в Националния план за изпълнение, което ще бъде покрито с национално финансиране. Укрепването на капацитета на НБП с допълнителни щатни бройки (36) изисква индикативно финансиране от националния бюджет в размер на 878 310 евро годишно. За разходите за персонал на Дирекция „Миграция“ за процедурата по връщане, прогнозният бюджет за 17 служители е 718 000 евро национално финансиране на годишна база. По мярка „Увеличаване на капацитета на звеното в Дъблин чрез осигуряване на необходимите материални ресурси“ е необходимо финансиране в размер на 5500 евро от националния бюджет, за да се осигурят повече работни станции и точки за достъп до DubliNet. Тези суми подлежат на допълнителни оценки и националните средства за изпълнението на мерките все още не са осигурени. Компетентните институции ще положат максимални усилия, за да осигурят необходимото финансиране в рамките на процедурите по националния бюджет.</w:t>
            </w:r>
          </w:p>
          <w:p w14:paraId="17C5192C" w14:textId="77777777" w:rsidR="00A77B3E" w:rsidRDefault="00EE0A2B">
            <w:pPr>
              <w:rPr>
                <w:color w:val="000000"/>
              </w:rPr>
            </w:pPr>
            <w:r>
              <w:rPr>
                <w:color w:val="000000"/>
              </w:rPr>
              <w:t xml:space="preserve">Национално финансиране ще се търси и за допълнителни задължения, свързани с правни консултации и независимия механизъм за мониторинг. Мерките за подкрепа на ранната интеграция са включени в СЦ2 на Националната програма по ФУМИ. В рамките на средносрочния преглед се отпуска допълнително финансиране за подкрепа на ранната интеграция на лица, търсещи или получили международна закрила, включително езиково </w:t>
            </w:r>
            <w:r>
              <w:rPr>
                <w:color w:val="000000"/>
              </w:rPr>
              <w:lastRenderedPageBreak/>
              <w:t>обучение. В случай че финансирането от ЕС не е достатъчно за изпълнение на задълженията по Пакта, ще се търси национално финансиране.</w:t>
            </w:r>
          </w:p>
          <w:p w14:paraId="7F63773C" w14:textId="77777777" w:rsidR="00A77B3E" w:rsidRDefault="00A77B3E">
            <w:pPr>
              <w:rPr>
                <w:color w:val="000000"/>
              </w:rPr>
            </w:pPr>
          </w:p>
          <w:p w14:paraId="25E2393A" w14:textId="77777777" w:rsidR="00A77B3E" w:rsidRDefault="00EE0A2B">
            <w:pPr>
              <w:rPr>
                <w:color w:val="000000"/>
              </w:rPr>
            </w:pPr>
            <w:r>
              <w:rPr>
                <w:i/>
                <w:iCs/>
                <w:color w:val="000000"/>
              </w:rPr>
              <w:t>Инвестиционни нужди и допълване и синергии с други форми на подкрепа</w:t>
            </w:r>
          </w:p>
          <w:p w14:paraId="72BA266E" w14:textId="77777777" w:rsidR="00A77B3E" w:rsidRDefault="00EE0A2B">
            <w:pPr>
              <w:rPr>
                <w:color w:val="000000"/>
              </w:rPr>
            </w:pPr>
            <w:r>
              <w:rPr>
                <w:color w:val="000000"/>
              </w:rPr>
              <w:t>За мерките в областта на международната закрила, ФУМИ 2014-2020 осигурява основната част от инвестициите. Малък процент се осигурява от национални средства, инвестирани от бюджета на Държавната агенция за бежанците (ДАБ).</w:t>
            </w:r>
          </w:p>
          <w:p w14:paraId="6A614B49" w14:textId="77777777" w:rsidR="00A77B3E" w:rsidRDefault="00EE0A2B">
            <w:pPr>
              <w:rPr>
                <w:color w:val="000000"/>
              </w:rPr>
            </w:pPr>
            <w:r>
              <w:rPr>
                <w:color w:val="000000"/>
              </w:rPr>
              <w:t>Подкрепата в областта на интеграцията на граждани на трети страни е разпределена между отделни фондове на ЕС. ФУМИ предвижда първоначални мерки за адаптация и ориентация до включването на кандидатите или лицата, получили международна закрила, в образователната, здравната и трудовата система. Тази подкрепа на национално ниво се предоставя изключително със средства от ЕС по програмата ФУМИ. Националните средства се разпределят на съответните държавни органи само за тяхното редовно функциониране и задачи.</w:t>
            </w:r>
          </w:p>
          <w:p w14:paraId="31921D24" w14:textId="77777777" w:rsidR="00A77B3E" w:rsidRDefault="00EE0A2B">
            <w:pPr>
              <w:rPr>
                <w:color w:val="000000"/>
              </w:rPr>
            </w:pPr>
            <w:r>
              <w:rPr>
                <w:color w:val="000000"/>
              </w:rPr>
              <w:t xml:space="preserve">Изпълнението на процедурите за връщане се подкрепя по линия на ФУМИ (принудително връщане и подпомогнато доброволно връщане и реинтеграция), чрез средства от Европейската агенция за гранична и брегова охрана (Frontex, съвместни операции по връщане) и средства от националния бюджет (по споразумения за обратно приемане). Общият дял на ФУМИ във финансирането на дейностите по връщане е около 60-70%. Изпълнението на мерките за доброволно връщане и реинтеграция се финансира почти изцяло от Националния план на ФУМИ за периода 2014-2020 г. и </w:t>
            </w:r>
            <w:r w:rsidR="0002372A">
              <w:rPr>
                <w:color w:val="000000"/>
              </w:rPr>
              <w:t>СМ</w:t>
            </w:r>
            <w:r>
              <w:rPr>
                <w:color w:val="000000"/>
              </w:rPr>
              <w:t>.</w:t>
            </w:r>
          </w:p>
          <w:p w14:paraId="4D74BDF4" w14:textId="77777777" w:rsidR="00A77B3E" w:rsidRDefault="00EE0A2B">
            <w:pPr>
              <w:rPr>
                <w:color w:val="000000"/>
              </w:rPr>
            </w:pPr>
            <w:r>
              <w:rPr>
                <w:color w:val="000000"/>
              </w:rPr>
              <w:t>По Норвежкия финансов механизъм (НФМ) 2014-2021 г. се изпълнява проект за развитие на административния капацитет на държавните институции в областта на убежището и връщането. Допълнително финансиране по НФМ е осигурено за изпълнение на мерки в областите на подкрепа по ФУМИ.</w:t>
            </w:r>
          </w:p>
          <w:p w14:paraId="12A8053F" w14:textId="77777777" w:rsidR="00A77B3E" w:rsidRDefault="00EE0A2B">
            <w:pPr>
              <w:rPr>
                <w:color w:val="000000"/>
              </w:rPr>
            </w:pPr>
            <w:r>
              <w:rPr>
                <w:color w:val="000000"/>
              </w:rPr>
              <w:t>Въз основа на стратегическите документи, информацията и анализите, Програмата на Република България за периода 2021 – 2027 г. по ФУМИ ще осигури подкрепа по всичките четири специфични цели на фонда. Инвестициите са насочени към ефективно и координирано управление на миграцията с цел заместване на опасните и незаконни пътища към Съюза със сигурни и законни. Инвестициите целят подкрепа за стабилна система за приемане и настаняване, система за предоставяне на международна закрила и система за ефективно връщане на лица, които не отговарят или вече не отговарят на изискванията за престой в ЕС. В светлината на активирането на член 5 от Директива 2001/55/ЕО, лицата, на които е предоставена временна закрила, са допустима целева група по Програмата BG ФУМИ за периода 2021-2027 г. Следва да се отбележи, че усилията, по-специално в областта на интеграцията, са насочени към ранните фази на процеса до момента на включване на гражданите на трети страни в образователната, трудовата и здравната система.</w:t>
            </w:r>
          </w:p>
          <w:p w14:paraId="52DDFFED" w14:textId="77777777" w:rsidR="00A77B3E" w:rsidRDefault="00EE0A2B">
            <w:pPr>
              <w:rPr>
                <w:color w:val="000000"/>
              </w:rPr>
            </w:pPr>
            <w:r>
              <w:rPr>
                <w:color w:val="000000"/>
              </w:rPr>
              <w:t>В рамките на Програмата за ФУМИ за периода 2021-2027 г. продължава изпълнението на действията, осъществени по линия на Националната програма за ФУМИ за периода 2014-2020 г.</w:t>
            </w:r>
          </w:p>
          <w:p w14:paraId="29B01039" w14:textId="77777777" w:rsidR="00A77B3E" w:rsidRDefault="00EE0A2B">
            <w:pPr>
              <w:rPr>
                <w:color w:val="000000"/>
              </w:rPr>
            </w:pPr>
            <w:r>
              <w:rPr>
                <w:color w:val="000000"/>
              </w:rPr>
              <w:t>Допълването и координацията с други инструменти за финансиране се осигуряват на национално ниво, включително при прилагането на партньорството, както е предвидено в член 8 от РОР. Програмата ФУМИ е основният инструмент за подкрепа на приема на граждани на трети страни, но ЕФРР и ЕСФ+ имат възможност да я допълнят, по-специално чрез мерки за изграждане, разширяване и достъп до качествени, масови, несегрегирани, приобщаващи и устойчиви услуги в образованието, заетостта, жилищното настаняване, социалните, здравните и детските грижи, финансирани от ЕСФ+ (мерки за образование, приобщаване и пазар на труда) и ЕФРР. Еразъм+ има потенциал за действия за подобряване на образователната система и адаптирането ѝ към специалните нужди на мигрантите. Действията по ФУМИ са насочени главно към ранно образование и интеграционни действия, особено във фазата на приемане.</w:t>
            </w:r>
          </w:p>
          <w:p w14:paraId="626B2E7A" w14:textId="77777777" w:rsidR="00A77B3E" w:rsidRDefault="00EE0A2B">
            <w:pPr>
              <w:rPr>
                <w:color w:val="000000"/>
              </w:rPr>
            </w:pPr>
            <w:r>
              <w:rPr>
                <w:color w:val="000000"/>
              </w:rPr>
              <w:t>Търсят се синергии с инвестициите, предвидени в компонента „Социално включване“ от Плана за възстановяване и устойчивост на Република България. Компонентът предвижда мерки за модернизиране и реформиране на социалната икономика чрез създаване на регионални центрове за развитие на социалната икономика.</w:t>
            </w:r>
          </w:p>
          <w:p w14:paraId="44E2DB02" w14:textId="77777777" w:rsidR="00A77B3E" w:rsidRDefault="00EE0A2B">
            <w:pPr>
              <w:rPr>
                <w:color w:val="000000"/>
              </w:rPr>
            </w:pPr>
            <w:r>
              <w:rPr>
                <w:color w:val="000000"/>
              </w:rPr>
              <w:t xml:space="preserve">Съгласно чл. 52 от РОР, България използва приноса от фондовете по всички СЦ на Програмата ФУМИ за периода 2021-2027 г., за да предостави подкрепа на бенефициентите под формата на безвъзмездни средства. Предвидените дейности са съобразени със стандартите и приоритетите </w:t>
            </w:r>
            <w:r>
              <w:rPr>
                <w:color w:val="000000"/>
              </w:rPr>
              <w:lastRenderedPageBreak/>
              <w:t>на Съюза в областта на климата и околната среда и не биха навредили значително на екологичните цели по смисъла на чл. 17 от Регламент (ЕС) № 2020/852.</w:t>
            </w:r>
          </w:p>
          <w:p w14:paraId="4DF8A9A7" w14:textId="77777777" w:rsidR="00A77B3E" w:rsidRDefault="00EE0A2B">
            <w:pPr>
              <w:rPr>
                <w:color w:val="000000"/>
              </w:rPr>
            </w:pPr>
            <w:r>
              <w:rPr>
                <w:color w:val="000000"/>
              </w:rPr>
              <w:t>Няма неизпълнени препоръки от оценката на Шенген в рамките на обхвата на ФУМИ. Ако възникнат такива, за тяхното изпълнение ще бъдат използвани ресурси на програмата.</w:t>
            </w:r>
          </w:p>
          <w:p w14:paraId="579141E9" w14:textId="77777777" w:rsidR="00A77B3E" w:rsidRDefault="00A77B3E">
            <w:pPr>
              <w:rPr>
                <w:color w:val="000000"/>
                <w:sz w:val="6"/>
              </w:rPr>
            </w:pPr>
          </w:p>
          <w:p w14:paraId="7A9A641A" w14:textId="77777777" w:rsidR="00A77B3E" w:rsidRDefault="00A77B3E">
            <w:pPr>
              <w:rPr>
                <w:color w:val="000000"/>
                <w:sz w:val="6"/>
              </w:rPr>
            </w:pPr>
          </w:p>
        </w:tc>
      </w:tr>
    </w:tbl>
    <w:p w14:paraId="4E281D7B" w14:textId="77777777" w:rsidR="00A77B3E" w:rsidRDefault="00A77B3E">
      <w:pPr>
        <w:rPr>
          <w:color w:val="000000"/>
        </w:rPr>
        <w:sectPr w:rsidR="00A77B3E">
          <w:footerReference w:type="default" r:id="rId6"/>
          <w:pgSz w:w="11906" w:h="16838"/>
          <w:pgMar w:top="720" w:right="936" w:bottom="864" w:left="720" w:header="0" w:footer="72" w:gutter="0"/>
          <w:cols w:space="720"/>
          <w:noEndnote/>
          <w:docGrid w:linePitch="360"/>
        </w:sectPr>
      </w:pPr>
    </w:p>
    <w:p w14:paraId="73FFD9FD" w14:textId="77777777" w:rsidR="00A77B3E" w:rsidRDefault="00EE0A2B">
      <w:pPr>
        <w:pStyle w:val="Heading1"/>
        <w:spacing w:before="100" w:after="0"/>
        <w:rPr>
          <w:rFonts w:ascii="Times New Roman" w:hAnsi="Times New Roman" w:cs="Times New Roman"/>
          <w:b w:val="0"/>
          <w:color w:val="000000"/>
          <w:sz w:val="24"/>
        </w:rPr>
      </w:pPr>
      <w:bookmarkStart w:id="1" w:name="_Toc256000064"/>
      <w:r>
        <w:rPr>
          <w:rFonts w:ascii="Times New Roman" w:hAnsi="Times New Roman" w:cs="Times New Roman"/>
          <w:b w:val="0"/>
          <w:color w:val="000000"/>
          <w:sz w:val="24"/>
        </w:rPr>
        <w:lastRenderedPageBreak/>
        <w:t>2. Специфични цели и техническа помощ</w:t>
      </w:r>
      <w:bookmarkEnd w:id="1"/>
    </w:p>
    <w:p w14:paraId="395AA4BD" w14:textId="77777777" w:rsidR="00A77B3E" w:rsidRDefault="00A77B3E">
      <w:pPr>
        <w:spacing w:before="100"/>
        <w:rPr>
          <w:color w:val="000000"/>
          <w:sz w:val="0"/>
        </w:rPr>
      </w:pPr>
    </w:p>
    <w:p w14:paraId="656EBACD" w14:textId="77777777" w:rsidR="00A77B3E" w:rsidRDefault="00EE0A2B">
      <w:pPr>
        <w:spacing w:before="100"/>
        <w:rPr>
          <w:color w:val="000000"/>
          <w:sz w:val="12"/>
        </w:rPr>
      </w:pPr>
      <w:r>
        <w:rPr>
          <w:color w:val="000000"/>
        </w:rPr>
        <w:t>Позоваване: Член 22(2) и (4) от РОР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5120"/>
        <w:gridCol w:w="2560"/>
      </w:tblGrid>
      <w:tr w:rsidR="00723994" w14:paraId="57730727" w14:textId="77777777">
        <w:trPr>
          <w:trHeight w:val="160"/>
          <w:tblHeader/>
        </w:trPr>
        <w:tc>
          <w:tcPr>
            <w:tcW w:w="6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4014A00" w14:textId="77777777" w:rsidR="00A77B3E" w:rsidRDefault="00EE0A2B">
            <w:pPr>
              <w:spacing w:before="100"/>
              <w:jc w:val="center"/>
              <w:rPr>
                <w:color w:val="000000"/>
              </w:rPr>
            </w:pPr>
            <w:r>
              <w:rPr>
                <w:color w:val="000000"/>
              </w:rPr>
              <w:t>Избрано</w:t>
            </w:r>
          </w:p>
        </w:tc>
        <w:tc>
          <w:tcPr>
            <w:tcW w:w="4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080C1B0" w14:textId="77777777" w:rsidR="00A77B3E" w:rsidRDefault="00EE0A2B">
            <w:pPr>
              <w:spacing w:before="100"/>
              <w:jc w:val="center"/>
              <w:rPr>
                <w:color w:val="000000"/>
              </w:rPr>
            </w:pPr>
            <w:r>
              <w:rPr>
                <w:color w:val="000000"/>
              </w:rPr>
              <w:t>Специфична цел или техническа помощ</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6932EB2" w14:textId="77777777" w:rsidR="00A77B3E" w:rsidRDefault="00EE0A2B">
            <w:pPr>
              <w:spacing w:before="100"/>
              <w:jc w:val="center"/>
              <w:rPr>
                <w:color w:val="000000"/>
              </w:rPr>
            </w:pPr>
            <w:r>
              <w:rPr>
                <w:color w:val="000000"/>
              </w:rPr>
              <w:t>Вид действие</w:t>
            </w:r>
          </w:p>
        </w:tc>
      </w:tr>
      <w:tr w:rsidR="00723994" w14:paraId="5C0C7C29"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2E64E9D" w14:textId="77777777" w:rsidR="00A77B3E" w:rsidRDefault="00EE0A2B">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D73605">
              <w:rPr>
                <w:color w:val="000000"/>
              </w:rPr>
            </w:r>
            <w:r w:rsidR="00D73605">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62C903" w14:textId="77777777" w:rsidR="00A77B3E" w:rsidRDefault="00EE0A2B">
            <w:pPr>
              <w:spacing w:before="100"/>
              <w:rPr>
                <w:color w:val="000000"/>
              </w:rPr>
            </w:pPr>
            <w:r>
              <w:rPr>
                <w:color w:val="000000"/>
              </w:rPr>
              <w:t>1. ОЕСУ</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C621D3" w14:textId="77777777" w:rsidR="00A77B3E" w:rsidRDefault="00EE0A2B">
            <w:pPr>
              <w:spacing w:before="100"/>
              <w:rPr>
                <w:color w:val="000000"/>
              </w:rPr>
            </w:pPr>
            <w:r>
              <w:rPr>
                <w:color w:val="000000"/>
              </w:rPr>
              <w:t>Редовни действия</w:t>
            </w:r>
          </w:p>
        </w:tc>
      </w:tr>
      <w:tr w:rsidR="00723994" w14:paraId="5670CC68"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0408EF" w14:textId="77777777" w:rsidR="00A77B3E" w:rsidRDefault="00EE0A2B">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D73605">
              <w:rPr>
                <w:color w:val="000000"/>
              </w:rPr>
            </w:r>
            <w:r w:rsidR="00D73605">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D7A313" w14:textId="77777777" w:rsidR="00A77B3E" w:rsidRDefault="00EE0A2B">
            <w:pPr>
              <w:spacing w:before="100"/>
              <w:rPr>
                <w:color w:val="000000"/>
              </w:rPr>
            </w:pPr>
            <w:r>
              <w:rPr>
                <w:color w:val="000000"/>
              </w:rPr>
              <w:t>1. ОЕСУ</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97D91C" w14:textId="77777777" w:rsidR="00A77B3E" w:rsidRDefault="00EE0A2B">
            <w:pPr>
              <w:spacing w:before="100"/>
              <w:rPr>
                <w:color w:val="000000"/>
              </w:rPr>
            </w:pPr>
            <w:r>
              <w:rPr>
                <w:color w:val="000000"/>
              </w:rPr>
              <w:t>Конкретни действия</w:t>
            </w:r>
          </w:p>
        </w:tc>
      </w:tr>
      <w:tr w:rsidR="00723994" w14:paraId="681CDCAC"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5E8554" w14:textId="77777777" w:rsidR="00A77B3E" w:rsidRDefault="00EE0A2B">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D73605">
              <w:rPr>
                <w:color w:val="000000"/>
              </w:rPr>
            </w:r>
            <w:r w:rsidR="00D73605">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2DAF4D" w14:textId="77777777" w:rsidR="00A77B3E" w:rsidRDefault="00EE0A2B">
            <w:pPr>
              <w:spacing w:before="100"/>
              <w:rPr>
                <w:color w:val="000000"/>
              </w:rPr>
            </w:pPr>
            <w:r>
              <w:rPr>
                <w:color w:val="000000"/>
              </w:rPr>
              <w:t>1. ОЕСУ</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AAD0E6" w14:textId="77777777" w:rsidR="00A77B3E" w:rsidRDefault="00EE0A2B">
            <w:pPr>
              <w:spacing w:before="100"/>
              <w:rPr>
                <w:color w:val="000000"/>
              </w:rPr>
            </w:pPr>
            <w:r>
              <w:rPr>
                <w:color w:val="000000"/>
              </w:rPr>
              <w:t>Действия по приложение IV</w:t>
            </w:r>
          </w:p>
        </w:tc>
      </w:tr>
      <w:tr w:rsidR="00723994" w14:paraId="7422F4E8"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4A9983" w14:textId="77777777" w:rsidR="00A77B3E" w:rsidRDefault="00EE0A2B">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D73605">
              <w:rPr>
                <w:color w:val="000000"/>
              </w:rPr>
            </w:r>
            <w:r w:rsidR="00D73605">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F00710" w14:textId="77777777" w:rsidR="00A77B3E" w:rsidRDefault="00EE0A2B">
            <w:pPr>
              <w:spacing w:before="100"/>
              <w:rPr>
                <w:color w:val="000000"/>
              </w:rPr>
            </w:pPr>
            <w:r>
              <w:rPr>
                <w:color w:val="000000"/>
              </w:rPr>
              <w:t>1. ОЕСУ</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4BCDCD" w14:textId="77777777" w:rsidR="00A77B3E" w:rsidRDefault="00EE0A2B">
            <w:pPr>
              <w:spacing w:before="100"/>
              <w:rPr>
                <w:color w:val="000000"/>
              </w:rPr>
            </w:pPr>
            <w:r>
              <w:rPr>
                <w:color w:val="000000"/>
              </w:rPr>
              <w:t>Оперативна поддръжка</w:t>
            </w:r>
          </w:p>
        </w:tc>
      </w:tr>
      <w:tr w:rsidR="00723994" w14:paraId="4CEB7971"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1A5466" w14:textId="77777777" w:rsidR="00A77B3E" w:rsidRDefault="00EE0A2B">
            <w:pPr>
              <w:spacing w:before="100"/>
              <w:jc w:val="center"/>
              <w:rPr>
                <w:color w:val="000000"/>
              </w:rPr>
            </w:pP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D73605">
              <w:rPr>
                <w:color w:val="000000"/>
              </w:rPr>
            </w:r>
            <w:r w:rsidR="00D73605">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24D175" w14:textId="77777777" w:rsidR="00A77B3E" w:rsidRDefault="00EE0A2B">
            <w:pPr>
              <w:spacing w:before="100"/>
              <w:rPr>
                <w:color w:val="000000"/>
              </w:rPr>
            </w:pPr>
            <w:r>
              <w:rPr>
                <w:color w:val="000000"/>
              </w:rPr>
              <w:t>1. ОЕСУ</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84277B" w14:textId="77777777" w:rsidR="00A77B3E" w:rsidRDefault="00EE0A2B">
            <w:pPr>
              <w:spacing w:before="100"/>
              <w:rPr>
                <w:color w:val="000000"/>
              </w:rPr>
            </w:pPr>
            <w:r>
              <w:rPr>
                <w:color w:val="000000"/>
              </w:rPr>
              <w:t>Спешна помощ</w:t>
            </w:r>
          </w:p>
        </w:tc>
      </w:tr>
      <w:tr w:rsidR="00723994" w14:paraId="776B0AB5"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9EC324" w14:textId="77777777" w:rsidR="00A77B3E" w:rsidRDefault="00EE0A2B">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D73605">
              <w:rPr>
                <w:color w:val="000000"/>
              </w:rPr>
            </w:r>
            <w:r w:rsidR="00D73605">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B0DC72" w14:textId="77777777" w:rsidR="00A77B3E" w:rsidRDefault="00EE0A2B">
            <w:pPr>
              <w:spacing w:before="100"/>
              <w:rPr>
                <w:color w:val="000000"/>
              </w:rPr>
            </w:pPr>
            <w:r>
              <w:rPr>
                <w:color w:val="000000"/>
              </w:rPr>
              <w:t>1. ОЕСУ</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05ED3D" w14:textId="77777777" w:rsidR="00A77B3E" w:rsidRDefault="00EE0A2B">
            <w:pPr>
              <w:spacing w:before="100"/>
              <w:rPr>
                <w:color w:val="000000"/>
              </w:rPr>
            </w:pPr>
            <w:r>
              <w:rPr>
                <w:color w:val="000000"/>
              </w:rPr>
              <w:t>Пактът и специфичните действия за Украйна</w:t>
            </w:r>
          </w:p>
        </w:tc>
      </w:tr>
      <w:tr w:rsidR="00723994" w14:paraId="3285F0F7"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86C1E1" w14:textId="77777777" w:rsidR="00A77B3E" w:rsidRDefault="00EE0A2B">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D73605">
              <w:rPr>
                <w:color w:val="000000"/>
              </w:rPr>
            </w:r>
            <w:r w:rsidR="00D73605">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C8C5F5" w14:textId="77777777" w:rsidR="00A77B3E" w:rsidRDefault="00EE0A2B">
            <w:pPr>
              <w:spacing w:before="100"/>
              <w:rPr>
                <w:color w:val="000000"/>
              </w:rPr>
            </w:pPr>
            <w:r>
              <w:rPr>
                <w:color w:val="000000"/>
              </w:rPr>
              <w:t>2. Легална миграция и интеграция</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5F0D17" w14:textId="77777777" w:rsidR="00A77B3E" w:rsidRDefault="00EE0A2B">
            <w:pPr>
              <w:spacing w:before="100"/>
              <w:rPr>
                <w:color w:val="000000"/>
              </w:rPr>
            </w:pPr>
            <w:r>
              <w:rPr>
                <w:color w:val="000000"/>
              </w:rPr>
              <w:t>Редовни действия</w:t>
            </w:r>
          </w:p>
        </w:tc>
      </w:tr>
      <w:tr w:rsidR="00723994" w14:paraId="3D72850A"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7A03C1" w14:textId="77777777" w:rsidR="00A77B3E" w:rsidRDefault="00EE0A2B">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D73605">
              <w:rPr>
                <w:color w:val="000000"/>
              </w:rPr>
            </w:r>
            <w:r w:rsidR="00D73605">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EEDCA6" w14:textId="77777777" w:rsidR="00A77B3E" w:rsidRDefault="00EE0A2B">
            <w:pPr>
              <w:spacing w:before="100"/>
              <w:rPr>
                <w:color w:val="000000"/>
              </w:rPr>
            </w:pPr>
            <w:r>
              <w:rPr>
                <w:color w:val="000000"/>
              </w:rPr>
              <w:t>2. Легална миграция и интеграция</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93CED5" w14:textId="77777777" w:rsidR="00A77B3E" w:rsidRDefault="00EE0A2B">
            <w:pPr>
              <w:spacing w:before="100"/>
              <w:rPr>
                <w:color w:val="000000"/>
              </w:rPr>
            </w:pPr>
            <w:r>
              <w:rPr>
                <w:color w:val="000000"/>
              </w:rPr>
              <w:t>Конкретни действия</w:t>
            </w:r>
          </w:p>
        </w:tc>
      </w:tr>
      <w:tr w:rsidR="00723994" w14:paraId="00626A12"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66AB4B" w14:textId="77777777" w:rsidR="00A77B3E" w:rsidRDefault="00EE0A2B">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D73605">
              <w:rPr>
                <w:color w:val="000000"/>
              </w:rPr>
            </w:r>
            <w:r w:rsidR="00D73605">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C65436" w14:textId="77777777" w:rsidR="00A77B3E" w:rsidRDefault="00EE0A2B">
            <w:pPr>
              <w:spacing w:before="100"/>
              <w:rPr>
                <w:color w:val="000000"/>
              </w:rPr>
            </w:pPr>
            <w:r>
              <w:rPr>
                <w:color w:val="000000"/>
              </w:rPr>
              <w:t>2. Легална миграция и интеграция</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9947C0" w14:textId="77777777" w:rsidR="00A77B3E" w:rsidRDefault="00EE0A2B">
            <w:pPr>
              <w:spacing w:before="100"/>
              <w:rPr>
                <w:color w:val="000000"/>
              </w:rPr>
            </w:pPr>
            <w:r>
              <w:rPr>
                <w:color w:val="000000"/>
              </w:rPr>
              <w:t>Действия по приложение IV</w:t>
            </w:r>
          </w:p>
        </w:tc>
      </w:tr>
      <w:tr w:rsidR="00723994" w14:paraId="23B21890"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8BD56E" w14:textId="77777777" w:rsidR="00A77B3E" w:rsidRDefault="00EE0A2B">
            <w:pPr>
              <w:spacing w:before="100"/>
              <w:jc w:val="center"/>
              <w:rPr>
                <w:color w:val="000000"/>
              </w:rPr>
            </w:pP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D73605">
              <w:rPr>
                <w:color w:val="000000"/>
              </w:rPr>
            </w:r>
            <w:r w:rsidR="00D73605">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87D333" w14:textId="77777777" w:rsidR="00A77B3E" w:rsidRDefault="00EE0A2B">
            <w:pPr>
              <w:spacing w:before="100"/>
              <w:rPr>
                <w:color w:val="000000"/>
              </w:rPr>
            </w:pPr>
            <w:r>
              <w:rPr>
                <w:color w:val="000000"/>
              </w:rPr>
              <w:t>2. Легална миграция и интеграция</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BE2585" w14:textId="77777777" w:rsidR="00A77B3E" w:rsidRDefault="00EE0A2B">
            <w:pPr>
              <w:spacing w:before="100"/>
              <w:rPr>
                <w:color w:val="000000"/>
              </w:rPr>
            </w:pPr>
            <w:r>
              <w:rPr>
                <w:color w:val="000000"/>
              </w:rPr>
              <w:t>Оперативна поддръжка</w:t>
            </w:r>
          </w:p>
        </w:tc>
      </w:tr>
      <w:tr w:rsidR="00723994" w14:paraId="2F8631D8"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651D77" w14:textId="77777777" w:rsidR="00A77B3E" w:rsidRDefault="00EE0A2B">
            <w:pPr>
              <w:spacing w:before="100"/>
              <w:jc w:val="center"/>
              <w:rPr>
                <w:color w:val="000000"/>
              </w:rPr>
            </w:pP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D73605">
              <w:rPr>
                <w:color w:val="000000"/>
              </w:rPr>
            </w:r>
            <w:r w:rsidR="00D73605">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2806D7" w14:textId="77777777" w:rsidR="00A77B3E" w:rsidRDefault="00EE0A2B">
            <w:pPr>
              <w:spacing w:before="100"/>
              <w:rPr>
                <w:color w:val="000000"/>
              </w:rPr>
            </w:pPr>
            <w:r>
              <w:rPr>
                <w:color w:val="000000"/>
              </w:rPr>
              <w:t>2. Легална миграция и интеграция</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9B512F" w14:textId="77777777" w:rsidR="00A77B3E" w:rsidRDefault="00EE0A2B">
            <w:pPr>
              <w:spacing w:before="100"/>
              <w:rPr>
                <w:color w:val="000000"/>
              </w:rPr>
            </w:pPr>
            <w:r>
              <w:rPr>
                <w:color w:val="000000"/>
              </w:rPr>
              <w:t>Спешна помощ</w:t>
            </w:r>
          </w:p>
        </w:tc>
      </w:tr>
      <w:tr w:rsidR="00723994" w14:paraId="054A42D0"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330708" w14:textId="77777777" w:rsidR="00A77B3E" w:rsidRDefault="00EE0A2B">
            <w:pPr>
              <w:spacing w:before="100"/>
              <w:jc w:val="center"/>
              <w:rPr>
                <w:color w:val="000000"/>
              </w:rPr>
            </w:pP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D73605">
              <w:rPr>
                <w:color w:val="000000"/>
              </w:rPr>
            </w:r>
            <w:r w:rsidR="00D73605">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A19666" w14:textId="77777777" w:rsidR="00A77B3E" w:rsidRDefault="00EE0A2B">
            <w:pPr>
              <w:spacing w:before="100"/>
              <w:rPr>
                <w:color w:val="000000"/>
              </w:rPr>
            </w:pPr>
            <w:r>
              <w:rPr>
                <w:color w:val="000000"/>
              </w:rPr>
              <w:t>2. Легална миграция и интеграция</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138E63" w14:textId="77777777" w:rsidR="00A77B3E" w:rsidRDefault="00EE0A2B">
            <w:pPr>
              <w:spacing w:before="100"/>
              <w:rPr>
                <w:color w:val="000000"/>
              </w:rPr>
            </w:pPr>
            <w:r>
              <w:rPr>
                <w:color w:val="000000"/>
              </w:rPr>
              <w:t>Пактът и специфичните действия за Украйна</w:t>
            </w:r>
          </w:p>
        </w:tc>
      </w:tr>
      <w:tr w:rsidR="00723994" w14:paraId="3BAB871E"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F1C6AF" w14:textId="77777777" w:rsidR="00A77B3E" w:rsidRDefault="00EE0A2B">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D73605">
              <w:rPr>
                <w:color w:val="000000"/>
              </w:rPr>
            </w:r>
            <w:r w:rsidR="00D73605">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5FE5FE" w14:textId="77777777" w:rsidR="00A77B3E" w:rsidRDefault="00EE0A2B">
            <w:pPr>
              <w:spacing w:before="100"/>
              <w:rPr>
                <w:color w:val="000000"/>
              </w:rPr>
            </w:pPr>
            <w:r>
              <w:rPr>
                <w:color w:val="000000"/>
              </w:rPr>
              <w:t>3. Връщане</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070084" w14:textId="77777777" w:rsidR="00A77B3E" w:rsidRDefault="00EE0A2B">
            <w:pPr>
              <w:spacing w:before="100"/>
              <w:rPr>
                <w:color w:val="000000"/>
              </w:rPr>
            </w:pPr>
            <w:r>
              <w:rPr>
                <w:color w:val="000000"/>
              </w:rPr>
              <w:t>Редовни действия</w:t>
            </w:r>
          </w:p>
        </w:tc>
      </w:tr>
      <w:tr w:rsidR="00723994" w14:paraId="54C09311"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6B6875" w14:textId="77777777" w:rsidR="00A77B3E" w:rsidRDefault="00EE0A2B">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D73605">
              <w:rPr>
                <w:color w:val="000000"/>
              </w:rPr>
            </w:r>
            <w:r w:rsidR="00D73605">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93332F" w14:textId="77777777" w:rsidR="00A77B3E" w:rsidRDefault="00EE0A2B">
            <w:pPr>
              <w:spacing w:before="100"/>
              <w:rPr>
                <w:color w:val="000000"/>
              </w:rPr>
            </w:pPr>
            <w:r>
              <w:rPr>
                <w:color w:val="000000"/>
              </w:rPr>
              <w:t>3. Връщане</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1F7461" w14:textId="77777777" w:rsidR="00A77B3E" w:rsidRDefault="00EE0A2B">
            <w:pPr>
              <w:spacing w:before="100"/>
              <w:rPr>
                <w:color w:val="000000"/>
              </w:rPr>
            </w:pPr>
            <w:r>
              <w:rPr>
                <w:color w:val="000000"/>
              </w:rPr>
              <w:t>Конкретни действия</w:t>
            </w:r>
          </w:p>
        </w:tc>
      </w:tr>
      <w:tr w:rsidR="00723994" w14:paraId="38E51CF0"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D6C73E" w14:textId="77777777" w:rsidR="00A77B3E" w:rsidRDefault="00EE0A2B">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D73605">
              <w:rPr>
                <w:color w:val="000000"/>
              </w:rPr>
            </w:r>
            <w:r w:rsidR="00D73605">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A68E16" w14:textId="77777777" w:rsidR="00A77B3E" w:rsidRDefault="00EE0A2B">
            <w:pPr>
              <w:spacing w:before="100"/>
              <w:rPr>
                <w:color w:val="000000"/>
              </w:rPr>
            </w:pPr>
            <w:r>
              <w:rPr>
                <w:color w:val="000000"/>
              </w:rPr>
              <w:t>3. Връщане</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A59F82" w14:textId="77777777" w:rsidR="00A77B3E" w:rsidRDefault="00EE0A2B">
            <w:pPr>
              <w:spacing w:before="100"/>
              <w:rPr>
                <w:color w:val="000000"/>
              </w:rPr>
            </w:pPr>
            <w:r>
              <w:rPr>
                <w:color w:val="000000"/>
              </w:rPr>
              <w:t>Действия по приложение IV</w:t>
            </w:r>
          </w:p>
        </w:tc>
      </w:tr>
      <w:tr w:rsidR="00723994" w14:paraId="11827AA4"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93ED71" w14:textId="77777777" w:rsidR="00A77B3E" w:rsidRDefault="00EE0A2B">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D73605">
              <w:rPr>
                <w:color w:val="000000"/>
              </w:rPr>
            </w:r>
            <w:r w:rsidR="00D73605">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08E21D" w14:textId="77777777" w:rsidR="00A77B3E" w:rsidRDefault="00EE0A2B">
            <w:pPr>
              <w:spacing w:before="100"/>
              <w:rPr>
                <w:color w:val="000000"/>
              </w:rPr>
            </w:pPr>
            <w:r>
              <w:rPr>
                <w:color w:val="000000"/>
              </w:rPr>
              <w:t>3. Връщане</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D7591C" w14:textId="77777777" w:rsidR="00A77B3E" w:rsidRDefault="00EE0A2B">
            <w:pPr>
              <w:spacing w:before="100"/>
              <w:rPr>
                <w:color w:val="000000"/>
              </w:rPr>
            </w:pPr>
            <w:r>
              <w:rPr>
                <w:color w:val="000000"/>
              </w:rPr>
              <w:t>Оперативна поддръжка</w:t>
            </w:r>
          </w:p>
        </w:tc>
      </w:tr>
      <w:tr w:rsidR="00723994" w14:paraId="258D6F58"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A79588" w14:textId="77777777" w:rsidR="00A77B3E" w:rsidRDefault="00EE0A2B">
            <w:pPr>
              <w:spacing w:before="100"/>
              <w:jc w:val="center"/>
              <w:rPr>
                <w:color w:val="000000"/>
              </w:rPr>
            </w:pP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D73605">
              <w:rPr>
                <w:color w:val="000000"/>
              </w:rPr>
            </w:r>
            <w:r w:rsidR="00D73605">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2065D7" w14:textId="77777777" w:rsidR="00A77B3E" w:rsidRDefault="00EE0A2B">
            <w:pPr>
              <w:spacing w:before="100"/>
              <w:rPr>
                <w:color w:val="000000"/>
              </w:rPr>
            </w:pPr>
            <w:r>
              <w:rPr>
                <w:color w:val="000000"/>
              </w:rPr>
              <w:t>3. Връщане</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EF9E02" w14:textId="77777777" w:rsidR="00A77B3E" w:rsidRDefault="00EE0A2B">
            <w:pPr>
              <w:spacing w:before="100"/>
              <w:rPr>
                <w:color w:val="000000"/>
              </w:rPr>
            </w:pPr>
            <w:r>
              <w:rPr>
                <w:color w:val="000000"/>
              </w:rPr>
              <w:t>Спешна помощ</w:t>
            </w:r>
          </w:p>
        </w:tc>
      </w:tr>
      <w:tr w:rsidR="00723994" w14:paraId="160A4E2C"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F55AC9" w14:textId="77777777" w:rsidR="00A77B3E" w:rsidRDefault="00EE0A2B">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D73605">
              <w:rPr>
                <w:color w:val="000000"/>
              </w:rPr>
            </w:r>
            <w:r w:rsidR="00D73605">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A8A65E" w14:textId="77777777" w:rsidR="00A77B3E" w:rsidRDefault="00EE0A2B">
            <w:pPr>
              <w:spacing w:before="100"/>
              <w:rPr>
                <w:color w:val="000000"/>
              </w:rPr>
            </w:pPr>
            <w:r>
              <w:rPr>
                <w:color w:val="000000"/>
              </w:rPr>
              <w:t>3. Връщане</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03135A" w14:textId="77777777" w:rsidR="00A77B3E" w:rsidRDefault="00EE0A2B">
            <w:pPr>
              <w:spacing w:before="100"/>
              <w:rPr>
                <w:color w:val="000000"/>
              </w:rPr>
            </w:pPr>
            <w:r>
              <w:rPr>
                <w:color w:val="000000"/>
              </w:rPr>
              <w:t>Пактът и специфичните действия за Украйна</w:t>
            </w:r>
          </w:p>
        </w:tc>
      </w:tr>
      <w:tr w:rsidR="00723994" w14:paraId="4A8D6E76"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65A5BC" w14:textId="77777777" w:rsidR="00A77B3E" w:rsidRDefault="00EE0A2B">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D73605">
              <w:rPr>
                <w:color w:val="000000"/>
              </w:rPr>
            </w:r>
            <w:r w:rsidR="00D73605">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93D62A" w14:textId="77777777" w:rsidR="00A77B3E" w:rsidRDefault="00EE0A2B">
            <w:pPr>
              <w:spacing w:before="100"/>
              <w:rPr>
                <w:color w:val="000000"/>
              </w:rPr>
            </w:pPr>
            <w:r>
              <w:rPr>
                <w:color w:val="000000"/>
              </w:rPr>
              <w:t>4. Солидарност</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8C044A" w14:textId="77777777" w:rsidR="00A77B3E" w:rsidRDefault="00EE0A2B">
            <w:pPr>
              <w:spacing w:before="100"/>
              <w:rPr>
                <w:color w:val="000000"/>
              </w:rPr>
            </w:pPr>
            <w:r>
              <w:rPr>
                <w:color w:val="000000"/>
              </w:rPr>
              <w:t>Редовни действия</w:t>
            </w:r>
          </w:p>
        </w:tc>
      </w:tr>
      <w:tr w:rsidR="00723994" w14:paraId="0A9756B5"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D38E11" w14:textId="77777777" w:rsidR="00A77B3E" w:rsidRDefault="00EE0A2B">
            <w:pPr>
              <w:spacing w:before="100"/>
              <w:jc w:val="center"/>
              <w:rPr>
                <w:color w:val="000000"/>
              </w:rPr>
            </w:pP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D73605">
              <w:rPr>
                <w:color w:val="000000"/>
              </w:rPr>
            </w:r>
            <w:r w:rsidR="00D73605">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FDFCEB" w14:textId="77777777" w:rsidR="00A77B3E" w:rsidRDefault="00EE0A2B">
            <w:pPr>
              <w:spacing w:before="100"/>
              <w:rPr>
                <w:color w:val="000000"/>
              </w:rPr>
            </w:pPr>
            <w:r>
              <w:rPr>
                <w:color w:val="000000"/>
              </w:rPr>
              <w:t>4. Солидарност</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DC7593" w14:textId="77777777" w:rsidR="00A77B3E" w:rsidRDefault="00EE0A2B">
            <w:pPr>
              <w:spacing w:before="100"/>
              <w:rPr>
                <w:color w:val="000000"/>
              </w:rPr>
            </w:pPr>
            <w:r>
              <w:rPr>
                <w:color w:val="000000"/>
              </w:rPr>
              <w:t>Конкретни действия</w:t>
            </w:r>
          </w:p>
        </w:tc>
      </w:tr>
      <w:tr w:rsidR="00723994" w14:paraId="6873C65C"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E60A1C" w14:textId="77777777" w:rsidR="00A77B3E" w:rsidRDefault="00EE0A2B">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D73605">
              <w:rPr>
                <w:color w:val="000000"/>
              </w:rPr>
            </w:r>
            <w:r w:rsidR="00D73605">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1EC265" w14:textId="77777777" w:rsidR="00A77B3E" w:rsidRDefault="00EE0A2B">
            <w:pPr>
              <w:spacing w:before="100"/>
              <w:rPr>
                <w:color w:val="000000"/>
              </w:rPr>
            </w:pPr>
            <w:r>
              <w:rPr>
                <w:color w:val="000000"/>
              </w:rPr>
              <w:t>4. Солидарност</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1457A9" w14:textId="77777777" w:rsidR="00A77B3E" w:rsidRDefault="00EE0A2B">
            <w:pPr>
              <w:spacing w:before="100"/>
              <w:rPr>
                <w:color w:val="000000"/>
              </w:rPr>
            </w:pPr>
            <w:r>
              <w:rPr>
                <w:color w:val="000000"/>
              </w:rPr>
              <w:t>Действия по приложение IV</w:t>
            </w:r>
          </w:p>
        </w:tc>
      </w:tr>
      <w:tr w:rsidR="00723994" w14:paraId="1C35E376"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8D9AB4" w14:textId="77777777" w:rsidR="00A77B3E" w:rsidRDefault="00EE0A2B">
            <w:pPr>
              <w:spacing w:before="100"/>
              <w:jc w:val="center"/>
              <w:rPr>
                <w:color w:val="000000"/>
              </w:rPr>
            </w:pP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D73605">
              <w:rPr>
                <w:color w:val="000000"/>
              </w:rPr>
            </w:r>
            <w:r w:rsidR="00D73605">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74B8B8" w14:textId="77777777" w:rsidR="00A77B3E" w:rsidRDefault="00EE0A2B">
            <w:pPr>
              <w:spacing w:before="100"/>
              <w:rPr>
                <w:color w:val="000000"/>
              </w:rPr>
            </w:pPr>
            <w:r>
              <w:rPr>
                <w:color w:val="000000"/>
              </w:rPr>
              <w:t>4. Солидарност</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DF2FB4" w14:textId="77777777" w:rsidR="00A77B3E" w:rsidRDefault="00EE0A2B">
            <w:pPr>
              <w:spacing w:before="100"/>
              <w:rPr>
                <w:color w:val="000000"/>
              </w:rPr>
            </w:pPr>
            <w:r>
              <w:rPr>
                <w:color w:val="000000"/>
              </w:rPr>
              <w:t>Оперативна поддръжка</w:t>
            </w:r>
          </w:p>
        </w:tc>
      </w:tr>
      <w:tr w:rsidR="00723994" w14:paraId="4F97E136"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63DBE4" w14:textId="77777777" w:rsidR="00A77B3E" w:rsidRDefault="00EE0A2B">
            <w:pPr>
              <w:spacing w:before="100"/>
              <w:jc w:val="center"/>
              <w:rPr>
                <w:color w:val="000000"/>
              </w:rPr>
            </w:pP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D73605">
              <w:rPr>
                <w:color w:val="000000"/>
              </w:rPr>
            </w:r>
            <w:r w:rsidR="00D73605">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F7923E" w14:textId="77777777" w:rsidR="00A77B3E" w:rsidRDefault="00EE0A2B">
            <w:pPr>
              <w:spacing w:before="100"/>
              <w:rPr>
                <w:color w:val="000000"/>
              </w:rPr>
            </w:pPr>
            <w:r>
              <w:rPr>
                <w:color w:val="000000"/>
              </w:rPr>
              <w:t>4. Солидарност</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B23B41" w14:textId="77777777" w:rsidR="00A77B3E" w:rsidRDefault="00EE0A2B">
            <w:pPr>
              <w:spacing w:before="100"/>
              <w:rPr>
                <w:color w:val="000000"/>
              </w:rPr>
            </w:pPr>
            <w:r>
              <w:rPr>
                <w:color w:val="000000"/>
              </w:rPr>
              <w:t>Спешна помощ</w:t>
            </w:r>
          </w:p>
        </w:tc>
      </w:tr>
      <w:tr w:rsidR="00723994" w14:paraId="50482102"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A7C217" w14:textId="77777777" w:rsidR="00A77B3E" w:rsidRDefault="00EE0A2B">
            <w:pPr>
              <w:spacing w:before="100"/>
              <w:jc w:val="center"/>
              <w:rPr>
                <w:color w:val="000000"/>
              </w:rPr>
            </w:pPr>
            <w:r>
              <w:rPr>
                <w:color w:val="000000"/>
              </w:rPr>
              <w:lastRenderedPageBreak/>
              <w:fldChar w:fldCharType="begin">
                <w:ffData>
                  <w:name w:val=""/>
                  <w:enabled/>
                  <w:calcOnExit w:val="0"/>
                  <w:checkBox>
                    <w:size w:val="20"/>
                    <w:default w:val="1"/>
                    <w:checked/>
                  </w:checkBox>
                </w:ffData>
              </w:fldChar>
            </w:r>
            <w:r>
              <w:rPr>
                <w:color w:val="000000"/>
              </w:rPr>
              <w:instrText xml:space="preserve"> FORMCHECKBOX </w:instrText>
            </w:r>
            <w:r w:rsidR="00D73605">
              <w:rPr>
                <w:color w:val="000000"/>
              </w:rPr>
            </w:r>
            <w:r w:rsidR="00D73605">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CDAE4C" w14:textId="77777777" w:rsidR="00A77B3E" w:rsidRDefault="00EE0A2B">
            <w:pPr>
              <w:spacing w:before="100"/>
              <w:rPr>
                <w:color w:val="000000"/>
              </w:rPr>
            </w:pPr>
            <w:r>
              <w:rPr>
                <w:color w:val="000000"/>
              </w:rPr>
              <w:t>4. Солидарност</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A44718" w14:textId="77777777" w:rsidR="00A77B3E" w:rsidRDefault="00EE0A2B">
            <w:pPr>
              <w:spacing w:before="100"/>
              <w:rPr>
                <w:color w:val="000000"/>
              </w:rPr>
            </w:pPr>
            <w:r>
              <w:rPr>
                <w:color w:val="000000"/>
              </w:rPr>
              <w:t>Презаселване и хуманитарен прием</w:t>
            </w:r>
          </w:p>
        </w:tc>
      </w:tr>
      <w:tr w:rsidR="00723994" w14:paraId="401291DB"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2739E4" w14:textId="77777777" w:rsidR="00A77B3E" w:rsidRDefault="00EE0A2B">
            <w:pPr>
              <w:spacing w:before="100"/>
              <w:jc w:val="center"/>
              <w:rPr>
                <w:color w:val="000000"/>
              </w:rPr>
            </w:pP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D73605">
              <w:rPr>
                <w:color w:val="000000"/>
              </w:rPr>
            </w:r>
            <w:r w:rsidR="00D73605">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E4DCCF" w14:textId="77777777" w:rsidR="00A77B3E" w:rsidRDefault="00EE0A2B">
            <w:pPr>
              <w:spacing w:before="100"/>
              <w:rPr>
                <w:color w:val="000000"/>
              </w:rPr>
            </w:pPr>
            <w:r>
              <w:rPr>
                <w:color w:val="000000"/>
              </w:rPr>
              <w:t>4. Солидарност</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F7CA23" w14:textId="77777777" w:rsidR="00A77B3E" w:rsidRDefault="00EE0A2B">
            <w:pPr>
              <w:spacing w:before="100"/>
              <w:rPr>
                <w:color w:val="000000"/>
              </w:rPr>
            </w:pPr>
            <w:r>
              <w:rPr>
                <w:color w:val="000000"/>
              </w:rPr>
              <w:t>Международна закрила (Трансфер)</w:t>
            </w:r>
          </w:p>
        </w:tc>
      </w:tr>
      <w:tr w:rsidR="00723994" w14:paraId="54DF2276"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72630A" w14:textId="77777777" w:rsidR="00A77B3E" w:rsidRDefault="00EE0A2B">
            <w:pPr>
              <w:spacing w:before="100"/>
              <w:jc w:val="center"/>
              <w:rPr>
                <w:color w:val="000000"/>
              </w:rPr>
            </w:pP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D73605">
              <w:rPr>
                <w:color w:val="000000"/>
              </w:rPr>
            </w:r>
            <w:r w:rsidR="00D73605">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4E405C" w14:textId="77777777" w:rsidR="00A77B3E" w:rsidRDefault="00EE0A2B">
            <w:pPr>
              <w:spacing w:before="100"/>
              <w:rPr>
                <w:color w:val="000000"/>
              </w:rPr>
            </w:pPr>
            <w:r>
              <w:rPr>
                <w:color w:val="000000"/>
              </w:rPr>
              <w:t>4. Солидарност</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07FF6F" w14:textId="77777777" w:rsidR="00A77B3E" w:rsidRDefault="00EE0A2B">
            <w:pPr>
              <w:spacing w:before="100"/>
              <w:rPr>
                <w:color w:val="000000"/>
              </w:rPr>
            </w:pPr>
            <w:r>
              <w:rPr>
                <w:color w:val="000000"/>
              </w:rPr>
              <w:t>Международна закрила (Прехвърляне навън)</w:t>
            </w:r>
          </w:p>
        </w:tc>
      </w:tr>
      <w:tr w:rsidR="00723994" w14:paraId="3DEBAA39"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39DA3E" w14:textId="77777777" w:rsidR="00A77B3E" w:rsidRDefault="00EE0A2B">
            <w:pPr>
              <w:spacing w:before="100"/>
              <w:jc w:val="center"/>
              <w:rPr>
                <w:color w:val="000000"/>
              </w:rPr>
            </w:pP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D73605">
              <w:rPr>
                <w:color w:val="000000"/>
              </w:rPr>
            </w:r>
            <w:r w:rsidR="00D73605">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763A0A" w14:textId="77777777" w:rsidR="00A77B3E" w:rsidRDefault="00EE0A2B">
            <w:pPr>
              <w:spacing w:before="100"/>
              <w:rPr>
                <w:color w:val="000000"/>
              </w:rPr>
            </w:pPr>
            <w:r>
              <w:rPr>
                <w:color w:val="000000"/>
              </w:rPr>
              <w:t>4. Солидарност</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9D7059" w14:textId="77777777" w:rsidR="00A77B3E" w:rsidRDefault="00EE0A2B">
            <w:pPr>
              <w:spacing w:before="100"/>
              <w:rPr>
                <w:color w:val="000000"/>
              </w:rPr>
            </w:pPr>
            <w:r>
              <w:rPr>
                <w:color w:val="000000"/>
              </w:rPr>
              <w:t>Пактът и специфичните действия за Украйна</w:t>
            </w:r>
          </w:p>
        </w:tc>
      </w:tr>
      <w:tr w:rsidR="00723994" w14:paraId="2C3A4CF2"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EE26C6" w14:textId="77777777" w:rsidR="00A77B3E" w:rsidRDefault="00EE0A2B">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D73605">
              <w:rPr>
                <w:color w:val="000000"/>
              </w:rPr>
            </w:r>
            <w:r w:rsidR="00D73605">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523A26" w14:textId="77777777" w:rsidR="00A77B3E" w:rsidRDefault="00EE0A2B">
            <w:pPr>
              <w:spacing w:before="100"/>
              <w:rPr>
                <w:color w:val="000000"/>
              </w:rPr>
            </w:pPr>
            <w:r>
              <w:rPr>
                <w:color w:val="000000"/>
              </w:rPr>
              <w:t>TA.36(5). Техническа помощ - фиксирана ставка (чл. 36(5) от CPR)</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8D6A77" w14:textId="77777777" w:rsidR="00A77B3E" w:rsidRDefault="00A77B3E">
            <w:pPr>
              <w:spacing w:before="100"/>
              <w:rPr>
                <w:color w:val="000000"/>
              </w:rPr>
            </w:pPr>
          </w:p>
        </w:tc>
      </w:tr>
      <w:tr w:rsidR="00723994" w14:paraId="228D91A9"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A6A11A" w14:textId="77777777" w:rsidR="00A77B3E" w:rsidRDefault="00EE0A2B">
            <w:pPr>
              <w:spacing w:before="100"/>
              <w:jc w:val="center"/>
              <w:rPr>
                <w:color w:val="000000"/>
              </w:rPr>
            </w:pP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D73605">
              <w:rPr>
                <w:color w:val="000000"/>
              </w:rPr>
            </w:r>
            <w:r w:rsidR="00D73605">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7F3D56" w14:textId="77777777" w:rsidR="00A77B3E" w:rsidRDefault="00EE0A2B">
            <w:pPr>
              <w:spacing w:before="100"/>
              <w:rPr>
                <w:color w:val="000000"/>
              </w:rPr>
            </w:pPr>
            <w:r>
              <w:rPr>
                <w:color w:val="000000"/>
              </w:rPr>
              <w:t>TA.37. Техническа помощ - не е свързана с разходи (чл. 37 от CPR)</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60CC62" w14:textId="77777777" w:rsidR="00A77B3E" w:rsidRDefault="00A77B3E">
            <w:pPr>
              <w:spacing w:before="100"/>
              <w:rPr>
                <w:color w:val="000000"/>
              </w:rPr>
            </w:pPr>
          </w:p>
        </w:tc>
      </w:tr>
    </w:tbl>
    <w:p w14:paraId="2C19D3DE" w14:textId="77777777" w:rsidR="00A77B3E" w:rsidRDefault="00A77B3E">
      <w:pPr>
        <w:spacing w:before="100"/>
        <w:jc w:val="center"/>
        <w:rPr>
          <w:color w:val="000000"/>
        </w:rPr>
        <w:sectPr w:rsidR="00A77B3E">
          <w:headerReference w:type="even" r:id="rId7"/>
          <w:headerReference w:type="default" r:id="rId8"/>
          <w:footerReference w:type="even" r:id="rId9"/>
          <w:footerReference w:type="default" r:id="rId10"/>
          <w:headerReference w:type="first" r:id="rId11"/>
          <w:footerReference w:type="first" r:id="rId12"/>
          <w:pgSz w:w="11906" w:h="16838"/>
          <w:pgMar w:top="720" w:right="936" w:bottom="864" w:left="720" w:header="0" w:footer="72" w:gutter="0"/>
          <w:cols w:space="720"/>
          <w:noEndnote/>
          <w:docGrid w:linePitch="360"/>
        </w:sectPr>
      </w:pPr>
    </w:p>
    <w:p w14:paraId="75E1AC75" w14:textId="77777777" w:rsidR="00A77B3E" w:rsidRDefault="00EE0A2B">
      <w:pPr>
        <w:pStyle w:val="Heading2"/>
        <w:spacing w:before="100" w:after="0"/>
        <w:rPr>
          <w:rFonts w:ascii="TimesNewRoman" w:eastAsia="TimesNewRoman" w:hAnsi="TimesNewRoman" w:cs="TimesNewRoman"/>
          <w:b w:val="0"/>
          <w:i w:val="0"/>
          <w:color w:val="000000"/>
          <w:sz w:val="24"/>
        </w:rPr>
      </w:pPr>
      <w:bookmarkStart w:id="2" w:name="_Toc256000065"/>
      <w:r>
        <w:rPr>
          <w:rFonts w:ascii="TimesNewRoman" w:eastAsia="TimesNewRoman" w:hAnsi="TimesNewRoman" w:cs="TimesNewRoman"/>
          <w:b w:val="0"/>
          <w:i w:val="0"/>
          <w:color w:val="000000"/>
          <w:sz w:val="24"/>
        </w:rPr>
        <w:lastRenderedPageBreak/>
        <w:t>2.1. Специфична цел: 1. CEAS</w:t>
      </w:r>
      <w:bookmarkEnd w:id="2"/>
    </w:p>
    <w:p w14:paraId="6DA20946" w14:textId="77777777" w:rsidR="00A77B3E" w:rsidRDefault="00A77B3E">
      <w:pPr>
        <w:spacing w:before="100"/>
        <w:rPr>
          <w:rFonts w:ascii="TimesNewRoman" w:eastAsia="TimesNewRoman" w:hAnsi="TimesNewRoman" w:cs="TimesNewRoman"/>
          <w:color w:val="000000"/>
          <w:sz w:val="0"/>
        </w:rPr>
      </w:pPr>
    </w:p>
    <w:p w14:paraId="7C4ABD89" w14:textId="77777777" w:rsidR="00A77B3E" w:rsidRDefault="00EE0A2B">
      <w:pPr>
        <w:pStyle w:val="Heading3"/>
        <w:spacing w:before="100" w:after="0"/>
        <w:rPr>
          <w:rFonts w:ascii="TimesNewRoman" w:eastAsia="TimesNewRoman" w:hAnsi="TimesNewRoman" w:cs="TimesNewRoman"/>
          <w:b w:val="0"/>
          <w:color w:val="000000"/>
          <w:sz w:val="24"/>
        </w:rPr>
      </w:pPr>
      <w:bookmarkStart w:id="3" w:name="_Toc256000066"/>
      <w:r>
        <w:rPr>
          <w:rFonts w:ascii="TimesNewRoman" w:eastAsia="TimesNewRoman" w:hAnsi="TimesNewRoman" w:cs="TimesNewRoman"/>
          <w:b w:val="0"/>
          <w:color w:val="000000"/>
          <w:sz w:val="24"/>
        </w:rPr>
        <w:t>2.1.1. Описание на специфичната цел</w:t>
      </w:r>
      <w:bookmarkEnd w:id="3"/>
    </w:p>
    <w:p w14:paraId="5A561B64" w14:textId="77777777" w:rsidR="00A77B3E" w:rsidRDefault="00A77B3E">
      <w:pPr>
        <w:spacing w:before="100"/>
        <w:rPr>
          <w:rFonts w:ascii="TimesNewRoman" w:eastAsia="TimesNewRoman" w:hAnsi="TimesNewRoman" w:cs="TimesNewRoman"/>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723994" w14:paraId="58200F63"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65B773" w14:textId="77777777" w:rsidR="00A77B3E" w:rsidRDefault="00A77B3E">
            <w:pPr>
              <w:spacing w:before="100"/>
              <w:rPr>
                <w:rFonts w:ascii="TimesNewRoman" w:eastAsia="TimesNewRoman" w:hAnsi="TimesNewRoman" w:cs="TimesNewRoman"/>
                <w:color w:val="000000"/>
                <w:sz w:val="0"/>
              </w:rPr>
            </w:pPr>
          </w:p>
          <w:p w14:paraId="3D3B94BD"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През периода от 2015 г. до края на 2019 г. броят на подадените молби за международна закрила в България е общо 48 197. Въпреки че през периода 2017-2019 г. броят на лицата, търсещи международна закрила, е намалял, средно са подадени по 2800 молби годишно. През 2020 г. се наблюдава увеличение и са подадени общо 3525 молби. През 2021 г. са подадени общо 10 999 молби - с 212% повече отколкото през 2020 г. Към 31 декември 2022 г. броят на подадените молби достига 18 880. През 2023 г. са подадени общо 22 518 молби за международна закрила, докато през 2024 г. се наблюдава рязък спад с 46% до 12 250. Миграционната среда се характеризира с относително висока динамика. Това изисква поддържане на адекватен национален капацитет за реагиране на евентуален висок миграционен натиск.</w:t>
            </w:r>
          </w:p>
          <w:p w14:paraId="31C5E7F5"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След миграционната криза през периода 2013 – 2017 г. българското правителство предприе редица мерки с цел подобряване на капацитета за настаняване на лица, търсещи международна закрила, подобряване на условията за приемане и настаняване, повишаване на административния капацитет и подобряване на процедурата за предоставяне на международна закрила.</w:t>
            </w:r>
          </w:p>
          <w:p w14:paraId="10607EEB"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В момента капацитетът на териториалните звена на ДАБ е следният:</w:t>
            </w:r>
          </w:p>
          <w:p w14:paraId="60F1B9D6"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РРЦ София, Овча Купел (капацитет 860 места)</w:t>
            </w:r>
          </w:p>
          <w:p w14:paraId="347336FC"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РРЦ София, Военна рампа (капацитет 800 места)</w:t>
            </w:r>
          </w:p>
          <w:p w14:paraId="43113F22"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РРЦ София, Враждебна (капацитет 370 места и 30 в затворен тип помещения)</w:t>
            </w:r>
          </w:p>
          <w:p w14:paraId="07AFD02D"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РРЦ Харманли (капацитет 2 710 места)</w:t>
            </w:r>
          </w:p>
          <w:p w14:paraId="7ED1F322"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RRC Баня (капацитет 70 места)</w:t>
            </w:r>
          </w:p>
          <w:p w14:paraId="576966AC"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Транзитен център Пастрогор (капацитет 320 места)</w:t>
            </w:r>
          </w:p>
          <w:p w14:paraId="0194B020" w14:textId="77777777" w:rsidR="00A77B3E" w:rsidRDefault="00A77B3E">
            <w:pPr>
              <w:spacing w:before="100"/>
              <w:rPr>
                <w:rFonts w:ascii="TimesNewRoman" w:eastAsia="TimesNewRoman" w:hAnsi="TimesNewRoman" w:cs="TimesNewRoman"/>
                <w:color w:val="000000"/>
              </w:rPr>
            </w:pPr>
          </w:p>
          <w:p w14:paraId="403574B8"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Персоналът на ДАБ, участващ в изпълнението на дейности, свързани с международна закрила, е общо 402 души, от които 100 души са наети по проекти, финансирани от ФУМИ. Служителите, наети по проекти, финансирани от ФУМИ, извършват дейности, свързани с медицинските грижи, настаняването и поддръжката на центровете за ДАБ. Подобряването на процедурата за международна закрила е основен приоритет и освен различни обучения, проведени с финансиране от ФУМИ, беше осъществен и обмен на опит и добри практики с подкрепата на Агенцията на Европейския съюз в областта на убежището.</w:t>
            </w:r>
          </w:p>
          <w:p w14:paraId="5DCBA06B"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През периода 2014 – 2020 г. по линия на ФУМИ и с национални средства се предоставя подкрепа на лица, търсещи или получили международна закрила. Подкрепата осигурява подходящи условия за прием и настаняване, както и услуги с цел подпомагане и улесняване на първоначалната адаптация на лицата, търсещи международна закрила в Република България. Специален акцент в подкрепата е поставен върху уязвимите лица, на които се предоставя специализирана подкрепа, съобразена с техните специфични нужди.</w:t>
            </w:r>
          </w:p>
          <w:p w14:paraId="67D60B8D"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Поддържането на условията за прием и настаняване е постоянно повтаряща се дейност поради постоянния и динамичен поток от граждани на трети страни, настанени в центровете. Поради интензивната употреба, материалните условия се влошават бързо и е необходимо постоянно да се поддържат и обновяват. Оперативните разходи, сигурността и осигуряването на храна са основни дейности, чието осигуряване е необходимо за правилното функциониране на центровете за спешна помощ.</w:t>
            </w:r>
          </w:p>
          <w:p w14:paraId="19860288"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Съгласно Закона за убежището и бежанците, чужденците, които търсят или са получили международна закрила, имат правата и задълженията по закона и носят гражданска, административно-наказателна и наказателна отговорност при условията и правилата за българските граждани. В този контекст и по отношение на правото на информация относно </w:t>
            </w:r>
            <w:r>
              <w:rPr>
                <w:rFonts w:ascii="TimesNewRoman" w:eastAsia="TimesNewRoman" w:hAnsi="TimesNewRoman" w:cs="TimesNewRoman"/>
                <w:color w:val="000000"/>
              </w:rPr>
              <w:lastRenderedPageBreak/>
              <w:t>собствения си статут, гражданите на трети страни биват информирани за своите права и задължения от специализирани експерти и на език, който разбират.</w:t>
            </w:r>
          </w:p>
          <w:p w14:paraId="451BDADF"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Лицата, търсещи международна закрила, получават подкрепа в редица области, включително правна подкрепа, осигуряване на адекватен превод; подкрепа в комуникацията с институциите в България, които предоставят услуги на целевата група; предоставянето на социална и психологическа подкрепа на лицата, търсещи международна закрила, се осъществява до издаване на окончателно решение по молбата им.</w:t>
            </w:r>
          </w:p>
          <w:p w14:paraId="58A87115"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По време на изпълнението на безвъзмездните средства по ФУМИ НП и СМ за периода 2014 – 2020 г. и след въведените мерки срещу COVID-19, ДАБ подобри медицинските услуги и подкрепа, предоставяни на лица, търсещи международна закрила, по отношение на осигуряването на лекарства и консумативи, медицински грижи и изследвания, лични предпазни средства и дезинфекционни средства. Предоставянето на тези средства и услуги е от първостепенно значение и не зависи от медицинското състояние на лицата и наличието на тези средства.</w:t>
            </w:r>
          </w:p>
          <w:p w14:paraId="510704D3"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Въпреки общото намаление на лицата, търсещи международна закрила през последните години, децата продължават да формират една трета (731 или 34%) от лицата, кандидатстващи за международна закрила в страната. От тях броят на НБД и разделените деца в края на 2019 г. е 524, което представлява над 70% от всички деца, търсещи закрила в България, в сравнение с 60% през 2018 г. и 50% през 2017 г. Според данни на ДАБ през 2019 г. от общия брой 481 лица, на които е предоставена международна закрила, 184 са деца на възраст 0-17 години, които представляват 38% от всички лица, на които е предоставена международна закрила в България.</w:t>
            </w:r>
          </w:p>
          <w:p w14:paraId="1550F676"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От всички търсещи убежище през 2020 г., 1125 са били деца (на възраст 0-17 години) или 32% от всички кандидати. През 2020 г. 799 от всички деца, подали закрила, са били непридружени и разделени от семействата си деца или повече от 70%. През 2021 г. са регистрирани общо 3172 непридружени непълнолетни, което представлява 29% от всички подадени молби през годината. През 2022 г. са регистрирани 3348 непридружени непълнолетни, което представлява 17% от всички молби. През 2023 г. са регистрирани 3843 непридружени непълнолетни, което представлява 17% от всички молби. През 2024 г. този брой е намалял до 2601, следвайки общото намаление на броя на молбите.</w:t>
            </w:r>
          </w:p>
          <w:p w14:paraId="5E0BBE3E"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Уязвимите лица, които търсят международна закрила, и по-специално НБМ, имат особена нужда от специфични форми на подкрепа. През 2019 г. в два от центровете за ДАБ бяха създадени зони за безопасност за настаняване на НБМ, търсещи международна закрила, с финансиране по грантове по СМ ФУМИ. Едната от зоните за безопасност е с капацитет за настаняване от 100 места в RRC София, Военна рампа, и функционира от юни 2019 г. В нея се настаняват НБМ от Афганистан, Пакистан и Иран. Тя е разположена на три етажа на сградата с отделен вход и денонощна охрана. Общо 9 служители – социални работници, преводачи, психолози, както и служители на ДАБ и представители на неправителствени организации, се грижат за НБМ. Другата зона за безопасност функционира от януари 2020 г. в </w:t>
            </w:r>
            <w:r>
              <w:rPr>
                <w:rFonts w:ascii="TimesNewRoman" w:eastAsia="TimesNewRoman" w:hAnsi="TimesNewRoman" w:cs="TimesNewRoman"/>
                <w:color w:val="000000"/>
                <w:lang w:val="bg-BG"/>
              </w:rPr>
              <w:t>РПЦ</w:t>
            </w:r>
            <w:r>
              <w:rPr>
                <w:rFonts w:ascii="TimesNewRoman" w:eastAsia="TimesNewRoman" w:hAnsi="TimesNewRoman" w:cs="TimesNewRoman"/>
                <w:color w:val="000000"/>
              </w:rPr>
              <w:t xml:space="preserve"> София, Овча купел, и има капацитет за настаняване на 138 НБМ. В нея се настаняват НБМ от Сирия и Ирак. Трябва да се отбележи, че за периода от януари до декември 2020 г. само в двете зони за безопасност са настанени и са получили специализирана подкрепа общо 728 деца без родителски права. Трета зона за безопасност е създадена в СПК Харманли с капацитет за настаняване на 98 деца по проект, реализиран от УНИЦЕФ, подкрепен от Швейцарския департамент по миграция.</w:t>
            </w:r>
          </w:p>
          <w:p w14:paraId="038E4544"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Тези зони осигуряват подходящо настаняване, социална подкрепа и достъп до редица основни услуги, съобразени с нуждите на НБМ, търсещи международна закрила, стандартите, установени в областта, и въз основа на оценката на най-добрия интерес на детето. В рамките на тази специфична цел ще бъдат планирани мерки за осигуряване на стабилно функциониране на зоните за безопасност и подобряване на условията за настаняване, както и на услугите и подкрепата, предоставяни на НБМ, включително сигурност, социална и психологическа подкрепа. Специализираната Методика за условията и организацията на социалната подкрепа в зоните за безопасност регулира процедурата по приемане и настаняване, специфичните правила за двете зони за безопасност, определя дейностите за образователна подкрепа, социална адаптация и </w:t>
            </w:r>
            <w:r>
              <w:rPr>
                <w:rFonts w:ascii="TimesNewRoman" w:eastAsia="TimesNewRoman" w:hAnsi="TimesNewRoman" w:cs="TimesNewRoman"/>
                <w:color w:val="000000"/>
              </w:rPr>
              <w:lastRenderedPageBreak/>
              <w:t>културна ориентация, предвижда предоставяне на 24/7 грижи и услуги за сигурност, както и са определени принципите и подходите на работа.</w:t>
            </w:r>
          </w:p>
          <w:p w14:paraId="0403F508"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Техническата поддръжка на условията за прием и настаняване в центровете за ДАБ, предоставянето на услуги за сигурност, оперативните разходи и храната за центровете, както и необходимият административен капацитет по отношение на квалификация и достатъчен брой персонал, са постоянни нужди, които трябва да бъдат непрекъснато подкрепяни, за да се осигури правилното функциониране на българската система за международна закрила. През периода на финансиране 2014 – 2020 г. те бяха подкрепени като набор от интегрирани мерки с финансиране по ФУМИ и национално финансиране от националната отговорна институция и с подкрепата на организации, работещи в тази област. Подкрепата за създаването на безопасни зони за непълнолетни бежанци (НБМ) по линия на грантове по СМ ще продължи по програмата ФУМИ 2021-2027 г., за да се отговорят на нуждите на целевата група от адекватни условия за настаняване и услуги.</w:t>
            </w:r>
          </w:p>
          <w:p w14:paraId="26DBF7A5" w14:textId="77777777" w:rsidR="00A77B3E" w:rsidRDefault="00A77B3E">
            <w:pPr>
              <w:spacing w:before="100"/>
              <w:rPr>
                <w:rFonts w:ascii="TimesNewRoman" w:eastAsia="TimesNewRoman" w:hAnsi="TimesNewRoman" w:cs="TimesNewRoman"/>
                <w:color w:val="000000"/>
              </w:rPr>
            </w:pPr>
          </w:p>
          <w:p w14:paraId="5FB83035"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Необходимостта от информиране и подкрепа на лицата, които търсят международна закрила и все още не са получили окончателно решение, е постоянна и поради продължаващите нужди на целевата група, в която всяка седмица се включват нови граждани на трети страни, търсещи международна закрила и нуждаещи се от помощ и подкрепа в комуникацията си с компетентните органи по време на разглеждането на молбата им за международна закрила, както и с оглед осигуряване на достъп до институции, разбиране на административната рамка, социални услуги, образователни услуги и др. Поради тези причини продължаването на подкрепата с финансиране от ФУМИ за дейностите, изпълнявани през периода 2014-2021 г., се счита за много важно.</w:t>
            </w:r>
          </w:p>
          <w:p w14:paraId="381E5518"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Приложените мерки през периода 2014-2020 г. са се развили въз основа на променящата се миграционна ситуация и извлечените поуки. Те са отразени и в Националната програма по ФУМИ за 2014-2020 г., за да се отговори най-добре на националните нужди. Развитието на програмата за предходния период на финансиране е основата за изготвянето на настоящата специфична цел. Предвидените действия по ФУМИ продължават и надграждат проектите, изпълнявани по ФУМИ за 2014-2020 г., и мерките, финансирани по линия на безвъзмездните средства за спешна помощ по ФУМИ.</w:t>
            </w:r>
          </w:p>
          <w:p w14:paraId="7EB34C83" w14:textId="77777777" w:rsidR="00A77B3E" w:rsidRDefault="00A77B3E">
            <w:pPr>
              <w:spacing w:before="100"/>
              <w:rPr>
                <w:rFonts w:ascii="TimesNewRoman" w:eastAsia="TimesNewRoman" w:hAnsi="TimesNewRoman" w:cs="TimesNewRoman"/>
                <w:color w:val="000000"/>
              </w:rPr>
            </w:pPr>
          </w:p>
          <w:p w14:paraId="3F8B32C7"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Предвидените операции ще допринесат за постигането на специфичната цел, посочена в член 3(2)(а), като се съсредоточат върху следната мярка за изпълнение:</w:t>
            </w:r>
          </w:p>
          <w:p w14:paraId="5A27D96D" w14:textId="77777777" w:rsidR="00A77B3E" w:rsidRDefault="00A77B3E">
            <w:pPr>
              <w:spacing w:before="100"/>
              <w:rPr>
                <w:rFonts w:ascii="TimesNewRoman" w:eastAsia="TimesNewRoman" w:hAnsi="TimesNewRoman" w:cs="TimesNewRoman"/>
                <w:color w:val="000000"/>
              </w:rPr>
            </w:pPr>
          </w:p>
          <w:p w14:paraId="45CD2255"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(1) подкрепа на капацитета на системите за убежище на държавите членки по отношение на инфраструктурата и услугите, когато е необходимо, включително на местно и регионално ниво.</w:t>
            </w:r>
          </w:p>
          <w:p w14:paraId="69AAFAC2"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Това ще се постигне чрез изпълнението на следните действия:</w:t>
            </w:r>
          </w:p>
          <w:p w14:paraId="5F62C32F" w14:textId="77777777" w:rsidR="00A77B3E" w:rsidRDefault="00A77B3E">
            <w:pPr>
              <w:spacing w:before="100"/>
              <w:rPr>
                <w:rFonts w:ascii="TimesNewRoman" w:eastAsia="TimesNewRoman" w:hAnsi="TimesNewRoman" w:cs="TimesNewRoman"/>
                <w:color w:val="000000"/>
              </w:rPr>
            </w:pPr>
          </w:p>
          <w:p w14:paraId="6AE6D2B0"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 </w:t>
            </w:r>
            <w:r>
              <w:rPr>
                <w:rFonts w:ascii="TimesNewRoman" w:eastAsia="TimesNewRoman" w:hAnsi="TimesNewRoman" w:cs="TimesNewRoman"/>
                <w:b/>
                <w:bCs/>
                <w:color w:val="000000"/>
              </w:rPr>
              <w:t xml:space="preserve">Поддържане и подобряване на условията за прием и настаняване. </w:t>
            </w:r>
            <w:r>
              <w:rPr>
                <w:rFonts w:ascii="TimesNewRoman" w:eastAsia="TimesNewRoman" w:hAnsi="TimesNewRoman" w:cs="TimesNewRoman"/>
                <w:color w:val="000000"/>
              </w:rPr>
              <w:t>Дейността има за цел поддържане на постигнатото качество на тези условия, както и по-нататъшно подобряване на условията за настаняване в съответствие с нуждите на гражданите на трети страни в центровете за настаняване. Изпълнението ще включва дейности като:</w:t>
            </w:r>
          </w:p>
          <w:p w14:paraId="342DAA5E"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 покриване на оперативни разходи, осигуряване на охранителни услуги в центровете за настаняване и др.</w:t>
            </w:r>
          </w:p>
          <w:p w14:paraId="56ED9883"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 осигуряване на храна за настанените в центровете лица, както и лекарства, консумативи и др., осигуряване на социални дейности и дейности за първоначална адаптация на граждани на трети страни.</w:t>
            </w:r>
          </w:p>
          <w:p w14:paraId="7400B48D" w14:textId="77777777" w:rsidR="00A77B3E" w:rsidRDefault="00A77B3E">
            <w:pPr>
              <w:spacing w:before="100"/>
              <w:rPr>
                <w:rFonts w:ascii="TimesNewRoman" w:eastAsia="TimesNewRoman" w:hAnsi="TimesNewRoman" w:cs="TimesNewRoman"/>
                <w:color w:val="000000"/>
              </w:rPr>
            </w:pPr>
          </w:p>
          <w:p w14:paraId="5A1B72B1"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 </w:t>
            </w:r>
            <w:r>
              <w:rPr>
                <w:rFonts w:ascii="TimesNewRoman" w:eastAsia="TimesNewRoman" w:hAnsi="TimesNewRoman" w:cs="TimesNewRoman"/>
                <w:b/>
                <w:bCs/>
                <w:color w:val="000000"/>
              </w:rPr>
              <w:t xml:space="preserve">Подкрепа за функционирането на зоните за безопасност за настаняване на непридружени деца </w:t>
            </w:r>
            <w:r>
              <w:rPr>
                <w:rFonts w:ascii="TimesNewRoman" w:eastAsia="TimesNewRoman" w:hAnsi="TimesNewRoman" w:cs="TimesNewRoman"/>
                <w:color w:val="000000"/>
              </w:rPr>
              <w:t xml:space="preserve">в центровете за настаняване, включително осигуряване на условия за настаняване, храна, </w:t>
            </w:r>
            <w:r>
              <w:rPr>
                <w:rFonts w:ascii="TimesNewRoman" w:eastAsia="TimesNewRoman" w:hAnsi="TimesNewRoman" w:cs="TimesNewRoman"/>
                <w:color w:val="000000"/>
              </w:rPr>
              <w:lastRenderedPageBreak/>
              <w:t>социална и психологическа подкрепа, услуги за сигурност, мерки за културна адаптация, спортни и развлекателни дейности за непридружените деца. Грижите за уязвимите групи в центровете на ДАБ се осъществяват непрекъснато. Зоните за безопасност за непридружени деца са цялостен подход, който осигурява на непридружените деца подходящо настаняване, социална подкрепа и достъп до редица основни услуги, съобразени с нуждите на непридружените деца, търсещи международна закрила, установените в областта стандарти и въз основа на оценката на най-добрия интерес на детето. Изпълнението на действието ще осигури осигуряване на стабилно функциониране на зоните за безопасност и подобряване на условията за настаняване, както и на услугите и подкрепата, предоставяни на непридружените деца, включително сигурност, социална и психологическа подкрепа, образователна подкрепа, социална адаптация и културна ориентация, предоставяне на 24/7 грижи и услуги за сигурност. Планирани са дейности за осигуряване на обучение на персонала, работещ в тези зони за безопасност, като се има предвид, че това е неотменима част от мярката и че персоналът, предоставящ подкрепа на непридружени деца, ще бъде адекватно обучен.</w:t>
            </w:r>
          </w:p>
          <w:p w14:paraId="6A0BD8AC" w14:textId="77777777" w:rsidR="00A77B3E" w:rsidRDefault="00A77B3E">
            <w:pPr>
              <w:spacing w:before="100"/>
              <w:rPr>
                <w:rFonts w:ascii="TimesNewRoman" w:eastAsia="TimesNewRoman" w:hAnsi="TimesNewRoman" w:cs="TimesNewRoman"/>
                <w:color w:val="000000"/>
              </w:rPr>
            </w:pPr>
          </w:p>
          <w:p w14:paraId="63843FA9"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 </w:t>
            </w:r>
            <w:r>
              <w:rPr>
                <w:rFonts w:ascii="TimesNewRoman" w:eastAsia="TimesNewRoman" w:hAnsi="TimesNewRoman" w:cs="TimesNewRoman"/>
                <w:b/>
                <w:bCs/>
                <w:color w:val="000000"/>
                <w:lang w:val="bg-BG"/>
              </w:rPr>
              <w:t>СД</w:t>
            </w:r>
            <w:r>
              <w:rPr>
                <w:rFonts w:ascii="TimesNewRoman" w:eastAsia="TimesNewRoman" w:hAnsi="TimesNewRoman" w:cs="TimesNewRoman"/>
                <w:b/>
                <w:bCs/>
                <w:color w:val="000000"/>
              </w:rPr>
              <w:t xml:space="preserve"> ФУМИ/2023/SA/1.2.1/10 UAMs - </w:t>
            </w:r>
            <w:r>
              <w:rPr>
                <w:rFonts w:ascii="TimesNewRoman" w:eastAsia="TimesNewRoman" w:hAnsi="TimesNewRoman" w:cs="TimesNewRoman"/>
                <w:color w:val="000000"/>
              </w:rPr>
              <w:t>Създаване на алтернативни условия за комплексни социални услуги за непридружени деца бежанци в България.</w:t>
            </w:r>
          </w:p>
          <w:p w14:paraId="638B15ED" w14:textId="77777777" w:rsidR="00A77B3E" w:rsidRDefault="00A77B3E">
            <w:pPr>
              <w:spacing w:before="100"/>
              <w:rPr>
                <w:rFonts w:ascii="TimesNewRoman" w:eastAsia="TimesNewRoman" w:hAnsi="TimesNewRoman" w:cs="TimesNewRoman"/>
                <w:color w:val="000000"/>
              </w:rPr>
            </w:pPr>
          </w:p>
          <w:p w14:paraId="69D515A3" w14:textId="77777777" w:rsidR="00A77B3E" w:rsidRPr="00EE0A2B" w:rsidRDefault="00EE0A2B">
            <w:pPr>
              <w:spacing w:before="100"/>
              <w:rPr>
                <w:rFonts w:ascii="TimesNewRoman" w:eastAsia="TimesNewRoman" w:hAnsi="TimesNewRoman" w:cs="TimesNewRoman"/>
                <w:color w:val="000000"/>
                <w:lang w:val="bg-BG"/>
              </w:rPr>
            </w:pPr>
            <w:r>
              <w:rPr>
                <w:rFonts w:ascii="TimesNewRoman" w:eastAsia="TimesNewRoman" w:hAnsi="TimesNewRoman" w:cs="TimesNewRoman"/>
                <w:b/>
                <w:bCs/>
                <w:color w:val="000000"/>
              </w:rPr>
              <w:t xml:space="preserve">- </w:t>
            </w:r>
            <w:r>
              <w:rPr>
                <w:rFonts w:ascii="TimesNewRoman" w:eastAsia="TimesNewRoman" w:hAnsi="TimesNewRoman" w:cs="TimesNewRoman"/>
                <w:b/>
                <w:bCs/>
                <w:color w:val="000000"/>
                <w:lang w:val="bg-BG"/>
              </w:rPr>
              <w:t xml:space="preserve">СД </w:t>
            </w:r>
            <w:r>
              <w:rPr>
                <w:rFonts w:ascii="TimesNewRoman" w:eastAsia="TimesNewRoman" w:hAnsi="TimesNewRoman" w:cs="TimesNewRoman"/>
                <w:b/>
                <w:bCs/>
                <w:color w:val="000000"/>
              </w:rPr>
              <w:t xml:space="preserve">Пакт за миграция и убежище </w:t>
            </w:r>
            <w:r>
              <w:rPr>
                <w:rFonts w:ascii="TimesNewRoman" w:eastAsia="TimesNewRoman" w:hAnsi="TimesNewRoman" w:cs="TimesNewRoman"/>
                <w:b/>
                <w:bCs/>
                <w:color w:val="000000"/>
                <w:lang w:val="bg-BG"/>
              </w:rPr>
              <w:t>- СЦ1</w:t>
            </w:r>
          </w:p>
          <w:p w14:paraId="2EAC07AD" w14:textId="77777777" w:rsidR="00A77B3E" w:rsidRDefault="00A77B3E">
            <w:pPr>
              <w:spacing w:before="100"/>
              <w:rPr>
                <w:rFonts w:ascii="TimesNewRoman" w:eastAsia="TimesNewRoman" w:hAnsi="TimesNewRoman" w:cs="TimesNewRoman"/>
                <w:color w:val="000000"/>
              </w:rPr>
            </w:pPr>
          </w:p>
          <w:p w14:paraId="18AF3C2F"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 </w:t>
            </w:r>
            <w:r>
              <w:rPr>
                <w:rFonts w:ascii="TimesNewRoman" w:eastAsia="TimesNewRoman" w:hAnsi="TimesNewRoman" w:cs="TimesNewRoman"/>
                <w:b/>
                <w:bCs/>
                <w:color w:val="000000"/>
              </w:rPr>
              <w:t xml:space="preserve">Мерки за предоставяне на социална, психологическа, правна и административна подкрепа </w:t>
            </w:r>
            <w:r>
              <w:rPr>
                <w:rFonts w:ascii="TimesNewRoman" w:eastAsia="TimesNewRoman" w:hAnsi="TimesNewRoman" w:cs="TimesNewRoman"/>
                <w:color w:val="000000"/>
              </w:rPr>
              <w:t>на кандидатите за международна закрила, включително превод от редки езици, осигуряване на мобилни групи от експерти, работещи във всички места за настаняване в страната, мерки за подобряване на идентифицирането на уязвими лица, както и специфични мерки, свързани с процедурата за определяне на статут на бежанец.</w:t>
            </w:r>
          </w:p>
          <w:p w14:paraId="15A4A3BB"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Мерките за идентифициране и предоставяне на подкрепа на жертви на трафик на хора няма да бъдат подкрепяни по ФУМИ под формата на целенасочена операция. Такива мерки ще бъдат прилагани от България с финансова подкрепа по Програмата за сътрудничество между Швейцария и България.</w:t>
            </w:r>
          </w:p>
          <w:p w14:paraId="6829E970"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b/>
                <w:bCs/>
                <w:color w:val="000000"/>
              </w:rPr>
              <w:t xml:space="preserve">- Оперативна подкрепа: Предвиждат се </w:t>
            </w:r>
            <w:r>
              <w:rPr>
                <w:rFonts w:ascii="TimesNewRoman" w:eastAsia="TimesNewRoman" w:hAnsi="TimesNewRoman" w:cs="TimesNewRoman"/>
                <w:color w:val="000000"/>
              </w:rPr>
              <w:t xml:space="preserve">следните дейности за </w:t>
            </w:r>
            <w:r>
              <w:rPr>
                <w:rFonts w:ascii="TimesNewRoman" w:eastAsia="TimesNewRoman" w:hAnsi="TimesNewRoman" w:cs="TimesNewRoman"/>
                <w:b/>
                <w:bCs/>
                <w:color w:val="000000"/>
              </w:rPr>
              <w:t xml:space="preserve">оперативна подкрепа </w:t>
            </w:r>
            <w:r>
              <w:rPr>
                <w:rFonts w:ascii="TimesNewRoman" w:eastAsia="TimesNewRoman" w:hAnsi="TimesNewRoman" w:cs="TimesNewRoman"/>
                <w:color w:val="000000"/>
              </w:rPr>
              <w:t>: разходи за персонал, разходи за услуги, като например поддръжка и ремонт на инфраструктура. Предвидените дейности за оперативна подкрепа ще бъдат насочени към Държавната агенция за бежанците във връзка с нейната специфична компетентност в областта на прилагането на държавната политика за предоставяне на международна закрила в Република България, както и с управлението и функционирането на териториалните звена на ДАБ в тази връзка. Тези дейности представляват обществена услуга за Съюза и ще допринесат за укрепване и развитие на всички аспекти на Общата европейска система за убежище чрез създаване на адекватни условия за настаняване в центровете на ДАБ.</w:t>
            </w:r>
          </w:p>
          <w:p w14:paraId="2AED69D8" w14:textId="77777777" w:rsidR="00A77B3E" w:rsidRDefault="00A77B3E">
            <w:pPr>
              <w:spacing w:before="100"/>
              <w:rPr>
                <w:rFonts w:ascii="TimesNewRoman" w:eastAsia="TimesNewRoman" w:hAnsi="TimesNewRoman" w:cs="TimesNewRoman"/>
                <w:color w:val="000000"/>
              </w:rPr>
            </w:pPr>
          </w:p>
          <w:p w14:paraId="71025C7B"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В рамките на средносрочния преглед на Програмата ФУМИ финансирането е включено в специфичната цел за продължаване на подкрепата за наемане на допълнителен персонал и поддръжка на центровете за ДАБ (оперативна подкрепа), за изграждане и поддръжка на мрежова свързаност и сигурност на информационните системи на Държавната агенция за бежанците (оперативна подкрепа), подкрепа за функционирането на зоните за безопасност в центровете за ДАБ и мерки за предоставяне на социална, психологическа, правна и административна подкрепа.</w:t>
            </w:r>
          </w:p>
          <w:p w14:paraId="02A2D2CC"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Като външна граница на ЕС и предвид ангажиментите на България, произтичащи от Пакта за убежище и миграция, страната е изправена пред необходимостта от създаване на адекватен капацитет и подобряване на съществуващата система за управление на миграцията. В рамките на специфичните действия на Пакта ще бъде развит капацитет на национално ниво за настаняване и за процедура за убежище на границата. Ще бъдат създадени два нови центъра от затворен тип за </w:t>
            </w:r>
            <w:r>
              <w:rPr>
                <w:rFonts w:ascii="TimesNewRoman" w:eastAsia="TimesNewRoman" w:hAnsi="TimesNewRoman" w:cs="TimesNewRoman"/>
                <w:color w:val="000000"/>
              </w:rPr>
              <w:lastRenderedPageBreak/>
              <w:t xml:space="preserve">Държавната агенция за бежанците, единият от които ще се използва за процедурата за убежище на границата, а също така ще бъдат ремонтирани и реконструирани съществуващите приемни центрове. Ще бъде осигурена и сигурността на центровете за търсене и изпращане на търсения (SAR). Ще бъде осигурено необходимото техническо оборудване за EURODAC, за откриване на фалшифицирани и подправени документи и превозни средства за </w:t>
            </w:r>
            <w:r>
              <w:rPr>
                <w:rFonts w:ascii="TimesNewRoman" w:eastAsia="TimesNewRoman" w:hAnsi="TimesNewRoman" w:cs="TimesNewRoman"/>
                <w:color w:val="000000"/>
                <w:lang w:val="bg-BG"/>
              </w:rPr>
              <w:t>ДАБ</w:t>
            </w:r>
            <w:r>
              <w:rPr>
                <w:rFonts w:ascii="TimesNewRoman" w:eastAsia="TimesNewRoman" w:hAnsi="TimesNewRoman" w:cs="TimesNewRoman"/>
                <w:color w:val="000000"/>
              </w:rPr>
              <w:t>.</w:t>
            </w:r>
          </w:p>
          <w:p w14:paraId="3B7D962E"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Разпределените средства по междинния преглед и специфичните действия на Пакта влияят върху целите на съответните показатели на програмата ФУМИ. Броят на подкрепените участници се увеличава с 10%, докато броят на участниците, които получават правна помощ, и на уязвимите участници се увеличава с приблизително 25%. Добавя се нова цел по отношение на новосъздадените места в приемната инфраструктура, а броят на ремонтираните места се увеличава приблизително 4 пъти.</w:t>
            </w:r>
          </w:p>
          <w:p w14:paraId="5BF733C9"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Желани резултати:</w:t>
            </w:r>
          </w:p>
          <w:p w14:paraId="358A8508"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 Осигурени условия за настаняване и прием в съответствие със стандартите на ЕС</w:t>
            </w:r>
          </w:p>
          <w:p w14:paraId="1E1E43AC"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 Проведено в съответствие с процедурите за международна закрила, предвидени в достиженията на правото на ЕС в областта на убежището</w:t>
            </w:r>
          </w:p>
          <w:p w14:paraId="0A16E711"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 Осигурени специализирани услуги и подкрепа за първоначална адаптация</w:t>
            </w:r>
          </w:p>
          <w:p w14:paraId="2BAB38E4"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 Осигурено ранно идентифициране на кандидати със специални процедурни или приемни нужди</w:t>
            </w:r>
          </w:p>
          <w:p w14:paraId="62B241C4" w14:textId="77777777" w:rsidR="00A77B3E" w:rsidRDefault="00A77B3E">
            <w:pPr>
              <w:spacing w:before="100"/>
              <w:rPr>
                <w:rFonts w:ascii="TimesNewRoman" w:eastAsia="TimesNewRoman" w:hAnsi="TimesNewRoman" w:cs="TimesNewRoman"/>
                <w:color w:val="000000"/>
                <w:sz w:val="6"/>
              </w:rPr>
            </w:pPr>
          </w:p>
          <w:p w14:paraId="6B91EC38" w14:textId="77777777" w:rsidR="00A77B3E" w:rsidRDefault="00A77B3E">
            <w:pPr>
              <w:spacing w:before="100"/>
              <w:rPr>
                <w:rFonts w:ascii="TimesNewRoman" w:eastAsia="TimesNewRoman" w:hAnsi="TimesNewRoman" w:cs="TimesNewRoman"/>
                <w:color w:val="000000"/>
                <w:sz w:val="6"/>
              </w:rPr>
            </w:pPr>
          </w:p>
        </w:tc>
      </w:tr>
    </w:tbl>
    <w:p w14:paraId="60FB2A4C" w14:textId="77777777" w:rsidR="00A77B3E" w:rsidRDefault="00A77B3E">
      <w:pPr>
        <w:spacing w:before="100"/>
        <w:rPr>
          <w:rFonts w:ascii="TimesNewRoman" w:eastAsia="TimesNewRoman" w:hAnsi="TimesNewRoman" w:cs="TimesNewRoman"/>
          <w:color w:val="000000"/>
        </w:rPr>
        <w:sectPr w:rsidR="00A77B3E">
          <w:headerReference w:type="even" r:id="rId13"/>
          <w:headerReference w:type="default" r:id="rId14"/>
          <w:footerReference w:type="even" r:id="rId15"/>
          <w:footerReference w:type="default" r:id="rId16"/>
          <w:headerReference w:type="first" r:id="rId17"/>
          <w:footerReference w:type="first" r:id="rId18"/>
          <w:pgSz w:w="11906" w:h="16838"/>
          <w:pgMar w:top="720" w:right="936" w:bottom="864" w:left="720" w:header="0" w:footer="72" w:gutter="0"/>
          <w:cols w:space="720"/>
          <w:noEndnote/>
          <w:docGrid w:linePitch="360"/>
        </w:sectPr>
      </w:pPr>
    </w:p>
    <w:p w14:paraId="1E927D94" w14:textId="77777777" w:rsidR="00A77B3E" w:rsidRDefault="00EE0A2B">
      <w:pPr>
        <w:spacing w:before="100"/>
        <w:rPr>
          <w:color w:val="000000"/>
        </w:rPr>
      </w:pPr>
      <w:r>
        <w:rPr>
          <w:color w:val="000000"/>
        </w:rPr>
        <w:lastRenderedPageBreak/>
        <w:t>2.1. Специфична цел 1. CEAS</w:t>
      </w:r>
    </w:p>
    <w:p w14:paraId="74E853AE" w14:textId="77777777" w:rsidR="00A77B3E" w:rsidRDefault="00EE0A2B">
      <w:pPr>
        <w:pStyle w:val="Heading3"/>
        <w:spacing w:before="100" w:after="0"/>
        <w:rPr>
          <w:rFonts w:ascii="Times New Roman" w:hAnsi="Times New Roman" w:cs="Times New Roman"/>
          <w:b w:val="0"/>
          <w:color w:val="000000"/>
          <w:sz w:val="24"/>
        </w:rPr>
      </w:pPr>
      <w:bookmarkStart w:id="4" w:name="_Toc256000067"/>
      <w:r>
        <w:rPr>
          <w:rFonts w:ascii="Times New Roman" w:hAnsi="Times New Roman" w:cs="Times New Roman"/>
          <w:b w:val="0"/>
          <w:color w:val="000000"/>
          <w:sz w:val="24"/>
        </w:rPr>
        <w:t>2.1.2. Индикатори</w:t>
      </w:r>
      <w:bookmarkEnd w:id="4"/>
    </w:p>
    <w:p w14:paraId="0FDF2DE7" w14:textId="77777777" w:rsidR="00A77B3E" w:rsidRDefault="00EE0A2B">
      <w:pPr>
        <w:spacing w:before="100"/>
        <w:rPr>
          <w:color w:val="000000"/>
          <w:sz w:val="12"/>
        </w:rPr>
      </w:pPr>
      <w:r>
        <w:rPr>
          <w:color w:val="000000"/>
        </w:rPr>
        <w:t>Позоваване: член 22, параграф 4, буква д) от РОР</w:t>
      </w:r>
    </w:p>
    <w:p w14:paraId="7FF0BBC6" w14:textId="77777777" w:rsidR="00A77B3E" w:rsidRDefault="00EE0A2B">
      <w:pPr>
        <w:pStyle w:val="Heading4"/>
        <w:spacing w:before="100" w:after="0"/>
        <w:rPr>
          <w:b w:val="0"/>
          <w:color w:val="000000"/>
          <w:sz w:val="24"/>
        </w:rPr>
      </w:pPr>
      <w:bookmarkStart w:id="5" w:name="_Toc256000068"/>
      <w:r>
        <w:rPr>
          <w:b w:val="0"/>
          <w:color w:val="000000"/>
          <w:sz w:val="24"/>
        </w:rPr>
        <w:t>Таблица 1: Показатели за резултатите</w:t>
      </w:r>
      <w:bookmarkEnd w:id="5"/>
    </w:p>
    <w:p w14:paraId="5160985C"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7"/>
        <w:gridCol w:w="5085"/>
        <w:gridCol w:w="2124"/>
        <w:gridCol w:w="1678"/>
        <w:gridCol w:w="1678"/>
      </w:tblGrid>
      <w:tr w:rsidR="00723994" w14:paraId="446BA9E9" w14:textId="77777777">
        <w:trPr>
          <w:tblHeader/>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1C1DDF6" w14:textId="77777777" w:rsidR="00A77B3E" w:rsidRDefault="00EE0A2B">
            <w:pPr>
              <w:spacing w:before="100"/>
              <w:jc w:val="center"/>
              <w:rPr>
                <w:color w:val="000000"/>
                <w:sz w:val="20"/>
              </w:rPr>
            </w:pPr>
            <w:r>
              <w:rPr>
                <w:color w:val="000000"/>
                <w:sz w:val="20"/>
              </w:rPr>
              <w:t>Идентификационен номер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56CE65C" w14:textId="77777777" w:rsidR="00A77B3E" w:rsidRDefault="00EE0A2B">
            <w:pPr>
              <w:spacing w:before="100"/>
              <w:jc w:val="center"/>
              <w:rPr>
                <w:color w:val="000000"/>
                <w:sz w:val="20"/>
              </w:rPr>
            </w:pPr>
            <w:r>
              <w:rPr>
                <w:color w:val="000000"/>
                <w:sz w:val="20"/>
              </w:rPr>
              <w:t>Индикатор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DCE0F8C" w14:textId="77777777" w:rsidR="00A77B3E" w:rsidRDefault="00EE0A2B">
            <w:pPr>
              <w:spacing w:before="100"/>
              <w:jc w:val="center"/>
              <w:rPr>
                <w:color w:val="000000"/>
                <w:sz w:val="20"/>
              </w:rPr>
            </w:pPr>
            <w:r>
              <w:rPr>
                <w:color w:val="000000"/>
                <w:sz w:val="20"/>
              </w:rPr>
              <w:t>Мерна единица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5373A34" w14:textId="77777777" w:rsidR="00A77B3E" w:rsidRDefault="00EE0A2B">
            <w:pPr>
              <w:spacing w:before="100"/>
              <w:jc w:val="center"/>
              <w:rPr>
                <w:color w:val="000000"/>
                <w:sz w:val="20"/>
              </w:rPr>
            </w:pPr>
            <w:r>
              <w:rPr>
                <w:color w:val="000000"/>
                <w:sz w:val="20"/>
              </w:rPr>
              <w:t>Етап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2C0AAF7" w14:textId="77777777" w:rsidR="00A77B3E" w:rsidRDefault="00EE0A2B">
            <w:pPr>
              <w:spacing w:before="100"/>
              <w:jc w:val="center"/>
              <w:rPr>
                <w:color w:val="000000"/>
                <w:sz w:val="20"/>
              </w:rPr>
            </w:pPr>
            <w:r>
              <w:rPr>
                <w:color w:val="000000"/>
                <w:sz w:val="20"/>
              </w:rPr>
              <w:t>Цел (2029)</w:t>
            </w:r>
          </w:p>
        </w:tc>
      </w:tr>
      <w:tr w:rsidR="00723994" w14:paraId="6752230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16223DC" w14:textId="77777777" w:rsidR="00A77B3E" w:rsidRDefault="00EE0A2B">
            <w:pPr>
              <w:spacing w:before="100"/>
              <w:rPr>
                <w:color w:val="000000"/>
                <w:sz w:val="20"/>
              </w:rPr>
            </w:pPr>
            <w:r>
              <w:rPr>
                <w:color w:val="000000"/>
                <w:sz w:val="20"/>
              </w:rPr>
              <w:t>О.1.1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D06B56B" w14:textId="77777777" w:rsidR="00A77B3E" w:rsidRDefault="00EE0A2B">
            <w:pPr>
              <w:spacing w:before="100"/>
              <w:rPr>
                <w:color w:val="000000"/>
                <w:sz w:val="20"/>
              </w:rPr>
            </w:pPr>
            <w:r>
              <w:rPr>
                <w:color w:val="000000"/>
                <w:sz w:val="20"/>
              </w:rPr>
              <w:t>Брой подкрепени участници</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56AA582" w14:textId="77777777" w:rsidR="00A77B3E" w:rsidRDefault="00EE0A2B">
            <w:pPr>
              <w:spacing w:before="100"/>
              <w:rPr>
                <w:color w:val="000000"/>
                <w:sz w:val="20"/>
              </w:rPr>
            </w:pPr>
            <w:r>
              <w:rPr>
                <w:color w:val="000000"/>
                <w:sz w:val="20"/>
              </w:rPr>
              <w:t>номер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75C4BAF" w14:textId="77777777" w:rsidR="00A77B3E" w:rsidRDefault="00EE0A2B">
            <w:pPr>
              <w:spacing w:before="100"/>
              <w:jc w:val="right"/>
              <w:rPr>
                <w:color w:val="000000"/>
                <w:sz w:val="20"/>
              </w:rPr>
            </w:pPr>
            <w:r>
              <w:rPr>
                <w:color w:val="000000"/>
                <w:sz w:val="20"/>
              </w:rPr>
              <w:t>8 600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AD06226" w14:textId="77777777" w:rsidR="00A77B3E" w:rsidRDefault="00EE0A2B">
            <w:pPr>
              <w:spacing w:before="100"/>
              <w:jc w:val="right"/>
              <w:rPr>
                <w:color w:val="000000"/>
                <w:sz w:val="20"/>
              </w:rPr>
            </w:pPr>
            <w:r>
              <w:rPr>
                <w:color w:val="000000"/>
                <w:sz w:val="20"/>
              </w:rPr>
              <w:t>24 384</w:t>
            </w:r>
          </w:p>
        </w:tc>
      </w:tr>
      <w:tr w:rsidR="00723994" w14:paraId="38517FF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5166124" w14:textId="77777777" w:rsidR="00A77B3E" w:rsidRDefault="00EE0A2B">
            <w:pPr>
              <w:spacing w:before="100"/>
              <w:rPr>
                <w:color w:val="000000"/>
                <w:sz w:val="20"/>
              </w:rPr>
            </w:pPr>
            <w:r>
              <w:rPr>
                <w:color w:val="000000"/>
                <w:sz w:val="20"/>
              </w:rPr>
              <w:t>О.1.1.1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6997240" w14:textId="77777777" w:rsidR="00A77B3E" w:rsidRDefault="00EE0A2B">
            <w:pPr>
              <w:spacing w:before="100"/>
              <w:rPr>
                <w:color w:val="000000"/>
                <w:sz w:val="20"/>
              </w:rPr>
            </w:pPr>
            <w:r>
              <w:rPr>
                <w:color w:val="000000"/>
                <w:sz w:val="20"/>
              </w:rPr>
              <w:t>от които брой участници, получили правна помощ</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7C0E8BA" w14:textId="77777777" w:rsidR="00A77B3E" w:rsidRDefault="00EE0A2B">
            <w:pPr>
              <w:spacing w:before="100"/>
              <w:rPr>
                <w:color w:val="000000"/>
                <w:sz w:val="20"/>
              </w:rPr>
            </w:pPr>
            <w:r>
              <w:rPr>
                <w:color w:val="000000"/>
                <w:sz w:val="20"/>
              </w:rPr>
              <w:t>номер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EACFB7E" w14:textId="77777777" w:rsidR="00A77B3E" w:rsidRDefault="00EE0A2B">
            <w:pPr>
              <w:spacing w:before="100"/>
              <w:jc w:val="right"/>
              <w:rPr>
                <w:color w:val="000000"/>
                <w:sz w:val="20"/>
              </w:rPr>
            </w:pPr>
            <w:r>
              <w:rPr>
                <w:color w:val="000000"/>
                <w:sz w:val="20"/>
              </w:rPr>
              <w:t>300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D38D508" w14:textId="77777777" w:rsidR="00A77B3E" w:rsidRDefault="00EE0A2B">
            <w:pPr>
              <w:spacing w:before="100"/>
              <w:jc w:val="right"/>
              <w:rPr>
                <w:color w:val="000000"/>
                <w:sz w:val="20"/>
              </w:rPr>
            </w:pPr>
            <w:r>
              <w:rPr>
                <w:color w:val="000000"/>
                <w:sz w:val="20"/>
              </w:rPr>
              <w:t>6 200</w:t>
            </w:r>
          </w:p>
        </w:tc>
      </w:tr>
      <w:tr w:rsidR="00723994" w14:paraId="60F5250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9A68AC9" w14:textId="77777777" w:rsidR="00A77B3E" w:rsidRDefault="00EE0A2B">
            <w:pPr>
              <w:spacing w:before="100"/>
              <w:rPr>
                <w:color w:val="000000"/>
                <w:sz w:val="20"/>
              </w:rPr>
            </w:pPr>
            <w:r>
              <w:rPr>
                <w:color w:val="000000"/>
                <w:sz w:val="20"/>
              </w:rPr>
              <w:t>О.1.1.2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26FE02" w14:textId="77777777" w:rsidR="00A77B3E" w:rsidRDefault="00EE0A2B">
            <w:pPr>
              <w:spacing w:before="100"/>
              <w:rPr>
                <w:color w:val="000000"/>
                <w:sz w:val="20"/>
              </w:rPr>
            </w:pPr>
            <w:r>
              <w:rPr>
                <w:color w:val="000000"/>
                <w:sz w:val="20"/>
              </w:rPr>
              <w:t>от които брой участници, ползващи се от други видове подкрепа, включително информация и помощ по време на цялата процедура по предоставяне на убежище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3EB8D62" w14:textId="77777777" w:rsidR="00A77B3E" w:rsidRDefault="00EE0A2B">
            <w:pPr>
              <w:spacing w:before="100"/>
              <w:rPr>
                <w:color w:val="000000"/>
                <w:sz w:val="20"/>
              </w:rPr>
            </w:pPr>
            <w:r>
              <w:rPr>
                <w:color w:val="000000"/>
                <w:sz w:val="20"/>
              </w:rPr>
              <w:t>номер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E9BCFC7" w14:textId="77777777" w:rsidR="00A77B3E" w:rsidRDefault="00EE0A2B">
            <w:pPr>
              <w:spacing w:before="100"/>
              <w:jc w:val="right"/>
              <w:rPr>
                <w:color w:val="000000"/>
                <w:sz w:val="20"/>
              </w:rPr>
            </w:pPr>
            <w:r>
              <w:rPr>
                <w:color w:val="000000"/>
                <w:sz w:val="20"/>
              </w:rPr>
              <w:t>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A7EE3C7" w14:textId="77777777" w:rsidR="00A77B3E" w:rsidRDefault="00EE0A2B">
            <w:pPr>
              <w:spacing w:before="100"/>
              <w:jc w:val="right"/>
              <w:rPr>
                <w:color w:val="000000"/>
                <w:sz w:val="20"/>
              </w:rPr>
            </w:pPr>
            <w:r>
              <w:rPr>
                <w:color w:val="000000"/>
                <w:sz w:val="20"/>
              </w:rPr>
              <w:t>0</w:t>
            </w:r>
          </w:p>
        </w:tc>
      </w:tr>
      <w:tr w:rsidR="00723994" w14:paraId="2DFFDA6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7997DCB" w14:textId="77777777" w:rsidR="00A77B3E" w:rsidRDefault="00EE0A2B">
            <w:pPr>
              <w:spacing w:before="100"/>
              <w:rPr>
                <w:color w:val="000000"/>
                <w:sz w:val="20"/>
              </w:rPr>
            </w:pPr>
            <w:r>
              <w:rPr>
                <w:color w:val="000000"/>
                <w:sz w:val="20"/>
              </w:rPr>
              <w:t>О.1.1.3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67B93D7" w14:textId="77777777" w:rsidR="00A77B3E" w:rsidRDefault="00EE0A2B">
            <w:pPr>
              <w:spacing w:before="100"/>
              <w:rPr>
                <w:color w:val="000000"/>
                <w:sz w:val="20"/>
              </w:rPr>
            </w:pPr>
            <w:r>
              <w:rPr>
                <w:color w:val="000000"/>
                <w:sz w:val="20"/>
              </w:rPr>
              <w:t>от които брой на уязвимите участници, подпомогнати</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DE35056" w14:textId="77777777" w:rsidR="00A77B3E" w:rsidRDefault="00EE0A2B">
            <w:pPr>
              <w:spacing w:before="100"/>
              <w:rPr>
                <w:color w:val="000000"/>
                <w:sz w:val="20"/>
              </w:rPr>
            </w:pPr>
            <w:r>
              <w:rPr>
                <w:color w:val="000000"/>
                <w:sz w:val="20"/>
              </w:rPr>
              <w:t>номер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48DB3AE" w14:textId="77777777" w:rsidR="00A77B3E" w:rsidRDefault="00EE0A2B">
            <w:pPr>
              <w:spacing w:before="100"/>
              <w:jc w:val="right"/>
              <w:rPr>
                <w:color w:val="000000"/>
                <w:sz w:val="20"/>
              </w:rPr>
            </w:pPr>
            <w:r>
              <w:rPr>
                <w:color w:val="000000"/>
                <w:sz w:val="20"/>
              </w:rPr>
              <w:t>70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B32FC25" w14:textId="77777777" w:rsidR="00A77B3E" w:rsidRDefault="00EE0A2B">
            <w:pPr>
              <w:spacing w:before="100"/>
              <w:jc w:val="right"/>
              <w:rPr>
                <w:color w:val="000000"/>
                <w:sz w:val="20"/>
              </w:rPr>
            </w:pPr>
            <w:r>
              <w:rPr>
                <w:color w:val="000000"/>
                <w:sz w:val="20"/>
              </w:rPr>
              <w:t>4 984</w:t>
            </w:r>
          </w:p>
        </w:tc>
      </w:tr>
      <w:tr w:rsidR="00723994" w14:paraId="22D19E8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B6B7046" w14:textId="77777777" w:rsidR="00A77B3E" w:rsidRDefault="00EE0A2B">
            <w:pPr>
              <w:spacing w:before="100"/>
              <w:rPr>
                <w:color w:val="000000"/>
                <w:sz w:val="20"/>
              </w:rPr>
            </w:pPr>
            <w:r>
              <w:rPr>
                <w:color w:val="000000"/>
                <w:sz w:val="20"/>
              </w:rPr>
              <w:t>О.1.2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3BEFDC0" w14:textId="77777777" w:rsidR="00A77B3E" w:rsidRDefault="00EE0A2B">
            <w:pPr>
              <w:spacing w:before="100"/>
              <w:rPr>
                <w:color w:val="000000"/>
                <w:sz w:val="20"/>
              </w:rPr>
            </w:pPr>
            <w:r>
              <w:rPr>
                <w:color w:val="000000"/>
                <w:sz w:val="20"/>
              </w:rPr>
              <w:t>Брой участници в обучителни дейности</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119A42B" w14:textId="77777777" w:rsidR="00A77B3E" w:rsidRDefault="00EE0A2B">
            <w:pPr>
              <w:spacing w:before="100"/>
              <w:rPr>
                <w:color w:val="000000"/>
                <w:sz w:val="20"/>
              </w:rPr>
            </w:pPr>
            <w:r>
              <w:rPr>
                <w:color w:val="000000"/>
                <w:sz w:val="20"/>
              </w:rPr>
              <w:t>номер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FBBAB02" w14:textId="77777777" w:rsidR="00A77B3E" w:rsidRDefault="00EE0A2B">
            <w:pPr>
              <w:spacing w:before="100"/>
              <w:jc w:val="right"/>
              <w:rPr>
                <w:color w:val="000000"/>
                <w:sz w:val="20"/>
              </w:rPr>
            </w:pPr>
            <w:r>
              <w:rPr>
                <w:color w:val="000000"/>
                <w:sz w:val="20"/>
              </w:rPr>
              <w:t>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D9C5E11" w14:textId="77777777" w:rsidR="00A77B3E" w:rsidRDefault="00EE0A2B">
            <w:pPr>
              <w:spacing w:before="100"/>
              <w:jc w:val="right"/>
              <w:rPr>
                <w:color w:val="000000"/>
                <w:sz w:val="20"/>
              </w:rPr>
            </w:pPr>
            <w:r>
              <w:rPr>
                <w:color w:val="000000"/>
                <w:sz w:val="20"/>
              </w:rPr>
              <w:t>58</w:t>
            </w:r>
          </w:p>
        </w:tc>
      </w:tr>
      <w:tr w:rsidR="00723994" w14:paraId="13F2E09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EBB4754" w14:textId="77777777" w:rsidR="00A77B3E" w:rsidRDefault="00EE0A2B">
            <w:pPr>
              <w:spacing w:before="100"/>
              <w:rPr>
                <w:color w:val="000000"/>
                <w:sz w:val="20"/>
              </w:rPr>
            </w:pPr>
            <w:r>
              <w:rPr>
                <w:color w:val="000000"/>
                <w:sz w:val="20"/>
              </w:rPr>
              <w:t>О.1.3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1AC5AC0" w14:textId="77777777" w:rsidR="00A77B3E" w:rsidRDefault="00EE0A2B">
            <w:pPr>
              <w:spacing w:before="100"/>
              <w:rPr>
                <w:color w:val="000000"/>
                <w:sz w:val="20"/>
              </w:rPr>
            </w:pPr>
            <w:r>
              <w:rPr>
                <w:color w:val="000000"/>
                <w:sz w:val="20"/>
              </w:rPr>
              <w:t>Брой новосъздадени места в приемната инфраструктура в съответствие с достиженията на правото на Съюза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C224D8B" w14:textId="77777777" w:rsidR="00A77B3E" w:rsidRDefault="00EE0A2B">
            <w:pPr>
              <w:spacing w:before="100"/>
              <w:rPr>
                <w:color w:val="000000"/>
                <w:sz w:val="20"/>
              </w:rPr>
            </w:pPr>
            <w:r>
              <w:rPr>
                <w:color w:val="000000"/>
                <w:sz w:val="20"/>
              </w:rPr>
              <w:t>номер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B05A683" w14:textId="77777777" w:rsidR="00A77B3E" w:rsidRDefault="00EE0A2B">
            <w:pPr>
              <w:spacing w:before="100"/>
              <w:jc w:val="right"/>
              <w:rPr>
                <w:color w:val="000000"/>
                <w:sz w:val="20"/>
              </w:rPr>
            </w:pPr>
            <w:r>
              <w:rPr>
                <w:color w:val="000000"/>
                <w:sz w:val="20"/>
              </w:rPr>
              <w:t>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2D1C157" w14:textId="77777777" w:rsidR="00A77B3E" w:rsidRDefault="00EE0A2B">
            <w:pPr>
              <w:spacing w:before="100"/>
              <w:jc w:val="right"/>
              <w:rPr>
                <w:color w:val="000000"/>
                <w:sz w:val="20"/>
              </w:rPr>
            </w:pPr>
            <w:r>
              <w:rPr>
                <w:color w:val="000000"/>
                <w:sz w:val="20"/>
              </w:rPr>
              <w:t>800</w:t>
            </w:r>
          </w:p>
        </w:tc>
      </w:tr>
      <w:tr w:rsidR="00723994" w14:paraId="4CB1B1B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79F3E0C" w14:textId="77777777" w:rsidR="00A77B3E" w:rsidRDefault="00EE0A2B">
            <w:pPr>
              <w:spacing w:before="100"/>
              <w:rPr>
                <w:color w:val="000000"/>
                <w:sz w:val="20"/>
              </w:rPr>
            </w:pPr>
            <w:r>
              <w:rPr>
                <w:color w:val="000000"/>
                <w:sz w:val="20"/>
              </w:rPr>
              <w:t>О.1.3.1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31C44D9" w14:textId="77777777" w:rsidR="00A77B3E" w:rsidRDefault="00EE0A2B">
            <w:pPr>
              <w:spacing w:before="100"/>
              <w:rPr>
                <w:color w:val="000000"/>
                <w:sz w:val="20"/>
              </w:rPr>
            </w:pPr>
            <w:r>
              <w:rPr>
                <w:color w:val="000000"/>
                <w:sz w:val="20"/>
              </w:rPr>
              <w:t>от които брой новосъздадени места за непридружени непълнолетни лица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E8A27A7" w14:textId="77777777" w:rsidR="00A77B3E" w:rsidRDefault="00EE0A2B">
            <w:pPr>
              <w:spacing w:before="100"/>
              <w:rPr>
                <w:color w:val="000000"/>
                <w:sz w:val="20"/>
              </w:rPr>
            </w:pPr>
            <w:r>
              <w:rPr>
                <w:color w:val="000000"/>
                <w:sz w:val="20"/>
              </w:rPr>
              <w:t>номер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51FFDF2" w14:textId="77777777" w:rsidR="00A77B3E" w:rsidRDefault="00EE0A2B">
            <w:pPr>
              <w:spacing w:before="100"/>
              <w:jc w:val="right"/>
              <w:rPr>
                <w:color w:val="000000"/>
                <w:sz w:val="20"/>
              </w:rPr>
            </w:pPr>
            <w:r>
              <w:rPr>
                <w:color w:val="000000"/>
                <w:sz w:val="20"/>
              </w:rPr>
              <w:t>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75E034E" w14:textId="77777777" w:rsidR="00A77B3E" w:rsidRDefault="00EE0A2B">
            <w:pPr>
              <w:spacing w:before="100"/>
              <w:jc w:val="right"/>
              <w:rPr>
                <w:color w:val="000000"/>
                <w:sz w:val="20"/>
              </w:rPr>
            </w:pPr>
            <w:r>
              <w:rPr>
                <w:color w:val="000000"/>
                <w:sz w:val="20"/>
              </w:rPr>
              <w:t>10</w:t>
            </w:r>
          </w:p>
        </w:tc>
      </w:tr>
      <w:tr w:rsidR="00723994" w14:paraId="556B37C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7FC5070" w14:textId="77777777" w:rsidR="00A77B3E" w:rsidRDefault="00EE0A2B">
            <w:pPr>
              <w:spacing w:before="100"/>
              <w:rPr>
                <w:color w:val="000000"/>
                <w:sz w:val="20"/>
              </w:rPr>
            </w:pPr>
            <w:r>
              <w:rPr>
                <w:color w:val="000000"/>
                <w:sz w:val="20"/>
              </w:rPr>
              <w:t>О.1.4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5A6BC0C" w14:textId="77777777" w:rsidR="00A77B3E" w:rsidRDefault="00EE0A2B">
            <w:pPr>
              <w:spacing w:before="100"/>
              <w:rPr>
                <w:color w:val="000000"/>
                <w:sz w:val="20"/>
              </w:rPr>
            </w:pPr>
            <w:r>
              <w:rPr>
                <w:color w:val="000000"/>
                <w:sz w:val="20"/>
              </w:rPr>
              <w:t>Брой реновирани/обновени места в приемната инфраструктура в съответствие с достиженията на правото на Съюза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888C64A" w14:textId="77777777" w:rsidR="00A77B3E" w:rsidRDefault="00EE0A2B">
            <w:pPr>
              <w:spacing w:before="100"/>
              <w:rPr>
                <w:color w:val="000000"/>
                <w:sz w:val="20"/>
              </w:rPr>
            </w:pPr>
            <w:r>
              <w:rPr>
                <w:color w:val="000000"/>
                <w:sz w:val="20"/>
              </w:rPr>
              <w:t>номер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22BEBFB" w14:textId="77777777" w:rsidR="00A77B3E" w:rsidRDefault="00EE0A2B">
            <w:pPr>
              <w:spacing w:before="100"/>
              <w:jc w:val="right"/>
              <w:rPr>
                <w:color w:val="000000"/>
                <w:sz w:val="20"/>
              </w:rPr>
            </w:pPr>
            <w:r>
              <w:rPr>
                <w:color w:val="000000"/>
                <w:sz w:val="20"/>
              </w:rPr>
              <w:t>500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A08F9FD" w14:textId="77777777" w:rsidR="00A77B3E" w:rsidRDefault="00EE0A2B">
            <w:pPr>
              <w:spacing w:before="100"/>
              <w:jc w:val="right"/>
              <w:rPr>
                <w:color w:val="000000"/>
                <w:sz w:val="20"/>
              </w:rPr>
            </w:pPr>
            <w:r>
              <w:rPr>
                <w:color w:val="000000"/>
                <w:sz w:val="20"/>
              </w:rPr>
              <w:t>3 503</w:t>
            </w:r>
          </w:p>
        </w:tc>
      </w:tr>
      <w:tr w:rsidR="00723994" w14:paraId="5D19D0F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D47911B" w14:textId="77777777" w:rsidR="00A77B3E" w:rsidRDefault="00EE0A2B">
            <w:pPr>
              <w:spacing w:before="100"/>
              <w:rPr>
                <w:color w:val="000000"/>
                <w:sz w:val="20"/>
              </w:rPr>
            </w:pPr>
            <w:r>
              <w:rPr>
                <w:color w:val="000000"/>
                <w:sz w:val="20"/>
              </w:rPr>
              <w:t>О.1.4.1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D967B0C" w14:textId="77777777" w:rsidR="00A77B3E" w:rsidRDefault="00EE0A2B">
            <w:pPr>
              <w:spacing w:before="100"/>
              <w:rPr>
                <w:color w:val="000000"/>
                <w:sz w:val="20"/>
              </w:rPr>
            </w:pPr>
            <w:r>
              <w:rPr>
                <w:color w:val="000000"/>
                <w:sz w:val="20"/>
              </w:rPr>
              <w:t>от които брой реновирани/обновени места за непридружени непълнолетни лица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0FB44B6" w14:textId="77777777" w:rsidR="00A77B3E" w:rsidRDefault="00EE0A2B">
            <w:pPr>
              <w:spacing w:before="100"/>
              <w:rPr>
                <w:color w:val="000000"/>
                <w:sz w:val="20"/>
              </w:rPr>
            </w:pPr>
            <w:r>
              <w:rPr>
                <w:color w:val="000000"/>
                <w:sz w:val="20"/>
              </w:rPr>
              <w:t>номер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287F3A7" w14:textId="77777777" w:rsidR="00A77B3E" w:rsidRDefault="00EE0A2B">
            <w:pPr>
              <w:spacing w:before="100"/>
              <w:jc w:val="right"/>
              <w:rPr>
                <w:color w:val="000000"/>
                <w:sz w:val="20"/>
              </w:rPr>
            </w:pPr>
            <w:r>
              <w:rPr>
                <w:color w:val="000000"/>
                <w:sz w:val="20"/>
              </w:rPr>
              <w:t>60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49B18F8" w14:textId="77777777" w:rsidR="00A77B3E" w:rsidRDefault="00EE0A2B">
            <w:pPr>
              <w:spacing w:before="100"/>
              <w:jc w:val="right"/>
              <w:rPr>
                <w:color w:val="000000"/>
                <w:sz w:val="20"/>
              </w:rPr>
            </w:pPr>
            <w:r>
              <w:rPr>
                <w:color w:val="000000"/>
                <w:sz w:val="20"/>
              </w:rPr>
              <w:t>120</w:t>
            </w:r>
          </w:p>
        </w:tc>
      </w:tr>
    </w:tbl>
    <w:p w14:paraId="42734D28" w14:textId="77777777" w:rsidR="00A77B3E" w:rsidRDefault="00EE0A2B">
      <w:pPr>
        <w:spacing w:before="100"/>
        <w:rPr>
          <w:color w:val="000000"/>
        </w:rPr>
      </w:pPr>
      <w:r>
        <w:rPr>
          <w:color w:val="000000"/>
          <w:sz w:val="20"/>
        </w:rPr>
        <w:br w:type="page"/>
      </w:r>
      <w:r>
        <w:rPr>
          <w:color w:val="000000"/>
        </w:rPr>
        <w:lastRenderedPageBreak/>
        <w:t>2.1. Специфична цел 1. CEAS</w:t>
      </w:r>
    </w:p>
    <w:p w14:paraId="5C63C9CD" w14:textId="77777777" w:rsidR="00A77B3E" w:rsidRDefault="00EE0A2B">
      <w:pPr>
        <w:spacing w:before="100"/>
        <w:rPr>
          <w:color w:val="000000"/>
          <w:sz w:val="0"/>
        </w:rPr>
      </w:pPr>
      <w:r>
        <w:rPr>
          <w:color w:val="000000"/>
        </w:rPr>
        <w:t>2.1.2. Индикатори</w:t>
      </w:r>
    </w:p>
    <w:p w14:paraId="7B41A83E" w14:textId="77777777" w:rsidR="00A77B3E" w:rsidRDefault="00EE0A2B">
      <w:pPr>
        <w:spacing w:before="100"/>
        <w:rPr>
          <w:color w:val="000000"/>
          <w:sz w:val="12"/>
        </w:rPr>
      </w:pPr>
      <w:r>
        <w:rPr>
          <w:color w:val="000000"/>
        </w:rPr>
        <w:t>Позоваване: член 22, параграф 4, буква д) от РОР</w:t>
      </w:r>
    </w:p>
    <w:p w14:paraId="20E04C82" w14:textId="77777777" w:rsidR="00A77B3E" w:rsidRDefault="00EE0A2B">
      <w:pPr>
        <w:pStyle w:val="Heading4"/>
        <w:spacing w:before="100" w:after="0"/>
        <w:rPr>
          <w:b w:val="0"/>
          <w:color w:val="000000"/>
          <w:sz w:val="24"/>
        </w:rPr>
      </w:pPr>
      <w:bookmarkStart w:id="6" w:name="_Toc256000069"/>
      <w:r>
        <w:rPr>
          <w:b w:val="0"/>
          <w:color w:val="000000"/>
          <w:sz w:val="24"/>
        </w:rPr>
        <w:t>Таблица 2: Показатели за резултати</w:t>
      </w:r>
      <w:bookmarkEnd w:id="6"/>
    </w:p>
    <w:p w14:paraId="57E3E5F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2276"/>
        <w:gridCol w:w="1517"/>
        <w:gridCol w:w="1517"/>
        <w:gridCol w:w="1517"/>
        <w:gridCol w:w="1517"/>
        <w:gridCol w:w="1517"/>
        <w:gridCol w:w="1517"/>
        <w:gridCol w:w="1517"/>
        <w:gridCol w:w="1517"/>
      </w:tblGrid>
      <w:tr w:rsidR="00723994" w14:paraId="199AB239" w14:textId="77777777">
        <w:trPr>
          <w:tblHeader/>
        </w:trPr>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CFA7DFD" w14:textId="77777777" w:rsidR="00A77B3E" w:rsidRDefault="00EE0A2B">
            <w:pPr>
              <w:spacing w:before="100"/>
              <w:jc w:val="center"/>
              <w:rPr>
                <w:color w:val="000000"/>
                <w:sz w:val="20"/>
              </w:rPr>
            </w:pPr>
            <w:r>
              <w:rPr>
                <w:color w:val="000000"/>
                <w:sz w:val="20"/>
              </w:rPr>
              <w:t>Идентификационен номер</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0C02868" w14:textId="77777777" w:rsidR="00A77B3E" w:rsidRDefault="00EE0A2B">
            <w:pPr>
              <w:spacing w:before="100"/>
              <w:jc w:val="center"/>
              <w:rPr>
                <w:color w:val="000000"/>
                <w:sz w:val="20"/>
              </w:rPr>
            </w:pPr>
            <w:r>
              <w:rPr>
                <w:color w:val="000000"/>
                <w:sz w:val="20"/>
              </w:rPr>
              <w:t>Индикатор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6DADAEC" w14:textId="77777777" w:rsidR="00A77B3E" w:rsidRDefault="00EE0A2B">
            <w:pPr>
              <w:spacing w:before="100"/>
              <w:jc w:val="center"/>
              <w:rPr>
                <w:color w:val="000000"/>
                <w:sz w:val="20"/>
              </w:rPr>
            </w:pPr>
            <w:r>
              <w:rPr>
                <w:color w:val="000000"/>
                <w:sz w:val="20"/>
              </w:rPr>
              <w:t>Мерна единица</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50D71F8" w14:textId="77777777" w:rsidR="00A77B3E" w:rsidRDefault="00EE0A2B">
            <w:pPr>
              <w:spacing w:before="100"/>
              <w:jc w:val="center"/>
              <w:rPr>
                <w:color w:val="000000"/>
                <w:sz w:val="20"/>
              </w:rPr>
            </w:pPr>
            <w:r>
              <w:rPr>
                <w:color w:val="000000"/>
                <w:sz w:val="20"/>
              </w:rPr>
              <w:t>Базова линия</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FD9EF96" w14:textId="77777777" w:rsidR="00A77B3E" w:rsidRDefault="00EE0A2B">
            <w:pPr>
              <w:spacing w:before="100"/>
              <w:jc w:val="center"/>
              <w:rPr>
                <w:color w:val="000000"/>
                <w:sz w:val="20"/>
              </w:rPr>
            </w:pPr>
            <w:r>
              <w:rPr>
                <w:color w:val="000000"/>
                <w:sz w:val="20"/>
              </w:rPr>
              <w:t>Мерна единица за базова линия</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6C94C0D" w14:textId="77777777" w:rsidR="00A77B3E" w:rsidRDefault="00EE0A2B">
            <w:pPr>
              <w:spacing w:before="100"/>
              <w:jc w:val="center"/>
              <w:rPr>
                <w:color w:val="000000"/>
                <w:sz w:val="20"/>
              </w:rPr>
            </w:pPr>
            <w:r>
              <w:rPr>
                <w:color w:val="000000"/>
                <w:sz w:val="20"/>
              </w:rPr>
              <w:t>Референтна(и) година(и)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3773A42" w14:textId="77777777" w:rsidR="00A77B3E" w:rsidRDefault="00EE0A2B">
            <w:pPr>
              <w:spacing w:before="100"/>
              <w:jc w:val="center"/>
              <w:rPr>
                <w:color w:val="000000"/>
                <w:sz w:val="20"/>
              </w:rPr>
            </w:pPr>
            <w:r>
              <w:rPr>
                <w:color w:val="000000"/>
                <w:sz w:val="20"/>
              </w:rPr>
              <w:t>Цел (2029)</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002BDE8" w14:textId="77777777" w:rsidR="00A77B3E" w:rsidRDefault="00EE0A2B">
            <w:pPr>
              <w:spacing w:before="100"/>
              <w:jc w:val="center"/>
              <w:rPr>
                <w:color w:val="000000"/>
                <w:sz w:val="20"/>
              </w:rPr>
            </w:pPr>
            <w:r>
              <w:rPr>
                <w:color w:val="000000"/>
                <w:sz w:val="20"/>
              </w:rPr>
              <w:t>Мерна единица за цел</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43C5582" w14:textId="77777777" w:rsidR="00A77B3E" w:rsidRDefault="00EE0A2B">
            <w:pPr>
              <w:spacing w:before="100"/>
              <w:jc w:val="center"/>
              <w:rPr>
                <w:color w:val="000000"/>
                <w:sz w:val="20"/>
              </w:rPr>
            </w:pPr>
            <w:r>
              <w:rPr>
                <w:color w:val="000000"/>
                <w:sz w:val="20"/>
              </w:rPr>
              <w:t>Източник на данни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9A9291A" w14:textId="77777777" w:rsidR="00A77B3E" w:rsidRDefault="00EE0A2B">
            <w:pPr>
              <w:spacing w:before="100"/>
              <w:rPr>
                <w:color w:val="000000"/>
                <w:sz w:val="20"/>
              </w:rPr>
            </w:pPr>
            <w:r>
              <w:rPr>
                <w:color w:val="000000"/>
                <w:sz w:val="20"/>
              </w:rPr>
              <w:t>Коментари</w:t>
            </w:r>
          </w:p>
        </w:tc>
      </w:tr>
      <w:tr w:rsidR="00723994" w14:paraId="531FD949"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B3FE23" w14:textId="77777777" w:rsidR="00A77B3E" w:rsidRDefault="00EE0A2B">
            <w:pPr>
              <w:spacing w:before="100"/>
              <w:rPr>
                <w:color w:val="000000"/>
                <w:sz w:val="20"/>
              </w:rPr>
            </w:pPr>
            <w:r>
              <w:rPr>
                <w:color w:val="000000"/>
                <w:sz w:val="20"/>
              </w:rPr>
              <w:t>Р.1.5</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295EDB" w14:textId="77777777" w:rsidR="00A77B3E" w:rsidRDefault="00EE0A2B">
            <w:pPr>
              <w:spacing w:before="100"/>
              <w:rPr>
                <w:color w:val="000000"/>
                <w:sz w:val="20"/>
              </w:rPr>
            </w:pPr>
            <w:r>
              <w:rPr>
                <w:color w:val="000000"/>
                <w:sz w:val="20"/>
              </w:rPr>
              <w:t>Брой участници, които считат обучението за полезно за работата си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28BEBD" w14:textId="77777777" w:rsidR="00A77B3E" w:rsidRDefault="00EE0A2B">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2A47EE" w14:textId="77777777" w:rsidR="00A77B3E" w:rsidRDefault="00EE0A2B">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16452F" w14:textId="77777777" w:rsidR="00A77B3E" w:rsidRDefault="00EE0A2B">
            <w:pPr>
              <w:spacing w:before="100"/>
              <w:rPr>
                <w:color w:val="000000"/>
                <w:sz w:val="20"/>
              </w:rPr>
            </w:pPr>
            <w:r>
              <w:rPr>
                <w:color w:val="000000"/>
                <w:sz w:val="20"/>
              </w:rPr>
              <w:t>споделяне</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69001B" w14:textId="77777777" w:rsidR="00A77B3E" w:rsidRDefault="00EE0A2B">
            <w:pPr>
              <w:spacing w:before="100"/>
              <w:jc w:val="center"/>
              <w:rPr>
                <w:color w:val="000000"/>
                <w:sz w:val="20"/>
              </w:rPr>
            </w:pPr>
            <w:r>
              <w:rPr>
                <w:color w:val="000000"/>
                <w:sz w:val="20"/>
              </w:rPr>
              <w:t>2021 г.</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35D22B" w14:textId="77777777" w:rsidR="00A77B3E" w:rsidRDefault="00EE0A2B">
            <w:pPr>
              <w:spacing w:before="100"/>
              <w:jc w:val="center"/>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CC849A" w14:textId="77777777" w:rsidR="00A77B3E" w:rsidRDefault="00EE0A2B">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07DEA4" w14:textId="77777777" w:rsidR="00A77B3E" w:rsidRDefault="00EE0A2B">
            <w:pPr>
              <w:spacing w:before="100"/>
              <w:rPr>
                <w:color w:val="000000"/>
                <w:sz w:val="20"/>
              </w:rPr>
            </w:pPr>
            <w:r>
              <w:rPr>
                <w:color w:val="000000"/>
                <w:sz w:val="20"/>
              </w:rPr>
              <w:t>Отчитане на проекти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F4F31F" w14:textId="77777777" w:rsidR="00A77B3E" w:rsidRDefault="00A77B3E">
            <w:pPr>
              <w:spacing w:before="100"/>
              <w:rPr>
                <w:color w:val="000000"/>
                <w:sz w:val="20"/>
              </w:rPr>
            </w:pPr>
          </w:p>
        </w:tc>
      </w:tr>
      <w:tr w:rsidR="00723994" w14:paraId="5C9DD137"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DF9B04" w14:textId="77777777" w:rsidR="00A77B3E" w:rsidRDefault="00EE0A2B">
            <w:pPr>
              <w:spacing w:before="100"/>
              <w:rPr>
                <w:color w:val="000000"/>
                <w:sz w:val="20"/>
              </w:rPr>
            </w:pPr>
            <w:r>
              <w:rPr>
                <w:color w:val="000000"/>
                <w:sz w:val="20"/>
              </w:rPr>
              <w:t>Р.1.6</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4AA599" w14:textId="77777777" w:rsidR="00A77B3E" w:rsidRDefault="00EE0A2B">
            <w:pPr>
              <w:spacing w:before="100"/>
              <w:rPr>
                <w:color w:val="000000"/>
                <w:sz w:val="20"/>
              </w:rPr>
            </w:pPr>
            <w:r>
              <w:rPr>
                <w:color w:val="000000"/>
                <w:sz w:val="20"/>
              </w:rPr>
              <w:t>Брой участници, които съобщават три месеца след обучителната дейност, че използват уменията и компетенциите, придобити по време на обучението</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BF9A73" w14:textId="77777777" w:rsidR="00A77B3E" w:rsidRDefault="00EE0A2B">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950CA4" w14:textId="77777777" w:rsidR="00A77B3E" w:rsidRDefault="00EE0A2B">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12A168" w14:textId="77777777" w:rsidR="00A77B3E" w:rsidRDefault="00EE0A2B">
            <w:pPr>
              <w:spacing w:before="100"/>
              <w:rPr>
                <w:color w:val="000000"/>
                <w:sz w:val="20"/>
              </w:rPr>
            </w:pPr>
            <w:r>
              <w:rPr>
                <w:color w:val="000000"/>
                <w:sz w:val="20"/>
              </w:rPr>
              <w:t>споделяне</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C6E49B" w14:textId="77777777" w:rsidR="00A77B3E" w:rsidRDefault="00EE0A2B">
            <w:pPr>
              <w:spacing w:before="100"/>
              <w:jc w:val="center"/>
              <w:rPr>
                <w:color w:val="000000"/>
                <w:sz w:val="20"/>
              </w:rPr>
            </w:pPr>
            <w:r>
              <w:rPr>
                <w:color w:val="000000"/>
                <w:sz w:val="20"/>
              </w:rPr>
              <w:t>2021 г.</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3CCF45" w14:textId="77777777" w:rsidR="00A77B3E" w:rsidRDefault="00EE0A2B">
            <w:pPr>
              <w:spacing w:before="100"/>
              <w:jc w:val="center"/>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E87669" w14:textId="77777777" w:rsidR="00A77B3E" w:rsidRDefault="00EE0A2B">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138D03" w14:textId="77777777" w:rsidR="00A77B3E" w:rsidRDefault="00EE0A2B">
            <w:pPr>
              <w:spacing w:before="100"/>
              <w:rPr>
                <w:color w:val="000000"/>
                <w:sz w:val="20"/>
              </w:rPr>
            </w:pPr>
            <w:r>
              <w:rPr>
                <w:color w:val="000000"/>
                <w:sz w:val="20"/>
              </w:rPr>
              <w:t>Отчитане на проекти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157107" w14:textId="77777777" w:rsidR="00A77B3E" w:rsidRDefault="00A77B3E">
            <w:pPr>
              <w:spacing w:before="100"/>
              <w:rPr>
                <w:color w:val="000000"/>
                <w:sz w:val="20"/>
              </w:rPr>
            </w:pPr>
          </w:p>
        </w:tc>
      </w:tr>
      <w:tr w:rsidR="00723994" w14:paraId="1E432536"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70033F" w14:textId="77777777" w:rsidR="00A77B3E" w:rsidRDefault="00EE0A2B">
            <w:pPr>
              <w:spacing w:before="100"/>
              <w:rPr>
                <w:color w:val="000000"/>
                <w:sz w:val="20"/>
              </w:rPr>
            </w:pPr>
            <w:r>
              <w:rPr>
                <w:color w:val="000000"/>
                <w:sz w:val="20"/>
              </w:rPr>
              <w:t>Р.1.7</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3960AD" w14:textId="77777777" w:rsidR="00A77B3E" w:rsidRDefault="00EE0A2B">
            <w:pPr>
              <w:spacing w:before="100"/>
              <w:rPr>
                <w:color w:val="000000"/>
                <w:sz w:val="20"/>
              </w:rPr>
            </w:pPr>
            <w:r>
              <w:rPr>
                <w:color w:val="000000"/>
                <w:sz w:val="20"/>
              </w:rPr>
              <w:t>Брой лица, настанени в алтернативи на задържането</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3EB00D" w14:textId="77777777" w:rsidR="00A77B3E" w:rsidRDefault="00EE0A2B">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F4CF72" w14:textId="77777777" w:rsidR="00A77B3E" w:rsidRDefault="00EE0A2B">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C71164" w14:textId="77777777" w:rsidR="00A77B3E" w:rsidRDefault="00EE0A2B">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F32662" w14:textId="77777777" w:rsidR="00A77B3E" w:rsidRDefault="00EE0A2B">
            <w:pPr>
              <w:spacing w:before="100"/>
              <w:jc w:val="center"/>
              <w:rPr>
                <w:color w:val="000000"/>
                <w:sz w:val="20"/>
              </w:rPr>
            </w:pPr>
            <w:r>
              <w:rPr>
                <w:color w:val="000000"/>
                <w:sz w:val="20"/>
              </w:rPr>
              <w:t>2021 г.</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145D95" w14:textId="77777777" w:rsidR="00A77B3E" w:rsidRDefault="00EE0A2B">
            <w:pPr>
              <w:spacing w:before="100"/>
              <w:jc w:val="center"/>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57111F" w14:textId="77777777" w:rsidR="00A77B3E" w:rsidRDefault="00EE0A2B">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388CA2" w14:textId="77777777" w:rsidR="00A77B3E" w:rsidRDefault="00EE0A2B">
            <w:pPr>
              <w:spacing w:before="100"/>
              <w:rPr>
                <w:color w:val="000000"/>
                <w:sz w:val="20"/>
              </w:rPr>
            </w:pPr>
            <w:r>
              <w:rPr>
                <w:color w:val="000000"/>
                <w:sz w:val="20"/>
              </w:rPr>
              <w:t>Отчитане на проекти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77E970" w14:textId="77777777" w:rsidR="00A77B3E" w:rsidRDefault="00A77B3E">
            <w:pPr>
              <w:spacing w:before="100"/>
              <w:rPr>
                <w:color w:val="000000"/>
                <w:sz w:val="20"/>
              </w:rPr>
            </w:pPr>
          </w:p>
        </w:tc>
      </w:tr>
      <w:tr w:rsidR="00723994" w14:paraId="20A21D67"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F752F3" w14:textId="77777777" w:rsidR="00A77B3E" w:rsidRDefault="00EE0A2B">
            <w:pPr>
              <w:spacing w:before="100"/>
              <w:rPr>
                <w:color w:val="000000"/>
                <w:sz w:val="20"/>
              </w:rPr>
            </w:pPr>
            <w:r>
              <w:rPr>
                <w:color w:val="000000"/>
                <w:sz w:val="20"/>
              </w:rPr>
              <w:t>Р.1.7.1</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35EEF1" w14:textId="77777777" w:rsidR="00A77B3E" w:rsidRDefault="00EE0A2B">
            <w:pPr>
              <w:spacing w:before="100"/>
              <w:rPr>
                <w:color w:val="000000"/>
                <w:sz w:val="20"/>
              </w:rPr>
            </w:pPr>
            <w:r>
              <w:rPr>
                <w:color w:val="000000"/>
                <w:sz w:val="20"/>
              </w:rPr>
              <w:t>от които брой непридружени непълнолетни, настанени в алтернативи на задържането</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1C9C5E" w14:textId="77777777" w:rsidR="00A77B3E" w:rsidRDefault="00EE0A2B">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A7B60F" w14:textId="77777777" w:rsidR="00A77B3E" w:rsidRDefault="00EE0A2B">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005D94" w14:textId="77777777" w:rsidR="00A77B3E" w:rsidRDefault="00EE0A2B">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12C178" w14:textId="77777777" w:rsidR="00A77B3E" w:rsidRDefault="00EE0A2B">
            <w:pPr>
              <w:spacing w:before="100"/>
              <w:jc w:val="center"/>
              <w:rPr>
                <w:color w:val="000000"/>
                <w:sz w:val="20"/>
              </w:rPr>
            </w:pPr>
            <w:r>
              <w:rPr>
                <w:color w:val="000000"/>
                <w:sz w:val="20"/>
              </w:rPr>
              <w:t>2021 г.</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94F61B" w14:textId="77777777" w:rsidR="00A77B3E" w:rsidRDefault="00EE0A2B">
            <w:pPr>
              <w:spacing w:before="100"/>
              <w:jc w:val="center"/>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B237A8" w14:textId="77777777" w:rsidR="00A77B3E" w:rsidRDefault="00EE0A2B">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0E1DAC" w14:textId="77777777" w:rsidR="00A77B3E" w:rsidRDefault="00EE0A2B">
            <w:pPr>
              <w:spacing w:before="100"/>
              <w:rPr>
                <w:color w:val="000000"/>
                <w:sz w:val="20"/>
              </w:rPr>
            </w:pPr>
            <w:r>
              <w:rPr>
                <w:color w:val="000000"/>
                <w:sz w:val="20"/>
              </w:rPr>
              <w:t>Отчитане на проекти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9509B3" w14:textId="77777777" w:rsidR="00A77B3E" w:rsidRDefault="00A77B3E">
            <w:pPr>
              <w:spacing w:before="100"/>
              <w:rPr>
                <w:color w:val="000000"/>
                <w:sz w:val="20"/>
              </w:rPr>
            </w:pPr>
          </w:p>
        </w:tc>
      </w:tr>
      <w:tr w:rsidR="00723994" w14:paraId="485572AD"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4EB830" w14:textId="77777777" w:rsidR="00A77B3E" w:rsidRDefault="00EE0A2B">
            <w:pPr>
              <w:spacing w:before="100"/>
              <w:rPr>
                <w:color w:val="000000"/>
                <w:sz w:val="20"/>
              </w:rPr>
            </w:pPr>
            <w:r>
              <w:rPr>
                <w:color w:val="000000"/>
                <w:sz w:val="20"/>
              </w:rPr>
              <w:t>Р.1.7.2</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FCACA8" w14:textId="77777777" w:rsidR="00A77B3E" w:rsidRDefault="00EE0A2B">
            <w:pPr>
              <w:spacing w:before="100"/>
              <w:rPr>
                <w:color w:val="000000"/>
                <w:sz w:val="20"/>
              </w:rPr>
            </w:pPr>
            <w:r>
              <w:rPr>
                <w:color w:val="000000"/>
                <w:sz w:val="20"/>
              </w:rPr>
              <w:t>от които брой семейства, настанени в алтернативи на задържането</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786ABE" w14:textId="77777777" w:rsidR="00A77B3E" w:rsidRDefault="00EE0A2B">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A3E053" w14:textId="77777777" w:rsidR="00A77B3E" w:rsidRDefault="00EE0A2B">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E1C02C" w14:textId="77777777" w:rsidR="00A77B3E" w:rsidRDefault="00EE0A2B">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9620BD" w14:textId="77777777" w:rsidR="00A77B3E" w:rsidRDefault="00EE0A2B">
            <w:pPr>
              <w:spacing w:before="100"/>
              <w:jc w:val="center"/>
              <w:rPr>
                <w:color w:val="000000"/>
                <w:sz w:val="20"/>
              </w:rPr>
            </w:pPr>
            <w:r>
              <w:rPr>
                <w:color w:val="000000"/>
                <w:sz w:val="20"/>
              </w:rPr>
              <w:t>2021 г.</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72DACF" w14:textId="77777777" w:rsidR="00A77B3E" w:rsidRDefault="00EE0A2B">
            <w:pPr>
              <w:spacing w:before="100"/>
              <w:jc w:val="center"/>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412378" w14:textId="77777777" w:rsidR="00A77B3E" w:rsidRDefault="00EE0A2B">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FA9E7D" w14:textId="77777777" w:rsidR="00A77B3E" w:rsidRDefault="00EE0A2B">
            <w:pPr>
              <w:spacing w:before="100"/>
              <w:rPr>
                <w:color w:val="000000"/>
                <w:sz w:val="20"/>
              </w:rPr>
            </w:pPr>
            <w:r>
              <w:rPr>
                <w:color w:val="000000"/>
                <w:sz w:val="20"/>
              </w:rPr>
              <w:t>Отчитане на проекти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9F10D4" w14:textId="77777777" w:rsidR="00A77B3E" w:rsidRDefault="00A77B3E">
            <w:pPr>
              <w:spacing w:before="100"/>
              <w:rPr>
                <w:color w:val="000000"/>
                <w:sz w:val="20"/>
              </w:rPr>
            </w:pPr>
          </w:p>
        </w:tc>
      </w:tr>
    </w:tbl>
    <w:p w14:paraId="111D32A3" w14:textId="77777777" w:rsidR="00A77B3E" w:rsidRDefault="00A77B3E">
      <w:pPr>
        <w:spacing w:before="100"/>
        <w:rPr>
          <w:color w:val="000000"/>
          <w:sz w:val="20"/>
        </w:rPr>
        <w:sectPr w:rsidR="00A77B3E">
          <w:headerReference w:type="even" r:id="rId19"/>
          <w:headerReference w:type="default" r:id="rId20"/>
          <w:footerReference w:type="even" r:id="rId21"/>
          <w:footerReference w:type="default" r:id="rId22"/>
          <w:headerReference w:type="first" r:id="rId23"/>
          <w:footerReference w:type="first" r:id="rId24"/>
          <w:pgSz w:w="16838" w:h="11906" w:orient="landscape"/>
          <w:pgMar w:top="720" w:right="720" w:bottom="864" w:left="936" w:header="288" w:footer="72" w:gutter="0"/>
          <w:cols w:space="720"/>
          <w:noEndnote/>
          <w:docGrid w:linePitch="360"/>
        </w:sectPr>
      </w:pPr>
    </w:p>
    <w:p w14:paraId="282C5E40" w14:textId="77777777" w:rsidR="00A77B3E" w:rsidRPr="00EE0A2B" w:rsidRDefault="00EE0A2B">
      <w:pPr>
        <w:spacing w:before="100"/>
        <w:rPr>
          <w:color w:val="000000"/>
          <w:sz w:val="0"/>
          <w:lang w:val="bg-BG"/>
        </w:rPr>
      </w:pPr>
      <w:r>
        <w:rPr>
          <w:color w:val="000000"/>
        </w:rPr>
        <w:lastRenderedPageBreak/>
        <w:t xml:space="preserve">2.1. Специфична цел 1. </w:t>
      </w:r>
      <w:r>
        <w:rPr>
          <w:color w:val="000000"/>
          <w:lang w:val="bg-BG"/>
        </w:rPr>
        <w:t>ОЕСУ</w:t>
      </w:r>
    </w:p>
    <w:p w14:paraId="49287838" w14:textId="77777777" w:rsidR="00A77B3E" w:rsidRDefault="00EE0A2B">
      <w:pPr>
        <w:pStyle w:val="Heading3"/>
        <w:spacing w:before="100" w:after="0"/>
        <w:rPr>
          <w:rFonts w:ascii="Times New Roman" w:hAnsi="Times New Roman" w:cs="Times New Roman"/>
          <w:b w:val="0"/>
          <w:color w:val="000000"/>
          <w:sz w:val="24"/>
        </w:rPr>
      </w:pPr>
      <w:bookmarkStart w:id="7" w:name="_Toc256000070"/>
      <w:r>
        <w:rPr>
          <w:rFonts w:ascii="Times New Roman" w:hAnsi="Times New Roman" w:cs="Times New Roman"/>
          <w:b w:val="0"/>
          <w:color w:val="000000"/>
          <w:sz w:val="24"/>
        </w:rPr>
        <w:t>2.1.3. Индикативно разпределение на програмните ресурси (ЕС) по вид интервенция</w:t>
      </w:r>
      <w:bookmarkEnd w:id="7"/>
    </w:p>
    <w:p w14:paraId="3098D450" w14:textId="77777777" w:rsidR="00A77B3E" w:rsidRDefault="00EE0A2B">
      <w:pPr>
        <w:spacing w:before="100"/>
        <w:rPr>
          <w:color w:val="000000"/>
        </w:rPr>
      </w:pPr>
      <w:r>
        <w:rPr>
          <w:color w:val="000000"/>
        </w:rPr>
        <w:t xml:space="preserve">Позоваване: Член 22(5) от РОР; и член 16(12) от Регламента за ФУМИ, член 13(12) от Регламента за </w:t>
      </w:r>
      <w:r w:rsidR="0002372A">
        <w:rPr>
          <w:color w:val="000000"/>
        </w:rPr>
        <w:t>ФВС</w:t>
      </w:r>
      <w:r>
        <w:rPr>
          <w:color w:val="000000"/>
        </w:rPr>
        <w:t xml:space="preserve"> или член 13(18) от Регламента за ИУГВ</w:t>
      </w:r>
    </w:p>
    <w:p w14:paraId="7215BDFA" w14:textId="77777777" w:rsidR="00A77B3E" w:rsidRDefault="00EE0A2B">
      <w:pPr>
        <w:pStyle w:val="Heading4"/>
        <w:spacing w:before="100" w:after="0"/>
        <w:rPr>
          <w:b w:val="0"/>
          <w:color w:val="000000"/>
          <w:sz w:val="24"/>
        </w:rPr>
      </w:pPr>
      <w:bookmarkStart w:id="8" w:name="_Toc256000071"/>
      <w:r>
        <w:rPr>
          <w:b w:val="0"/>
          <w:color w:val="000000"/>
          <w:sz w:val="24"/>
        </w:rPr>
        <w:t>Таблица 3: Индикативна разбивка</w:t>
      </w:r>
      <w:bookmarkEnd w:id="8"/>
    </w:p>
    <w:p w14:paraId="47261382"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1"/>
        <w:gridCol w:w="4892"/>
        <w:gridCol w:w="5789"/>
      </w:tblGrid>
      <w:tr w:rsidR="00723994" w14:paraId="4E2A5F0C" w14:textId="77777777">
        <w:trPr>
          <w:tblHeader/>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C74D74" w14:textId="77777777" w:rsidR="00A77B3E" w:rsidRDefault="00EE0A2B">
            <w:pPr>
              <w:spacing w:before="100"/>
              <w:rPr>
                <w:color w:val="000000"/>
                <w:sz w:val="20"/>
              </w:rPr>
            </w:pPr>
            <w:r>
              <w:rPr>
                <w:color w:val="000000"/>
                <w:sz w:val="20"/>
              </w:rPr>
              <w:t>Вид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F30BD7" w14:textId="77777777" w:rsidR="00A77B3E" w:rsidRDefault="00EE0A2B">
            <w:pPr>
              <w:spacing w:before="100"/>
              <w:rPr>
                <w:color w:val="000000"/>
                <w:sz w:val="20"/>
              </w:rPr>
            </w:pPr>
            <w:r>
              <w:rPr>
                <w:color w:val="000000"/>
                <w:sz w:val="20"/>
              </w:rPr>
              <w:t>Код</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1A39DC" w14:textId="77777777" w:rsidR="00A77B3E" w:rsidRDefault="00EE0A2B">
            <w:pPr>
              <w:spacing w:before="100"/>
              <w:jc w:val="right"/>
              <w:rPr>
                <w:color w:val="000000"/>
                <w:sz w:val="20"/>
              </w:rPr>
            </w:pPr>
            <w:r>
              <w:rPr>
                <w:color w:val="000000"/>
                <w:sz w:val="20"/>
              </w:rPr>
              <w:t>Ориентировъчна сума (евро)</w:t>
            </w:r>
          </w:p>
        </w:tc>
      </w:tr>
      <w:tr w:rsidR="00723994" w14:paraId="5626E75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8D3D0E" w14:textId="77777777" w:rsidR="00A77B3E" w:rsidRDefault="00EE0A2B">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6C18EE" w14:textId="77777777" w:rsidR="00A77B3E" w:rsidRDefault="00EE0A2B">
            <w:pPr>
              <w:spacing w:before="100"/>
              <w:rPr>
                <w:color w:val="000000"/>
                <w:sz w:val="20"/>
              </w:rPr>
            </w:pPr>
            <w:r>
              <w:rPr>
                <w:color w:val="000000"/>
                <w:sz w:val="20"/>
              </w:rPr>
              <w:t>001. Условия на приемане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0529F0" w14:textId="77777777" w:rsidR="00A77B3E" w:rsidRDefault="00EE0A2B">
            <w:pPr>
              <w:spacing w:before="100"/>
              <w:jc w:val="right"/>
              <w:rPr>
                <w:color w:val="000000"/>
                <w:sz w:val="20"/>
              </w:rPr>
            </w:pPr>
            <w:r>
              <w:rPr>
                <w:color w:val="000000"/>
                <w:sz w:val="20"/>
              </w:rPr>
              <w:t>40 572 827,39</w:t>
            </w:r>
          </w:p>
        </w:tc>
      </w:tr>
      <w:tr w:rsidR="00723994" w14:paraId="02419C7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856732" w14:textId="77777777" w:rsidR="00A77B3E" w:rsidRDefault="00EE0A2B">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D4AF4B" w14:textId="77777777" w:rsidR="00A77B3E" w:rsidRDefault="00EE0A2B">
            <w:pPr>
              <w:spacing w:before="100"/>
              <w:rPr>
                <w:color w:val="000000"/>
                <w:sz w:val="20"/>
              </w:rPr>
            </w:pPr>
            <w:r>
              <w:rPr>
                <w:color w:val="000000"/>
                <w:sz w:val="20"/>
              </w:rPr>
              <w:t>002. Процедури за предоставяне на убежище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55D10D" w14:textId="77777777" w:rsidR="00A77B3E" w:rsidRDefault="00EE0A2B">
            <w:pPr>
              <w:spacing w:before="100"/>
              <w:jc w:val="right"/>
              <w:rPr>
                <w:color w:val="000000"/>
                <w:sz w:val="20"/>
              </w:rPr>
            </w:pPr>
            <w:r>
              <w:rPr>
                <w:color w:val="000000"/>
                <w:sz w:val="20"/>
              </w:rPr>
              <w:t>1 251 661,72</w:t>
            </w:r>
          </w:p>
        </w:tc>
      </w:tr>
      <w:tr w:rsidR="00723994" w14:paraId="5B51CA6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1D4D2A" w14:textId="77777777" w:rsidR="00A77B3E" w:rsidRDefault="00EE0A2B">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26115D" w14:textId="77777777" w:rsidR="00A77B3E" w:rsidRDefault="00EE0A2B">
            <w:pPr>
              <w:spacing w:before="100"/>
              <w:rPr>
                <w:color w:val="000000"/>
                <w:sz w:val="20"/>
              </w:rPr>
            </w:pPr>
            <w:r>
              <w:rPr>
                <w:color w:val="000000"/>
                <w:sz w:val="20"/>
              </w:rPr>
              <w:t>003. Прилагане на достиженията на правото на Съюза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74E3BD" w14:textId="77777777" w:rsidR="00A77B3E" w:rsidRDefault="00EE0A2B">
            <w:pPr>
              <w:spacing w:before="100"/>
              <w:jc w:val="right"/>
              <w:rPr>
                <w:color w:val="000000"/>
                <w:sz w:val="20"/>
              </w:rPr>
            </w:pPr>
            <w:r>
              <w:rPr>
                <w:color w:val="000000"/>
                <w:sz w:val="20"/>
              </w:rPr>
              <w:t>0.00</w:t>
            </w:r>
          </w:p>
        </w:tc>
      </w:tr>
      <w:tr w:rsidR="00723994" w14:paraId="2D764AD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CE1433" w14:textId="77777777" w:rsidR="00A77B3E" w:rsidRDefault="00EE0A2B">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E9D95E" w14:textId="77777777" w:rsidR="00A77B3E" w:rsidRDefault="00EE0A2B">
            <w:pPr>
              <w:spacing w:before="100"/>
              <w:rPr>
                <w:color w:val="000000"/>
                <w:sz w:val="20"/>
              </w:rPr>
            </w:pPr>
            <w:r>
              <w:rPr>
                <w:color w:val="000000"/>
                <w:sz w:val="20"/>
              </w:rPr>
              <w:t>004. Деца в миграция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44DA45" w14:textId="77777777" w:rsidR="00A77B3E" w:rsidRDefault="00EE0A2B">
            <w:pPr>
              <w:spacing w:before="100"/>
              <w:jc w:val="right"/>
              <w:rPr>
                <w:color w:val="000000"/>
                <w:sz w:val="20"/>
              </w:rPr>
            </w:pPr>
            <w:r>
              <w:rPr>
                <w:color w:val="000000"/>
                <w:sz w:val="20"/>
              </w:rPr>
              <w:t>15 775 346,79</w:t>
            </w:r>
          </w:p>
        </w:tc>
      </w:tr>
      <w:tr w:rsidR="00723994" w14:paraId="211858B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227978" w14:textId="77777777" w:rsidR="00A77B3E" w:rsidRDefault="00EE0A2B">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9AB620" w14:textId="77777777" w:rsidR="00A77B3E" w:rsidRDefault="00EE0A2B">
            <w:pPr>
              <w:spacing w:before="100"/>
              <w:rPr>
                <w:color w:val="000000"/>
                <w:sz w:val="20"/>
              </w:rPr>
            </w:pPr>
            <w:r>
              <w:rPr>
                <w:color w:val="000000"/>
                <w:sz w:val="20"/>
              </w:rPr>
              <w:t>005. Лица със специални нужди, свързани с приемането и процедурите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49D90A" w14:textId="77777777" w:rsidR="00A77B3E" w:rsidRDefault="00EE0A2B">
            <w:pPr>
              <w:spacing w:before="100"/>
              <w:jc w:val="right"/>
              <w:rPr>
                <w:color w:val="000000"/>
                <w:sz w:val="20"/>
              </w:rPr>
            </w:pPr>
            <w:r>
              <w:rPr>
                <w:color w:val="000000"/>
                <w:sz w:val="20"/>
              </w:rPr>
              <w:t>0.00</w:t>
            </w:r>
          </w:p>
        </w:tc>
      </w:tr>
      <w:tr w:rsidR="00723994" w14:paraId="610BBAC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10E0C4" w14:textId="77777777" w:rsidR="00A77B3E" w:rsidRDefault="00EE0A2B">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8B8916" w14:textId="77777777" w:rsidR="00A77B3E" w:rsidRDefault="00EE0A2B">
            <w:pPr>
              <w:spacing w:before="100"/>
              <w:rPr>
                <w:color w:val="000000"/>
                <w:sz w:val="20"/>
              </w:rPr>
            </w:pPr>
            <w:r>
              <w:rPr>
                <w:color w:val="000000"/>
                <w:sz w:val="20"/>
              </w:rPr>
              <w:t>006. Програми на Съюза за презаселване или национални схеми за презаселване и хуманитарен прием (Приложение III, точка 2, буква ж))</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16C838" w14:textId="77777777" w:rsidR="00A77B3E" w:rsidRDefault="00EE0A2B">
            <w:pPr>
              <w:spacing w:before="100"/>
              <w:jc w:val="right"/>
              <w:rPr>
                <w:color w:val="000000"/>
                <w:sz w:val="20"/>
              </w:rPr>
            </w:pPr>
            <w:r>
              <w:rPr>
                <w:color w:val="000000"/>
                <w:sz w:val="20"/>
              </w:rPr>
              <w:t>0.00</w:t>
            </w:r>
          </w:p>
        </w:tc>
      </w:tr>
      <w:tr w:rsidR="00723994" w14:paraId="6C41096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0A15A1" w14:textId="77777777" w:rsidR="00A77B3E" w:rsidRDefault="00EE0A2B">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EC7C16" w14:textId="77777777" w:rsidR="00A77B3E" w:rsidRDefault="00EE0A2B">
            <w:pPr>
              <w:spacing w:before="100"/>
              <w:rPr>
                <w:color w:val="000000"/>
                <w:sz w:val="20"/>
              </w:rPr>
            </w:pPr>
            <w:r>
              <w:rPr>
                <w:color w:val="000000"/>
                <w:sz w:val="20"/>
              </w:rPr>
              <w:t>007. Оперативна поддръжка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610D1D" w14:textId="77777777" w:rsidR="00A77B3E" w:rsidRDefault="00EE0A2B">
            <w:pPr>
              <w:spacing w:before="100"/>
              <w:jc w:val="right"/>
              <w:rPr>
                <w:color w:val="000000"/>
                <w:sz w:val="20"/>
              </w:rPr>
            </w:pPr>
            <w:r>
              <w:rPr>
                <w:color w:val="000000"/>
                <w:sz w:val="20"/>
              </w:rPr>
              <w:t>4 851 540,00</w:t>
            </w:r>
          </w:p>
        </w:tc>
      </w:tr>
    </w:tbl>
    <w:p w14:paraId="16133FB1" w14:textId="77777777" w:rsidR="00A77B3E" w:rsidRDefault="00A77B3E">
      <w:pPr>
        <w:spacing w:before="100"/>
        <w:rPr>
          <w:color w:val="000000"/>
          <w:sz w:val="20"/>
        </w:rPr>
        <w:sectPr w:rsidR="00A77B3E">
          <w:pgSz w:w="16838" w:h="11906" w:orient="landscape"/>
          <w:pgMar w:top="720" w:right="720" w:bottom="864" w:left="936" w:header="288" w:footer="72" w:gutter="0"/>
          <w:cols w:space="720"/>
          <w:noEndnote/>
          <w:docGrid w:linePitch="360"/>
        </w:sectPr>
      </w:pPr>
    </w:p>
    <w:p w14:paraId="7B7F197A" w14:textId="77777777" w:rsidR="00A77B3E" w:rsidRDefault="00EE0A2B">
      <w:pPr>
        <w:pStyle w:val="Heading2"/>
        <w:spacing w:before="100" w:after="0"/>
        <w:rPr>
          <w:rFonts w:ascii="TimesNewRoman" w:eastAsia="TimesNewRoman" w:hAnsi="TimesNewRoman" w:cs="TimesNewRoman"/>
          <w:b w:val="0"/>
          <w:i w:val="0"/>
          <w:color w:val="000000"/>
          <w:sz w:val="24"/>
        </w:rPr>
      </w:pPr>
      <w:bookmarkStart w:id="9" w:name="_Toc256000072"/>
      <w:r>
        <w:rPr>
          <w:rFonts w:ascii="TimesNewRoman" w:eastAsia="TimesNewRoman" w:hAnsi="TimesNewRoman" w:cs="TimesNewRoman"/>
          <w:b w:val="0"/>
          <w:i w:val="0"/>
          <w:color w:val="000000"/>
          <w:sz w:val="24"/>
        </w:rPr>
        <w:lastRenderedPageBreak/>
        <w:t>2.1. Специфична цел: 2. Легална миграция и интеграция</w:t>
      </w:r>
      <w:bookmarkEnd w:id="9"/>
    </w:p>
    <w:p w14:paraId="560155A7" w14:textId="77777777" w:rsidR="00A77B3E" w:rsidRDefault="00A77B3E">
      <w:pPr>
        <w:spacing w:before="100"/>
        <w:rPr>
          <w:rFonts w:ascii="TimesNewRoman" w:eastAsia="TimesNewRoman" w:hAnsi="TimesNewRoman" w:cs="TimesNewRoman"/>
          <w:color w:val="000000"/>
          <w:sz w:val="0"/>
        </w:rPr>
      </w:pPr>
    </w:p>
    <w:p w14:paraId="0C3FDD16" w14:textId="77777777" w:rsidR="00A77B3E" w:rsidRDefault="00EE0A2B">
      <w:pPr>
        <w:pStyle w:val="Heading3"/>
        <w:spacing w:before="100" w:after="0"/>
        <w:rPr>
          <w:rFonts w:ascii="TimesNewRoman" w:eastAsia="TimesNewRoman" w:hAnsi="TimesNewRoman" w:cs="TimesNewRoman"/>
          <w:b w:val="0"/>
          <w:color w:val="000000"/>
          <w:sz w:val="24"/>
        </w:rPr>
      </w:pPr>
      <w:bookmarkStart w:id="10" w:name="_Toc256000073"/>
      <w:r>
        <w:rPr>
          <w:rFonts w:ascii="TimesNewRoman" w:eastAsia="TimesNewRoman" w:hAnsi="TimesNewRoman" w:cs="TimesNewRoman"/>
          <w:b w:val="0"/>
          <w:color w:val="000000"/>
          <w:sz w:val="24"/>
        </w:rPr>
        <w:t>2.1.1. Описание на специфичната цел</w:t>
      </w:r>
      <w:bookmarkEnd w:id="10"/>
    </w:p>
    <w:p w14:paraId="09113A4F" w14:textId="77777777" w:rsidR="00A77B3E" w:rsidRDefault="00A77B3E">
      <w:pPr>
        <w:spacing w:before="100"/>
        <w:rPr>
          <w:rFonts w:ascii="TimesNewRoman" w:eastAsia="TimesNewRoman" w:hAnsi="TimesNewRoman" w:cs="TimesNewRoman"/>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723994" w14:paraId="484360D2"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F6ADB5" w14:textId="77777777" w:rsidR="00A77B3E" w:rsidRDefault="00A77B3E">
            <w:pPr>
              <w:spacing w:before="100"/>
              <w:rPr>
                <w:rFonts w:ascii="TimesNewRoman" w:eastAsia="TimesNewRoman" w:hAnsi="TimesNewRoman" w:cs="TimesNewRoman"/>
                <w:color w:val="000000"/>
                <w:sz w:val="0"/>
              </w:rPr>
            </w:pPr>
          </w:p>
          <w:p w14:paraId="3672DDC2"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В резултат на характерно различни тенденции – засиленото икономическо развитие и създаването на нови работни места от една страна, и негативните демографски процеси от друга, в България се наблюдава недостиг на работна сила в редица сектори и региони. Един от начините за решаване на този проблем, заложен в Закона за трудовата миграция и трудовата мобилност, както и в Националната стратегия в областта на миграцията, убежището и интеграцията (2015-2020 г.) и последвалата я Национална миграционна стратегия 2021-2025 г. и новата Национална стратегия за управление на миграцията и убежището (2025-2030 г.), е вносът на необходимата работна сила с подходяща квалификация от трети страни.</w:t>
            </w:r>
          </w:p>
          <w:p w14:paraId="6FB22F9E"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В тази връзка, през 2017 г. България инициира възобновяване на преговорите за сключване на двустранни споразумения за регулиране на трудовата миграция с предварително определени държави от региона на Източното партньорство и Централна Азия. Към момента са сключени споразумения с Република Армения, Република Молдова и Грузия. Водят се преговори за сключване на споразумения с Украйна, Република Азербайджан и Република Беларус. Даден е мандат за започване на преговори с Република Албания и Туркменистан.</w:t>
            </w:r>
          </w:p>
          <w:p w14:paraId="21D9BFEE"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Определени са и други държави (Република Казахстан, Киргизска република, Монголия, Република Таджикистан и Република Узбекистан и други), с които, след определяне на общ интерес, ще се пристъпи към преговори за сключване на двустранни споразумения за регулиране на трудовата миграция.</w:t>
            </w:r>
          </w:p>
          <w:p w14:paraId="39A4C6EF"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С оглед успешното изпълнение на сключените споразумения и постигане на заявените цели – регулиран прием на служители за клонове и работодатели, нуждаещи се от работна сила, се обръща специално внимание на съответните страни на произход и се предоставя информация относно условията на живот и труд и възможностите за работа в България, както чрез добре насочени информационни кампании, така и чрез индивидуална работа с бъдещи мигранти.</w:t>
            </w:r>
          </w:p>
          <w:p w14:paraId="01707E84"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Броят на лицата, на които е предоставена международна закрила през последните години, стабилно намалява, като средният брой е 2800 души годишно. Същевременно няма официална информация за броя на тези лица, които реално пребивават в България – разлика, коригирана в рамките на националното преброяване през 2021 г. Броят на гражданите на трети страни, които реално пребивават в България през 2021 г., е 1413, през 2022 г. - 2831, през 2023 г. - 4299, а през 2024 г. е регистрирано значително увеличение - 7064 души въз основа на издадените разрешения от типа единно разрешение за пребиваване и работа. В сравнение с 2023 г. през 2024 г. този брой се е увеличил с 64,3%.</w:t>
            </w:r>
          </w:p>
          <w:p w14:paraId="53B25090" w14:textId="77777777" w:rsidR="00A77B3E" w:rsidRDefault="00A77B3E">
            <w:pPr>
              <w:spacing w:before="100"/>
              <w:rPr>
                <w:rFonts w:ascii="TimesNewRoman" w:eastAsia="TimesNewRoman" w:hAnsi="TimesNewRoman" w:cs="TimesNewRoman"/>
                <w:color w:val="000000"/>
              </w:rPr>
            </w:pPr>
          </w:p>
          <w:p w14:paraId="7AC99082"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Преобладаващите категории в целевата група включват граждани на трети страни и техните семейства, които имат основания за дългосрочен престой, включително лица, получили разрешение за работа или извършване на търговска дейност, и лица, търсещи или получили международна закрила.</w:t>
            </w:r>
          </w:p>
          <w:p w14:paraId="21B9BB9F"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Управлението на интеграцията на граждани на трети страни в страната е предизвикателство за България. Голяма част от гражданите на трети страни, на които е предоставено разрешение за пребиваване в България, както и тези, на които е предоставена международна закрила, срещат трудности в процеса на интеграцията си в страната, причинени от следната основна група проблеми:</w:t>
            </w:r>
          </w:p>
          <w:p w14:paraId="6D5F87EB"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 липса на познания относно законодателната основа и правилата и процедурите на българската правна и административна система;</w:t>
            </w:r>
          </w:p>
          <w:p w14:paraId="04EE3551"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 не са запознати с българските традиции, култура, история и др., спецификите на българското общество, което е от ключово значение за успешната интеграция на мигрантите в обществото и тяхната културна адаптация;</w:t>
            </w:r>
          </w:p>
          <w:p w14:paraId="41800A1D"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 самосегрегация на мигрантските общности и осъществяване на социални контакти в рамките на малки общностни групи, състоящи се предимно от граждани на трети страни;</w:t>
            </w:r>
          </w:p>
          <w:p w14:paraId="6810E262"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 усещане за негативно отношение от страна на част от представителите на приемащото общество и липса на емпатия от страна на институции и организации от публичния и частния сектор.</w:t>
            </w:r>
          </w:p>
          <w:p w14:paraId="6AC9C05C" w14:textId="77777777" w:rsidR="00A77B3E" w:rsidRDefault="00A77B3E">
            <w:pPr>
              <w:spacing w:before="100"/>
              <w:rPr>
                <w:rFonts w:ascii="TimesNewRoman" w:eastAsia="TimesNewRoman" w:hAnsi="TimesNewRoman" w:cs="TimesNewRoman"/>
                <w:color w:val="000000"/>
              </w:rPr>
            </w:pPr>
          </w:p>
          <w:p w14:paraId="58E585CD"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Въпреки че лицата, на които е предоставена международна закрила, имат достъп до правата, предоставени на българските граждани, с някои изключения, установени в Закона за убежището и бежанците, всъщност те срещат редица трудности по отношение на достъпа си до тези права, свързани с техните специфични нужди, които са различни за нуждите на българските граждани.</w:t>
            </w:r>
          </w:p>
          <w:p w14:paraId="784AF764"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В допълнение към тези практически трудности, които са признати и от Плана за действие на ЕС за интеграция и приобщаване (2021-2027 г.), допълващи фактори в българския контекст са широко разпространеното негативно обществено мнение, провокирано от преобладаващо негативното или липсващото отразяване на тази тема от медиите и във връзка с това ниската готовност от страна на местните власти да приемат лица, търсещи или получили международна закрила на тяхна територия.</w:t>
            </w:r>
          </w:p>
          <w:p w14:paraId="6F01A313" w14:textId="77777777" w:rsidR="00A77B3E" w:rsidRDefault="00A77B3E">
            <w:pPr>
              <w:spacing w:before="100"/>
              <w:rPr>
                <w:rFonts w:ascii="TimesNewRoman" w:eastAsia="TimesNewRoman" w:hAnsi="TimesNewRoman" w:cs="TimesNewRoman"/>
                <w:color w:val="000000"/>
              </w:rPr>
            </w:pPr>
          </w:p>
          <w:p w14:paraId="2CD9F189"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През 2017 г. беше приета Наредбата за условията и правилата за сключване, прилагане и прекратяване на споразумение за интеграция, която е правен инструмент, осигуряващ интеграцията на лица, на които е предоставена международна закрила, с участието на местните власти и регионалните структури на редица държавни институции. Въпреки че броят на бежанците, които избират да се установят в България, е сравнително малък, липсата на ефективна и навременна подкрепа за тях рискува да окаже вредно влияние върху лицата и семействата, които желаят да се интегрират. Напротив, предоставянето на основна подкрепа допринася изключително за успеха на тяхната интеграция. Това е в полза не само на лицата, търсещи или получили международна закрила, но и на общините да подкрепят и участват в процеса на интеграция. Логиката зад това е, че общините повече от всеки друг участник в процеса притежават знанията, експертизата и опита да подкрепят членовете на общността, стари и нови, да предоставят ефективна и достойна подкрепа на тези, които най-много се нуждаят от нея, да насърчават съвместното съществуване и да се възползват максимално от предимствата на мултикултурните общности. Подкрепата включва жилищно настаняване, езикови курсове и възможности за заетост, образование, финансова подкрепа, здравни услуги и всички други елементи, водещи до успешна интеграция. Наредбата представлява основна стъпка към установяване на цялостна програма за интеграция и служи като основа за инициативи, които позволяват конкретно и разумно изпълнение на дейностите в духа на Наредбата. До изготвянето на административни инструкции или подзаконови актове, Наредбата не предвижда конкретни насоки за нейното прилагане и редица въпроси остават отворени.</w:t>
            </w:r>
          </w:p>
          <w:p w14:paraId="4013E252" w14:textId="77777777" w:rsidR="00A77B3E" w:rsidRDefault="00A77B3E">
            <w:pPr>
              <w:spacing w:before="100"/>
              <w:rPr>
                <w:rFonts w:ascii="TimesNewRoman" w:eastAsia="TimesNewRoman" w:hAnsi="TimesNewRoman" w:cs="TimesNewRoman"/>
                <w:color w:val="000000"/>
              </w:rPr>
            </w:pPr>
          </w:p>
          <w:p w14:paraId="55DE3D8D"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За гореспоменатите основни услуги през периода 2014-2020 г. се предоставя подкрепа по линия на Програмата за миграция, интеграция и подобряване на социалните услуги (ФУМИ) и Програмата за управление на социалните услуги (СМ) по ФУМИ, изпълнявани от България. Фондът е сред малкото източници на финансиране за ранна интеграция в България. Друг източник на финансиране за ранна интеграция на законно пребиваващи граждани на трети страни е отпуснатото финансиране от националния бюджет, предоставено на участващите национални държавни органи за изпълнение на техните законови функции. С цел осигуряване на приемственост и продължаване на подкрепата, прилагането на тези мерки ще бъде предвидено и по Програмата за миграция, интеграция и интеграция (ФУМИ) 2021-2027 г. Въз основа на натрупания опит от прилагането им, мерките ще бъдат актуализирани и консолидирани с оглед постигане на ефективна и устойчива интеграция на лицата. Подкрепата по фонда в областта на законната миграция също ще бъде продължена с цел установяване на законни пътища към Европа.</w:t>
            </w:r>
          </w:p>
          <w:p w14:paraId="49EC3B4A" w14:textId="77777777" w:rsidR="00A77B3E" w:rsidRDefault="00A77B3E">
            <w:pPr>
              <w:spacing w:before="100"/>
              <w:rPr>
                <w:rFonts w:ascii="TimesNewRoman" w:eastAsia="TimesNewRoman" w:hAnsi="TimesNewRoman" w:cs="TimesNewRoman"/>
                <w:color w:val="000000"/>
              </w:rPr>
            </w:pPr>
          </w:p>
          <w:p w14:paraId="06AB6366"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Предвидените дейности по тази специфична цел са насочени към допринасяне за посрещане на проблемите и нуждите на целевите групи, отнасящи се до гражданите на трети страни, търсещи или получили международна закрила, както и до българското общество, включително информиране на гражданите на трети страни с цел улесняване на интеграцията им в обществото, както и с цел справяне с ниското ниво на информираност сред приемащото общество относно мигрантите, и с цел повишаване на толерантността и преодоляване на предразсъдъците и формиране на положителни нагласи към гражданите на трети страни.</w:t>
            </w:r>
          </w:p>
          <w:p w14:paraId="7810E78A"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Основните дейности по този приоритет са свързани с обучения за повишаване на знанията по български език, чрез които ще се улесни комуникацията и разбирането сред мигрантите на спецификите на българското общество и административната и институционална система, както и ще се намали дистанцията в комуникацията на мигрантите с българските граждани и по-специално с представителите на институциите, отговорни за предоставянето на услуги в областта на заетостта, достъпа до образование и квалификация, социалните и медицинските услуги и др.</w:t>
            </w:r>
          </w:p>
          <w:p w14:paraId="3B8F8EC5"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Информационните сесии и кампании, както и мерките за културна адаптация и запознаване със спецификата на българските традиции с участието на голям брой мигранти, ще допринесат за засилване на запознаването и улесняване на културната адаптация.</w:t>
            </w:r>
          </w:p>
          <w:p w14:paraId="0D64FC4D" w14:textId="77777777" w:rsidR="00A77B3E" w:rsidRDefault="00A77B3E">
            <w:pPr>
              <w:spacing w:before="100"/>
              <w:rPr>
                <w:rFonts w:ascii="TimesNewRoman" w:eastAsia="TimesNewRoman" w:hAnsi="TimesNewRoman" w:cs="TimesNewRoman"/>
                <w:color w:val="000000"/>
              </w:rPr>
            </w:pPr>
          </w:p>
          <w:p w14:paraId="762FDC8D"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Ключов фактор за постигането на това е наличието на ефективни и ефикасни инструменти за предоставяне на интеграционни услуги на мигранти и подкрепа на лица, търсещи международна закрила.</w:t>
            </w:r>
          </w:p>
          <w:p w14:paraId="252D1179"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С измененията в Закона за чужденците в Република България от март 2021 г., които изменят и съответните разпоредби на Закона за трудовата миграция и трудовата мобилност, директивите на ЕС в областта на трудовата миграция са транспонирани не само като конкретни разпоредби, но и на практика, т.е. чрез въвеждане на административно обслужване на едно гише. По този начин е установена общата процедура за подаване и получаване на документи по всички режими на ЕС за достъп до националния пазар на труда на граждани на трети страни (сезонен работник, синя карта на ЕС, единно разрешение за пребиваване и работа и в случаите на преместване в рамките на вътрешнокорпоративен трансфер). Понастоящем заявленията за издаване на тези разрешения за пребиваване и работа се подават в дирекция „Миграция“ или звена „Миграция“ в регионалните дирекции на Министерството на вътрешните работи от работодателя или упълномощено от него лице, или от чужденеца лично, в случай че има разрешение за дългосрочно пребиваване и заявлението е подписано и от работодателя. Тези промени значително намалиха административната тежест както за работодателите, които желаят да наемат работници, които са граждани на трети страни, така и за самите граждани на трети страни, които кандидатстват. Въведена е възможността работниците, които са граждани на трети страни и пребивават законно на българска територия, също да подават заявления пред структурите на МВР.</w:t>
            </w:r>
          </w:p>
          <w:p w14:paraId="4D04195C"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Освен това, в Закона за трудовата миграция и трудовата мобилност бяха въведени и други изменения, свързани с улесняването на достъпа на граждани на трети страни до българския пазар на труда. В тази връзка се въвежда изискването за предварително проучване на пазара на труда (пазарен тест) за Синя карта на ЕС. В момента същите облекчения се прилагат за сезонна заетост, поръчкови работници и междукорпоративен трансфер, за научни работници, студенти и стажанти, както и за извършване на работа на свободна практика. Тези мерки са въведени за улесняване на достъпа до пазара на труда на експерти от трети страни от всички нива на квалификация (висока, средна и юридическа квалификация).</w:t>
            </w:r>
          </w:p>
          <w:p w14:paraId="314DC66C" w14:textId="77777777" w:rsidR="00A77B3E" w:rsidRDefault="00A77B3E">
            <w:pPr>
              <w:spacing w:before="100"/>
              <w:rPr>
                <w:rFonts w:ascii="TimesNewRoman" w:eastAsia="TimesNewRoman" w:hAnsi="TimesNewRoman" w:cs="TimesNewRoman"/>
                <w:color w:val="000000"/>
              </w:rPr>
            </w:pPr>
          </w:p>
          <w:p w14:paraId="0FC1FB93"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Предвидените дейности по специфичната цел продължават и надграждат проектите, изпълнявани по линия на ФУМИ 2014-2020 г., и мерките, финансирани по линия на безвъзмездните средства за спешна помощ по ФУМИ. Те ще допринесат за постигането на специфичната цел, посочена в член 3(2)(б), като се съсредоточат върху следните мерки за изпълнение:</w:t>
            </w:r>
          </w:p>
          <w:p w14:paraId="1FDCDDD1" w14:textId="77777777" w:rsidR="00A77B3E" w:rsidRDefault="00A77B3E">
            <w:pPr>
              <w:spacing w:before="100"/>
              <w:rPr>
                <w:rFonts w:ascii="TimesNewRoman" w:eastAsia="TimesNewRoman" w:hAnsi="TimesNewRoman" w:cs="TimesNewRoman"/>
                <w:color w:val="000000"/>
              </w:rPr>
            </w:pPr>
          </w:p>
          <w:p w14:paraId="7736633B"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(1) подкрепа на разработването и прилагането на политики, насърчаващи законната миграция, и прилагането на достиженията на правото на Съюза в областта на законната миграция, включително събирането на семейства и прилагането на трудовите стандарти;</w:t>
            </w:r>
          </w:p>
          <w:p w14:paraId="7C89B322"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Това ще бъде постигнато чрез изпълнението на следните действия:</w:t>
            </w:r>
          </w:p>
          <w:p w14:paraId="49AA2459" w14:textId="77777777" w:rsidR="00A77B3E" w:rsidRDefault="00A77B3E">
            <w:pPr>
              <w:spacing w:before="100"/>
              <w:rPr>
                <w:rFonts w:ascii="TimesNewRoman" w:eastAsia="TimesNewRoman" w:hAnsi="TimesNewRoman" w:cs="TimesNewRoman"/>
                <w:color w:val="000000"/>
              </w:rPr>
            </w:pPr>
          </w:p>
          <w:p w14:paraId="1F41540F"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b/>
                <w:bCs/>
                <w:color w:val="000000"/>
              </w:rPr>
              <w:t xml:space="preserve">- Мерки за насърчаване на легалната миграция към България и предоставяне на информация на територията на трети страни. </w:t>
            </w:r>
            <w:r>
              <w:rPr>
                <w:rFonts w:ascii="TimesNewRoman" w:eastAsia="TimesNewRoman" w:hAnsi="TimesNewRoman" w:cs="TimesNewRoman"/>
                <w:color w:val="000000"/>
              </w:rPr>
              <w:t>Ще бъдат изпълнени дейности, свързани с организиране на конференции, обучения и семинари, разпространение на информационни материали и други дейности в трети страни, с които България има сключени двустранни споразумения за регулиране на трудовата миграция и/или социалното осигуряване и др.</w:t>
            </w:r>
          </w:p>
          <w:p w14:paraId="2842823E"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Действието може да бъде осъществено чрез:</w:t>
            </w:r>
          </w:p>
          <w:p w14:paraId="1A8B403E"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-национални/регионални информационни кампании;</w:t>
            </w:r>
          </w:p>
          <w:p w14:paraId="6B2C5B72"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-подготовка и разпространение на информационни материали;</w:t>
            </w:r>
          </w:p>
          <w:p w14:paraId="1FBD04D9"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-организиране на мултикултурни събития, включително с участието на медийни организации;</w:t>
            </w:r>
          </w:p>
          <w:p w14:paraId="316FC9FB"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-организиране на семинари, конференции, кръгли маси по въпросите на интеграцията и др.</w:t>
            </w:r>
          </w:p>
          <w:p w14:paraId="28A47129"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 предоставяне на информация и съдействие в контекста на заявления за събиране на семейството.</w:t>
            </w:r>
          </w:p>
          <w:p w14:paraId="4795F69B" w14:textId="77777777" w:rsidR="00A77B3E" w:rsidRDefault="00A77B3E">
            <w:pPr>
              <w:spacing w:before="100"/>
              <w:rPr>
                <w:rFonts w:ascii="TimesNewRoman" w:eastAsia="TimesNewRoman" w:hAnsi="TimesNewRoman" w:cs="TimesNewRoman"/>
                <w:color w:val="000000"/>
              </w:rPr>
            </w:pPr>
          </w:p>
          <w:p w14:paraId="5F226170"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(2) насърчаване на мерки за интеграция за социално и икономическо приобщаване на граждани на трети страни, мерки за защита на уязвими лица в контекста на мерките за интеграция, улесняване на събирането на семейства, подготовка за активното им участие и приемането им от приемащото общество, по-специално с участието на национални и по-специално регионални или местни органи и организации на гражданското общество, включително организации, ръководени от бежанци и мигранти, и социални партньори.</w:t>
            </w:r>
          </w:p>
          <w:p w14:paraId="4500EA51"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Това ще се постигне чрез прилагането на следните действия:</w:t>
            </w:r>
          </w:p>
          <w:p w14:paraId="4F29FD17" w14:textId="77777777" w:rsidR="00A77B3E" w:rsidRDefault="00A77B3E">
            <w:pPr>
              <w:spacing w:before="100"/>
              <w:rPr>
                <w:rFonts w:ascii="TimesNewRoman" w:eastAsia="TimesNewRoman" w:hAnsi="TimesNewRoman" w:cs="TimesNewRoman"/>
                <w:color w:val="000000"/>
              </w:rPr>
            </w:pPr>
          </w:p>
          <w:p w14:paraId="18DF4921"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Приоритет ще бъде върху подобряването на условията за интеграция на граждани на трети страни, пребиваващи законно в България, по-специално на уязвими лица с оглед на тяхното социално включване и улесняване на интеграцията им в българското общество и успешната им реализация на пазара на труда.</w:t>
            </w:r>
          </w:p>
          <w:p w14:paraId="49052E6F" w14:textId="77777777" w:rsidR="00A77B3E" w:rsidRDefault="00A77B3E">
            <w:pPr>
              <w:spacing w:before="100"/>
              <w:rPr>
                <w:rFonts w:ascii="TimesNewRoman" w:eastAsia="TimesNewRoman" w:hAnsi="TimesNewRoman" w:cs="TimesNewRoman"/>
                <w:color w:val="000000"/>
              </w:rPr>
            </w:pPr>
          </w:p>
          <w:p w14:paraId="66D3420C"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b/>
                <w:bCs/>
                <w:color w:val="000000"/>
              </w:rPr>
              <w:t>- Мерки за интеграция и интеграционни програми</w:t>
            </w:r>
          </w:p>
          <w:p w14:paraId="5199AB83"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Предоставяне на индивидуална подкрепа, свързана с нуждите на гражданите на трети страни, по-специално на уязвими лица, непълнолетни лица без разрешение и деца, жертви на изтезания. Информиране, консултиране и улесняване на културната и социална адаптация на гражданите на трети страни, административни и правни консултации, предоставяне на консултации и подкрепа на гражданите на трети страни в области като жилищно настаняване, помощи, психологически грижи, оценка на способностите и квалификациите и тяхното съответствие със стандартите на ЕС, професионална ориентация с цел достъп до пазара на труда, социални, здравни и образователни системи и др. Дейности, свързани с професионалното обучение, като например придобиване на основни знания или квалификация, преквалификация и др., както и участие в социални, здравни и образователни системи, няма да бъдат допустими, тъй като те се считат за част от основния процес на интеграция, който не е предмет на подкрепа по ФУМИ, а по ЕСФ+.</w:t>
            </w:r>
          </w:p>
          <w:p w14:paraId="0F55A2AD" w14:textId="77777777" w:rsidR="00A77B3E" w:rsidRDefault="00A77B3E">
            <w:pPr>
              <w:spacing w:before="100"/>
              <w:rPr>
                <w:rFonts w:ascii="TimesNewRoman" w:eastAsia="TimesNewRoman" w:hAnsi="TimesNewRoman" w:cs="TimesNewRoman"/>
                <w:color w:val="000000"/>
              </w:rPr>
            </w:pPr>
          </w:p>
          <w:p w14:paraId="634E7168"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 </w:t>
            </w:r>
            <w:r>
              <w:rPr>
                <w:rFonts w:ascii="TimesNewRoman" w:eastAsia="TimesNewRoman" w:hAnsi="TimesNewRoman" w:cs="TimesNewRoman"/>
                <w:b/>
                <w:bCs/>
                <w:color w:val="000000"/>
              </w:rPr>
              <w:t xml:space="preserve">Провеждане на обучения по български език за законно пребиваващи граждани на трети страни, включително лица, на които е предоставена международна закрила </w:t>
            </w:r>
            <w:r>
              <w:rPr>
                <w:rFonts w:ascii="TimesNewRoman" w:eastAsia="TimesNewRoman" w:hAnsi="TimesNewRoman" w:cs="TimesNewRoman"/>
                <w:color w:val="000000"/>
              </w:rPr>
              <w:t xml:space="preserve">. Мярката по Националната програма на ФМИФ 2021-2027 г. за предоставяне на подкрепа за курсове по български език на всички граждани на трети страни, законно пребиваващи в България, </w:t>
            </w:r>
            <w:r>
              <w:rPr>
                <w:rFonts w:ascii="TimesNewRoman" w:eastAsia="TimesNewRoman" w:hAnsi="TimesNewRoman" w:cs="TimesNewRoman"/>
                <w:color w:val="000000"/>
              </w:rPr>
              <w:lastRenderedPageBreak/>
              <w:t>включително лица, търсещи международна закрила, и лица, получили международна закрила или временна закрила съгласно Директива 2001/55/ЕО от 20 юли 2001 г., е от изключителна важност, тъй като това е една от най-ефективните мерки, улесняващи достъпа до образование, пазар на труда, основни услуги, културна интеграция в приемащото общество и интеграцията на мигрантите като цяло в България. Специален акцент ще бъде поставен върху подкрепата за децата, настанени в приемните центрове. Подкрепата ще бъде предоставяна на граждани на трети страни, които не са включени в системите на предучилищно и училищно образование, и ще отговарят на условията само до включването им в тези системи.</w:t>
            </w:r>
          </w:p>
          <w:p w14:paraId="53618337" w14:textId="77777777" w:rsidR="00A77B3E" w:rsidRDefault="00A77B3E">
            <w:pPr>
              <w:spacing w:before="100"/>
              <w:rPr>
                <w:rFonts w:ascii="TimesNewRoman" w:eastAsia="TimesNewRoman" w:hAnsi="TimesNewRoman" w:cs="TimesNewRoman"/>
                <w:color w:val="000000"/>
              </w:rPr>
            </w:pPr>
          </w:p>
          <w:p w14:paraId="5EF3A60D"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b/>
                <w:bCs/>
                <w:color w:val="000000"/>
              </w:rPr>
              <w:t xml:space="preserve">- Повишаване на познаваемостта и толерантността на българското общество, намаляване на междукултурните различия с цел улесняване на интеграцията на законно пребиваващи граждани на трети страни. Доброволчески дейности и инициативи. </w:t>
            </w:r>
            <w:r>
              <w:rPr>
                <w:rFonts w:ascii="TimesNewRoman" w:eastAsia="TimesNewRoman" w:hAnsi="TimesNewRoman" w:cs="TimesNewRoman"/>
                <w:color w:val="000000"/>
              </w:rPr>
              <w:t>Предвижда се доброволческите дейности и инициативи да допринесат за подобряване на социалната солидарност и толерантността на българското общество като приемащо общество към законни мигранти, лица, търсещи международна закрила или получили международна закрила или временна закрила в България. Планираните мерки са предназначени да запознаят по-нататък българското общество с проблемите и нуждите на мигрантите, особено уязвимите мигранти, като непридружени деца, хора със здравословни проблеми, бременни жени, жертви на трафик на хора и др.</w:t>
            </w:r>
            <w:r>
              <w:rPr>
                <w:rFonts w:ascii="TimesNewRoman" w:eastAsia="TimesNewRoman" w:hAnsi="TimesNewRoman" w:cs="TimesNewRoman"/>
                <w:b/>
                <w:bCs/>
                <w:color w:val="000000"/>
              </w:rPr>
              <w:t xml:space="preserve"> </w:t>
            </w:r>
            <w:r>
              <w:rPr>
                <w:rFonts w:ascii="TimesNewRoman" w:eastAsia="TimesNewRoman" w:hAnsi="TimesNewRoman" w:cs="TimesNewRoman"/>
                <w:color w:val="000000"/>
              </w:rPr>
              <w:t>Действието е планирано да предостави подкрепа на граждани на трети страни, законно пребиваващи в България, както и на лица, търсещи убежище или получили международна закрила, за да се улесни тяхната културна интеграция и да се преодолеят междукултурните различия, за да се улесни интеграцията им в българското общество.</w:t>
            </w:r>
            <w:r>
              <w:rPr>
                <w:rFonts w:ascii="TimesNewRoman" w:eastAsia="TimesNewRoman" w:hAnsi="TimesNewRoman" w:cs="TimesNewRoman"/>
                <w:b/>
                <w:bCs/>
                <w:color w:val="000000"/>
              </w:rPr>
              <w:t xml:space="preserve"> </w:t>
            </w:r>
            <w:r>
              <w:rPr>
                <w:rFonts w:ascii="TimesNewRoman" w:eastAsia="TimesNewRoman" w:hAnsi="TimesNewRoman" w:cs="TimesNewRoman"/>
                <w:color w:val="000000"/>
              </w:rPr>
              <w:t>Действието ще допринесе и за повишаване на осведомеността на българското общество относно положителния принос на имигрантите за развитието на страната и ще спомогне за изграждането на климат на толерантност като необходим елемент за успешната интеграция на гражданите на трети страни в България.</w:t>
            </w:r>
            <w:r>
              <w:rPr>
                <w:rFonts w:ascii="TimesNewRoman" w:eastAsia="TimesNewRoman" w:hAnsi="TimesNewRoman" w:cs="TimesNewRoman"/>
                <w:b/>
                <w:bCs/>
                <w:color w:val="000000"/>
              </w:rPr>
              <w:t xml:space="preserve"> </w:t>
            </w:r>
            <w:r>
              <w:rPr>
                <w:rFonts w:ascii="TimesNewRoman" w:eastAsia="TimesNewRoman" w:hAnsi="TimesNewRoman" w:cs="TimesNewRoman"/>
                <w:color w:val="000000"/>
              </w:rPr>
              <w:t>Зачитането на правата на мигрантите и запазването на тяхната етническа, културна и религиозна идентичност ще бъде водещ принцип при прилагането на мярката.</w:t>
            </w:r>
          </w:p>
          <w:p w14:paraId="44362F18"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Действието може да бъде осъществено чрез:</w:t>
            </w:r>
          </w:p>
          <w:p w14:paraId="6DB9748C"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-национални/регионални информационни кампании;</w:t>
            </w:r>
          </w:p>
          <w:p w14:paraId="7EB90DF9"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-подготовка и разпространение на информационни материали;</w:t>
            </w:r>
          </w:p>
          <w:p w14:paraId="1C5A180C"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-организиране на мултикултурни събития, включително с участието на медийни организации;</w:t>
            </w:r>
          </w:p>
          <w:p w14:paraId="47595150"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-организиране на семинари, конференции, кръгли маси по въпросите на интеграцията и др.</w:t>
            </w:r>
          </w:p>
          <w:p w14:paraId="48913271" w14:textId="77777777" w:rsidR="00A77B3E" w:rsidRDefault="00A77B3E">
            <w:pPr>
              <w:spacing w:before="100"/>
              <w:rPr>
                <w:rFonts w:ascii="TimesNewRoman" w:eastAsia="TimesNewRoman" w:hAnsi="TimesNewRoman" w:cs="TimesNewRoman"/>
                <w:color w:val="000000"/>
              </w:rPr>
            </w:pPr>
          </w:p>
          <w:p w14:paraId="054904BA"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b/>
                <w:bCs/>
                <w:color w:val="000000"/>
              </w:rPr>
              <w:t>-</w:t>
            </w:r>
            <w:r>
              <w:rPr>
                <w:rFonts w:ascii="TimesNewRoman" w:eastAsia="TimesNewRoman" w:hAnsi="TimesNewRoman" w:cs="TimesNewRoman"/>
                <w:b/>
                <w:bCs/>
                <w:color w:val="000000"/>
                <w:lang w:val="bg-BG"/>
              </w:rPr>
              <w:t>СД</w:t>
            </w:r>
            <w:r>
              <w:rPr>
                <w:rFonts w:ascii="TimesNewRoman" w:eastAsia="TimesNewRoman" w:hAnsi="TimesNewRoman" w:cs="TimesNewRoman"/>
                <w:b/>
                <w:bCs/>
                <w:color w:val="000000"/>
              </w:rPr>
              <w:t xml:space="preserve"> ФУМИ/2023/SA/1.2.3/05 Украйна </w:t>
            </w:r>
            <w:r>
              <w:rPr>
                <w:rFonts w:ascii="TimesNewRoman" w:eastAsia="TimesNewRoman" w:hAnsi="TimesNewRoman" w:cs="TimesNewRoman"/>
                <w:color w:val="000000"/>
              </w:rPr>
              <w:t>- Подкрепа за интеграция на бежанци от Украйна: Допринасяне към усилията на правителството на България за изпълнение на ангажиментите по прилагането на Директивата за временна закрила (ДВЗ)</w:t>
            </w:r>
          </w:p>
          <w:p w14:paraId="5D4707B8" w14:textId="77777777" w:rsidR="00A77B3E" w:rsidRDefault="00A77B3E">
            <w:pPr>
              <w:spacing w:before="100"/>
              <w:rPr>
                <w:rFonts w:ascii="TimesNewRoman" w:eastAsia="TimesNewRoman" w:hAnsi="TimesNewRoman" w:cs="TimesNewRoman"/>
                <w:color w:val="000000"/>
              </w:rPr>
            </w:pPr>
          </w:p>
          <w:p w14:paraId="090007DF"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b/>
                <w:bCs/>
                <w:color w:val="000000"/>
              </w:rPr>
              <w:t>Оперативна подкрепа не е предвидена в рамките на специфичната цел.</w:t>
            </w:r>
          </w:p>
          <w:p w14:paraId="613AAA4F" w14:textId="77777777" w:rsidR="00A77B3E" w:rsidRDefault="00A77B3E">
            <w:pPr>
              <w:spacing w:before="100"/>
              <w:rPr>
                <w:rFonts w:ascii="TimesNewRoman" w:eastAsia="TimesNewRoman" w:hAnsi="TimesNewRoman" w:cs="TimesNewRoman"/>
                <w:color w:val="000000"/>
              </w:rPr>
            </w:pPr>
          </w:p>
          <w:p w14:paraId="22A490A9"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В рамките на междинния преглед на програмата ФУМИ финансирането е включено в специфичната цел за продължаване на подкрепата за мерки за интеграция и интеграционни програми.</w:t>
            </w:r>
          </w:p>
          <w:p w14:paraId="1E4E75D1"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Разпределението по междинния преглед влияе върху целите на съответните показатели на програмата ФУМИ. Броят на подкрепените участници се увеличава с 8%, докато броят на участниците в езиков курс се увеличава с приблизително 12%.</w:t>
            </w:r>
          </w:p>
          <w:p w14:paraId="430AA546" w14:textId="77777777" w:rsidR="00A77B3E" w:rsidRDefault="00A77B3E">
            <w:pPr>
              <w:spacing w:before="100"/>
              <w:rPr>
                <w:rFonts w:ascii="TimesNewRoman" w:eastAsia="TimesNewRoman" w:hAnsi="TimesNewRoman" w:cs="TimesNewRoman"/>
                <w:color w:val="000000"/>
              </w:rPr>
            </w:pPr>
          </w:p>
          <w:p w14:paraId="0A7339D0"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Очаквани резултати:</w:t>
            </w:r>
          </w:p>
          <w:p w14:paraId="017D89B4"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 Осигурени условия и подкрепа за насърчаване на легалната миграция към България</w:t>
            </w:r>
          </w:p>
          <w:p w14:paraId="48186727"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 Внедрени всеобхватни интеграционни програми</w:t>
            </w:r>
          </w:p>
          <w:p w14:paraId="6B3A15D0"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 Подобрен капацитет за интеграция на съответните заинтересовани страни и/или осигурени условия за улесняване на интеграцията</w:t>
            </w:r>
          </w:p>
          <w:p w14:paraId="2E63BF47"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 Осигурена е подкрепа на кандидати или лица, получили международна закрила, за успешната им интеграция</w:t>
            </w:r>
          </w:p>
          <w:p w14:paraId="43ADE43B" w14:textId="77777777" w:rsidR="00A77B3E" w:rsidRDefault="00A77B3E">
            <w:pPr>
              <w:spacing w:before="100"/>
              <w:rPr>
                <w:rFonts w:ascii="TimesNewRoman" w:eastAsia="TimesNewRoman" w:hAnsi="TimesNewRoman" w:cs="TimesNewRoman"/>
                <w:color w:val="000000"/>
                <w:sz w:val="6"/>
              </w:rPr>
            </w:pPr>
          </w:p>
          <w:p w14:paraId="01197252" w14:textId="77777777" w:rsidR="00A77B3E" w:rsidRDefault="00A77B3E">
            <w:pPr>
              <w:spacing w:before="100"/>
              <w:rPr>
                <w:rFonts w:ascii="TimesNewRoman" w:eastAsia="TimesNewRoman" w:hAnsi="TimesNewRoman" w:cs="TimesNewRoman"/>
                <w:color w:val="000000"/>
                <w:sz w:val="6"/>
              </w:rPr>
            </w:pPr>
          </w:p>
        </w:tc>
      </w:tr>
    </w:tbl>
    <w:p w14:paraId="5BE6387F" w14:textId="77777777" w:rsidR="00A77B3E" w:rsidRDefault="00A77B3E">
      <w:pPr>
        <w:spacing w:before="100"/>
        <w:rPr>
          <w:rFonts w:ascii="TimesNewRoman" w:eastAsia="TimesNewRoman" w:hAnsi="TimesNewRoman" w:cs="TimesNewRoman"/>
          <w:color w:val="000000"/>
        </w:rPr>
        <w:sectPr w:rsidR="00A77B3E">
          <w:headerReference w:type="even" r:id="rId25"/>
          <w:headerReference w:type="default" r:id="rId26"/>
          <w:footerReference w:type="even" r:id="rId27"/>
          <w:footerReference w:type="default" r:id="rId28"/>
          <w:headerReference w:type="first" r:id="rId29"/>
          <w:footerReference w:type="first" r:id="rId30"/>
          <w:pgSz w:w="11906" w:h="16838"/>
          <w:pgMar w:top="720" w:right="936" w:bottom="864" w:left="720" w:header="0" w:footer="72" w:gutter="0"/>
          <w:cols w:space="720"/>
          <w:noEndnote/>
          <w:docGrid w:linePitch="360"/>
        </w:sectPr>
      </w:pPr>
    </w:p>
    <w:p w14:paraId="2A124E22" w14:textId="77777777" w:rsidR="00A77B3E" w:rsidRDefault="00EE0A2B">
      <w:pPr>
        <w:spacing w:before="100"/>
        <w:rPr>
          <w:color w:val="000000"/>
        </w:rPr>
      </w:pPr>
      <w:r>
        <w:rPr>
          <w:color w:val="000000"/>
        </w:rPr>
        <w:lastRenderedPageBreak/>
        <w:t>2.1. Специфична цел 2. Легална миграция и интеграция</w:t>
      </w:r>
    </w:p>
    <w:p w14:paraId="1B4C3AB5" w14:textId="77777777" w:rsidR="00A77B3E" w:rsidRDefault="00EE0A2B">
      <w:pPr>
        <w:pStyle w:val="Heading3"/>
        <w:spacing w:before="100" w:after="0"/>
        <w:rPr>
          <w:rFonts w:ascii="Times New Roman" w:hAnsi="Times New Roman" w:cs="Times New Roman"/>
          <w:b w:val="0"/>
          <w:color w:val="000000"/>
          <w:sz w:val="24"/>
        </w:rPr>
      </w:pPr>
      <w:bookmarkStart w:id="11" w:name="_Toc256000074"/>
      <w:r>
        <w:rPr>
          <w:rFonts w:ascii="Times New Roman" w:hAnsi="Times New Roman" w:cs="Times New Roman"/>
          <w:b w:val="0"/>
          <w:color w:val="000000"/>
          <w:sz w:val="24"/>
        </w:rPr>
        <w:t>2.1.2. Индикатори</w:t>
      </w:r>
      <w:bookmarkEnd w:id="11"/>
    </w:p>
    <w:p w14:paraId="5674E8C0" w14:textId="77777777" w:rsidR="00A77B3E" w:rsidRDefault="00EE0A2B">
      <w:pPr>
        <w:spacing w:before="100"/>
        <w:rPr>
          <w:color w:val="000000"/>
          <w:sz w:val="12"/>
        </w:rPr>
      </w:pPr>
      <w:r>
        <w:rPr>
          <w:color w:val="000000"/>
        </w:rPr>
        <w:t>Позоваване: член 22, параграф 4, буква д) от РОР</w:t>
      </w:r>
    </w:p>
    <w:p w14:paraId="5E11F407" w14:textId="77777777" w:rsidR="00A77B3E" w:rsidRDefault="00EE0A2B">
      <w:pPr>
        <w:pStyle w:val="Heading4"/>
        <w:spacing w:before="100" w:after="0"/>
        <w:rPr>
          <w:b w:val="0"/>
          <w:color w:val="000000"/>
          <w:sz w:val="24"/>
        </w:rPr>
      </w:pPr>
      <w:bookmarkStart w:id="12" w:name="_Toc256000075"/>
      <w:r>
        <w:rPr>
          <w:b w:val="0"/>
          <w:color w:val="000000"/>
          <w:sz w:val="24"/>
        </w:rPr>
        <w:t>Таблица 1: Показатели за резултатите</w:t>
      </w:r>
      <w:bookmarkEnd w:id="12"/>
    </w:p>
    <w:p w14:paraId="71CB880E"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2"/>
        <w:gridCol w:w="4220"/>
        <w:gridCol w:w="2306"/>
        <w:gridCol w:w="1822"/>
        <w:gridCol w:w="1822"/>
      </w:tblGrid>
      <w:tr w:rsidR="00723994" w14:paraId="452ABE66" w14:textId="77777777">
        <w:trPr>
          <w:tblHeader/>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82F8749" w14:textId="77777777" w:rsidR="00A77B3E" w:rsidRDefault="00EE0A2B">
            <w:pPr>
              <w:spacing w:before="100"/>
              <w:jc w:val="center"/>
              <w:rPr>
                <w:color w:val="000000"/>
                <w:sz w:val="20"/>
              </w:rPr>
            </w:pPr>
            <w:r>
              <w:rPr>
                <w:color w:val="000000"/>
                <w:sz w:val="20"/>
              </w:rPr>
              <w:t>Идентификационен номер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265BB49" w14:textId="77777777" w:rsidR="00A77B3E" w:rsidRDefault="00EE0A2B">
            <w:pPr>
              <w:spacing w:before="100"/>
              <w:jc w:val="center"/>
              <w:rPr>
                <w:color w:val="000000"/>
                <w:sz w:val="20"/>
              </w:rPr>
            </w:pPr>
            <w:r>
              <w:rPr>
                <w:color w:val="000000"/>
                <w:sz w:val="20"/>
              </w:rPr>
              <w:t>Индикатор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3CEA919" w14:textId="77777777" w:rsidR="00A77B3E" w:rsidRDefault="00EE0A2B">
            <w:pPr>
              <w:spacing w:before="100"/>
              <w:jc w:val="center"/>
              <w:rPr>
                <w:color w:val="000000"/>
                <w:sz w:val="20"/>
              </w:rPr>
            </w:pPr>
            <w:r>
              <w:rPr>
                <w:color w:val="000000"/>
                <w:sz w:val="20"/>
              </w:rPr>
              <w:t>Мерна единица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A3A0C28" w14:textId="77777777" w:rsidR="00A77B3E" w:rsidRDefault="00EE0A2B">
            <w:pPr>
              <w:spacing w:before="100"/>
              <w:jc w:val="center"/>
              <w:rPr>
                <w:color w:val="000000"/>
                <w:sz w:val="20"/>
              </w:rPr>
            </w:pPr>
            <w:r>
              <w:rPr>
                <w:color w:val="000000"/>
                <w:sz w:val="20"/>
              </w:rPr>
              <w:t>Етап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FF13FD5" w14:textId="77777777" w:rsidR="00A77B3E" w:rsidRDefault="00EE0A2B">
            <w:pPr>
              <w:spacing w:before="100"/>
              <w:jc w:val="center"/>
              <w:rPr>
                <w:color w:val="000000"/>
                <w:sz w:val="20"/>
              </w:rPr>
            </w:pPr>
            <w:r>
              <w:rPr>
                <w:color w:val="000000"/>
                <w:sz w:val="20"/>
              </w:rPr>
              <w:t>Цел (2029)</w:t>
            </w:r>
          </w:p>
        </w:tc>
      </w:tr>
      <w:tr w:rsidR="00723994" w14:paraId="6AC1236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3D717BD" w14:textId="77777777" w:rsidR="00A77B3E" w:rsidRDefault="00EE0A2B">
            <w:pPr>
              <w:spacing w:before="100"/>
              <w:rPr>
                <w:color w:val="000000"/>
                <w:sz w:val="20"/>
              </w:rPr>
            </w:pPr>
            <w:r>
              <w:rPr>
                <w:color w:val="000000"/>
                <w:sz w:val="20"/>
              </w:rPr>
              <w:t>О.2.1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DB6687B" w14:textId="77777777" w:rsidR="00A77B3E" w:rsidRDefault="00EE0A2B">
            <w:pPr>
              <w:spacing w:before="100"/>
              <w:rPr>
                <w:color w:val="000000"/>
                <w:sz w:val="20"/>
              </w:rPr>
            </w:pPr>
            <w:r>
              <w:rPr>
                <w:color w:val="000000"/>
                <w:sz w:val="20"/>
              </w:rPr>
              <w:t>Брой участници в мерките преди заминаване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9D300B7" w14:textId="77777777" w:rsidR="00A77B3E" w:rsidRDefault="00EE0A2B">
            <w:pPr>
              <w:spacing w:before="100"/>
              <w:rPr>
                <w:color w:val="000000"/>
                <w:sz w:val="20"/>
              </w:rPr>
            </w:pPr>
            <w:r>
              <w:rPr>
                <w:color w:val="000000"/>
                <w:sz w:val="20"/>
              </w:rPr>
              <w:t>номер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ECF31A4" w14:textId="77777777" w:rsidR="00A77B3E" w:rsidRDefault="00EE0A2B">
            <w:pPr>
              <w:spacing w:before="100"/>
              <w:jc w:val="right"/>
              <w:rPr>
                <w:color w:val="000000"/>
                <w:sz w:val="20"/>
              </w:rPr>
            </w:pPr>
            <w:r>
              <w:rPr>
                <w:color w:val="000000"/>
                <w:sz w:val="20"/>
              </w:rPr>
              <w:t>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DB02D27" w14:textId="77777777" w:rsidR="00A77B3E" w:rsidRDefault="00EE0A2B">
            <w:pPr>
              <w:spacing w:before="100"/>
              <w:jc w:val="right"/>
              <w:rPr>
                <w:color w:val="000000"/>
                <w:sz w:val="20"/>
              </w:rPr>
            </w:pPr>
            <w:r>
              <w:rPr>
                <w:color w:val="000000"/>
                <w:sz w:val="20"/>
              </w:rPr>
              <w:t>200</w:t>
            </w:r>
          </w:p>
        </w:tc>
      </w:tr>
      <w:tr w:rsidR="00723994" w14:paraId="467BB0C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793351" w14:textId="77777777" w:rsidR="00A77B3E" w:rsidRDefault="00EE0A2B">
            <w:pPr>
              <w:spacing w:before="100"/>
              <w:rPr>
                <w:color w:val="000000"/>
                <w:sz w:val="20"/>
              </w:rPr>
            </w:pPr>
            <w:r>
              <w:rPr>
                <w:color w:val="000000"/>
                <w:sz w:val="20"/>
              </w:rPr>
              <w:t>О.2.2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AB263AB" w14:textId="77777777" w:rsidR="00A77B3E" w:rsidRDefault="00EE0A2B">
            <w:pPr>
              <w:spacing w:before="100"/>
              <w:rPr>
                <w:color w:val="000000"/>
                <w:sz w:val="20"/>
              </w:rPr>
            </w:pPr>
            <w:r>
              <w:rPr>
                <w:color w:val="000000"/>
                <w:sz w:val="20"/>
              </w:rPr>
              <w:t>Брой местни и регионални власти, подкрепени за прилагане на мерки за интеграция,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8A68EA3" w14:textId="77777777" w:rsidR="00A77B3E" w:rsidRDefault="00EE0A2B">
            <w:pPr>
              <w:spacing w:before="100"/>
              <w:rPr>
                <w:color w:val="000000"/>
                <w:sz w:val="20"/>
              </w:rPr>
            </w:pPr>
            <w:r>
              <w:rPr>
                <w:color w:val="000000"/>
                <w:sz w:val="20"/>
              </w:rPr>
              <w:t>номер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8BAABD3" w14:textId="77777777" w:rsidR="00A77B3E" w:rsidRDefault="00EE0A2B">
            <w:pPr>
              <w:spacing w:before="100"/>
              <w:jc w:val="right"/>
              <w:rPr>
                <w:color w:val="000000"/>
                <w:sz w:val="20"/>
              </w:rPr>
            </w:pPr>
            <w:r>
              <w:rPr>
                <w:color w:val="000000"/>
                <w:sz w:val="20"/>
              </w:rPr>
              <w:t>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C5EA8BA" w14:textId="77777777" w:rsidR="00A77B3E" w:rsidRDefault="00EE0A2B">
            <w:pPr>
              <w:spacing w:before="100"/>
              <w:jc w:val="right"/>
              <w:rPr>
                <w:color w:val="000000"/>
                <w:sz w:val="20"/>
              </w:rPr>
            </w:pPr>
            <w:r>
              <w:rPr>
                <w:color w:val="000000"/>
                <w:sz w:val="20"/>
              </w:rPr>
              <w:t>0</w:t>
            </w:r>
          </w:p>
        </w:tc>
      </w:tr>
      <w:tr w:rsidR="00723994" w14:paraId="069C993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2398788" w14:textId="77777777" w:rsidR="00A77B3E" w:rsidRDefault="00EE0A2B">
            <w:pPr>
              <w:spacing w:before="100"/>
              <w:rPr>
                <w:color w:val="000000"/>
                <w:sz w:val="20"/>
              </w:rPr>
            </w:pPr>
            <w:r>
              <w:rPr>
                <w:color w:val="000000"/>
                <w:sz w:val="20"/>
              </w:rPr>
              <w:t>О.2.3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4111997" w14:textId="77777777" w:rsidR="00A77B3E" w:rsidRDefault="00EE0A2B">
            <w:pPr>
              <w:spacing w:before="100"/>
              <w:rPr>
                <w:color w:val="000000"/>
                <w:sz w:val="20"/>
              </w:rPr>
            </w:pPr>
            <w:r>
              <w:rPr>
                <w:color w:val="000000"/>
                <w:sz w:val="20"/>
              </w:rPr>
              <w:t>Брой подкрепени участници</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F0F7DA3" w14:textId="77777777" w:rsidR="00A77B3E" w:rsidRDefault="00EE0A2B">
            <w:pPr>
              <w:spacing w:before="100"/>
              <w:rPr>
                <w:color w:val="000000"/>
                <w:sz w:val="20"/>
              </w:rPr>
            </w:pPr>
            <w:r>
              <w:rPr>
                <w:color w:val="000000"/>
                <w:sz w:val="20"/>
              </w:rPr>
              <w:t>номер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053B080" w14:textId="77777777" w:rsidR="00A77B3E" w:rsidRDefault="00EE0A2B">
            <w:pPr>
              <w:spacing w:before="100"/>
              <w:jc w:val="right"/>
              <w:rPr>
                <w:color w:val="000000"/>
                <w:sz w:val="20"/>
              </w:rPr>
            </w:pPr>
            <w:r>
              <w:rPr>
                <w:color w:val="000000"/>
                <w:sz w:val="20"/>
              </w:rPr>
              <w:t>600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5A719FB" w14:textId="77777777" w:rsidR="00A77B3E" w:rsidRDefault="00EE0A2B">
            <w:pPr>
              <w:spacing w:before="100"/>
              <w:jc w:val="right"/>
              <w:rPr>
                <w:color w:val="000000"/>
                <w:sz w:val="20"/>
              </w:rPr>
            </w:pPr>
            <w:r>
              <w:rPr>
                <w:color w:val="000000"/>
                <w:sz w:val="20"/>
              </w:rPr>
              <w:t>18 895</w:t>
            </w:r>
          </w:p>
        </w:tc>
      </w:tr>
      <w:tr w:rsidR="00723994" w14:paraId="29FB7C3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0AE7D17" w14:textId="77777777" w:rsidR="00A77B3E" w:rsidRDefault="00EE0A2B">
            <w:pPr>
              <w:spacing w:before="100"/>
              <w:rPr>
                <w:color w:val="000000"/>
                <w:sz w:val="20"/>
              </w:rPr>
            </w:pPr>
            <w:r>
              <w:rPr>
                <w:color w:val="000000"/>
                <w:sz w:val="20"/>
              </w:rPr>
              <w:t>О.2.3.1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101B858" w14:textId="77777777" w:rsidR="00A77B3E" w:rsidRDefault="00EE0A2B">
            <w:pPr>
              <w:spacing w:before="100"/>
              <w:rPr>
                <w:color w:val="000000"/>
                <w:sz w:val="20"/>
              </w:rPr>
            </w:pPr>
            <w:r>
              <w:rPr>
                <w:color w:val="000000"/>
                <w:sz w:val="20"/>
              </w:rPr>
              <w:t>от които брой участници в езиков курс</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A09CB68" w14:textId="77777777" w:rsidR="00A77B3E" w:rsidRDefault="00EE0A2B">
            <w:pPr>
              <w:spacing w:before="100"/>
              <w:rPr>
                <w:color w:val="000000"/>
                <w:sz w:val="20"/>
              </w:rPr>
            </w:pPr>
            <w:r>
              <w:rPr>
                <w:color w:val="000000"/>
                <w:sz w:val="20"/>
              </w:rPr>
              <w:t>номер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4CD1A8B" w14:textId="77777777" w:rsidR="00A77B3E" w:rsidRDefault="00EE0A2B">
            <w:pPr>
              <w:spacing w:before="100"/>
              <w:jc w:val="right"/>
              <w:rPr>
                <w:color w:val="000000"/>
                <w:sz w:val="20"/>
              </w:rPr>
            </w:pPr>
            <w:r>
              <w:rPr>
                <w:color w:val="000000"/>
                <w:sz w:val="20"/>
              </w:rPr>
              <w:t>300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B80098E" w14:textId="77777777" w:rsidR="00A77B3E" w:rsidRDefault="00EE0A2B">
            <w:pPr>
              <w:spacing w:before="100"/>
              <w:jc w:val="right"/>
              <w:rPr>
                <w:color w:val="000000"/>
                <w:sz w:val="20"/>
              </w:rPr>
            </w:pPr>
            <w:r>
              <w:rPr>
                <w:color w:val="000000"/>
                <w:sz w:val="20"/>
              </w:rPr>
              <w:t>5 750</w:t>
            </w:r>
          </w:p>
        </w:tc>
      </w:tr>
      <w:tr w:rsidR="00723994" w14:paraId="149C8BA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FD9AFC9" w14:textId="77777777" w:rsidR="00A77B3E" w:rsidRDefault="00EE0A2B">
            <w:pPr>
              <w:spacing w:before="100"/>
              <w:rPr>
                <w:color w:val="000000"/>
                <w:sz w:val="20"/>
              </w:rPr>
            </w:pPr>
            <w:r>
              <w:rPr>
                <w:color w:val="000000"/>
                <w:sz w:val="20"/>
              </w:rPr>
              <w:t>О.2.3.2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D398F61" w14:textId="77777777" w:rsidR="00A77B3E" w:rsidRDefault="00EE0A2B">
            <w:pPr>
              <w:spacing w:before="100"/>
              <w:rPr>
                <w:color w:val="000000"/>
                <w:sz w:val="20"/>
              </w:rPr>
            </w:pPr>
            <w:r>
              <w:rPr>
                <w:color w:val="000000"/>
                <w:sz w:val="20"/>
              </w:rPr>
              <w:t>от които брой участници в курс по гражданска ориентация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43E6284" w14:textId="77777777" w:rsidR="00A77B3E" w:rsidRDefault="00EE0A2B">
            <w:pPr>
              <w:spacing w:before="100"/>
              <w:rPr>
                <w:color w:val="000000"/>
                <w:sz w:val="20"/>
              </w:rPr>
            </w:pPr>
            <w:r>
              <w:rPr>
                <w:color w:val="000000"/>
                <w:sz w:val="20"/>
              </w:rPr>
              <w:t>номер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8563978" w14:textId="77777777" w:rsidR="00A77B3E" w:rsidRDefault="00EE0A2B">
            <w:pPr>
              <w:spacing w:before="100"/>
              <w:jc w:val="right"/>
              <w:rPr>
                <w:color w:val="000000"/>
                <w:sz w:val="20"/>
              </w:rPr>
            </w:pPr>
            <w:r>
              <w:rPr>
                <w:color w:val="000000"/>
                <w:sz w:val="20"/>
              </w:rPr>
              <w:t>300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EE7906C" w14:textId="77777777" w:rsidR="00A77B3E" w:rsidRDefault="00EE0A2B">
            <w:pPr>
              <w:spacing w:before="100"/>
              <w:jc w:val="right"/>
              <w:rPr>
                <w:color w:val="000000"/>
                <w:sz w:val="20"/>
              </w:rPr>
            </w:pPr>
            <w:r>
              <w:rPr>
                <w:color w:val="000000"/>
                <w:sz w:val="20"/>
              </w:rPr>
              <w:t>3300</w:t>
            </w:r>
          </w:p>
        </w:tc>
      </w:tr>
      <w:tr w:rsidR="00723994" w14:paraId="3AD9592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4A6486E" w14:textId="77777777" w:rsidR="00A77B3E" w:rsidRDefault="00EE0A2B">
            <w:pPr>
              <w:spacing w:before="100"/>
              <w:rPr>
                <w:color w:val="000000"/>
                <w:sz w:val="20"/>
              </w:rPr>
            </w:pPr>
            <w:r>
              <w:rPr>
                <w:color w:val="000000"/>
                <w:sz w:val="20"/>
              </w:rPr>
              <w:t>О.2.3.3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A3577BC" w14:textId="77777777" w:rsidR="00A77B3E" w:rsidRDefault="00EE0A2B">
            <w:pPr>
              <w:spacing w:before="100"/>
              <w:rPr>
                <w:color w:val="000000"/>
                <w:sz w:val="20"/>
              </w:rPr>
            </w:pPr>
            <w:r>
              <w:rPr>
                <w:color w:val="000000"/>
                <w:sz w:val="20"/>
              </w:rPr>
              <w:t>от които брой участници, получили лично професионално насочване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03F1D9F" w14:textId="77777777" w:rsidR="00A77B3E" w:rsidRDefault="00EE0A2B">
            <w:pPr>
              <w:spacing w:before="100"/>
              <w:rPr>
                <w:color w:val="000000"/>
                <w:sz w:val="20"/>
              </w:rPr>
            </w:pPr>
            <w:r>
              <w:rPr>
                <w:color w:val="000000"/>
                <w:sz w:val="20"/>
              </w:rPr>
              <w:t>номер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0602AB0" w14:textId="77777777" w:rsidR="00A77B3E" w:rsidRDefault="00EE0A2B">
            <w:pPr>
              <w:spacing w:before="100"/>
              <w:jc w:val="right"/>
              <w:rPr>
                <w:color w:val="000000"/>
                <w:sz w:val="20"/>
              </w:rPr>
            </w:pPr>
            <w:r>
              <w:rPr>
                <w:color w:val="000000"/>
                <w:sz w:val="20"/>
              </w:rPr>
              <w:t>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452782F" w14:textId="77777777" w:rsidR="00A77B3E" w:rsidRDefault="00EE0A2B">
            <w:pPr>
              <w:spacing w:before="100"/>
              <w:jc w:val="right"/>
              <w:rPr>
                <w:color w:val="000000"/>
                <w:sz w:val="20"/>
              </w:rPr>
            </w:pPr>
            <w:r>
              <w:rPr>
                <w:color w:val="000000"/>
                <w:sz w:val="20"/>
              </w:rPr>
              <w:t>3100</w:t>
            </w:r>
          </w:p>
        </w:tc>
      </w:tr>
      <w:tr w:rsidR="00723994" w14:paraId="2876516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F3ECC5E" w14:textId="77777777" w:rsidR="00A77B3E" w:rsidRDefault="00EE0A2B">
            <w:pPr>
              <w:spacing w:before="100"/>
              <w:rPr>
                <w:color w:val="000000"/>
                <w:sz w:val="20"/>
              </w:rPr>
            </w:pPr>
            <w:r>
              <w:rPr>
                <w:color w:val="000000"/>
                <w:sz w:val="20"/>
              </w:rPr>
              <w:t>О.2.4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73314C1" w14:textId="77777777" w:rsidR="00A77B3E" w:rsidRDefault="00EE0A2B">
            <w:pPr>
              <w:spacing w:before="100"/>
              <w:rPr>
                <w:color w:val="000000"/>
                <w:sz w:val="20"/>
              </w:rPr>
            </w:pPr>
            <w:r>
              <w:rPr>
                <w:color w:val="000000"/>
                <w:sz w:val="20"/>
              </w:rPr>
              <w:t>Брой информационни пакети и кампании за повишаване на осведомеността относно каналите за законна миграция към Съюза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DB00B74" w14:textId="77777777" w:rsidR="00A77B3E" w:rsidRDefault="00EE0A2B">
            <w:pPr>
              <w:spacing w:before="100"/>
              <w:rPr>
                <w:color w:val="000000"/>
                <w:sz w:val="20"/>
              </w:rPr>
            </w:pPr>
            <w:r>
              <w:rPr>
                <w:color w:val="000000"/>
                <w:sz w:val="20"/>
              </w:rPr>
              <w:t>номер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5B424BA" w14:textId="77777777" w:rsidR="00A77B3E" w:rsidRDefault="00EE0A2B">
            <w:pPr>
              <w:spacing w:before="100"/>
              <w:jc w:val="right"/>
              <w:rPr>
                <w:color w:val="000000"/>
                <w:sz w:val="20"/>
              </w:rPr>
            </w:pPr>
            <w:r>
              <w:rPr>
                <w:color w:val="000000"/>
                <w:sz w:val="20"/>
              </w:rPr>
              <w:t>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AF1C743" w14:textId="77777777" w:rsidR="00A77B3E" w:rsidRDefault="00EE0A2B">
            <w:pPr>
              <w:spacing w:before="100"/>
              <w:jc w:val="right"/>
              <w:rPr>
                <w:color w:val="000000"/>
                <w:sz w:val="20"/>
              </w:rPr>
            </w:pPr>
            <w:r>
              <w:rPr>
                <w:color w:val="000000"/>
                <w:sz w:val="20"/>
              </w:rPr>
              <w:t>6</w:t>
            </w:r>
          </w:p>
        </w:tc>
      </w:tr>
      <w:tr w:rsidR="00723994" w14:paraId="08A40A5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E1E6E48" w14:textId="77777777" w:rsidR="00A77B3E" w:rsidRDefault="00EE0A2B">
            <w:pPr>
              <w:spacing w:before="100"/>
              <w:rPr>
                <w:color w:val="000000"/>
                <w:sz w:val="20"/>
              </w:rPr>
            </w:pPr>
            <w:r>
              <w:rPr>
                <w:color w:val="000000"/>
                <w:sz w:val="20"/>
              </w:rPr>
              <w:t>О.2.5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0799606" w14:textId="77777777" w:rsidR="00A77B3E" w:rsidRDefault="00EE0A2B">
            <w:pPr>
              <w:spacing w:before="100"/>
              <w:rPr>
                <w:color w:val="000000"/>
                <w:sz w:val="20"/>
              </w:rPr>
            </w:pPr>
            <w:r>
              <w:rPr>
                <w:color w:val="000000"/>
                <w:sz w:val="20"/>
              </w:rPr>
              <w:t>Брой участници, получили информация и/или помощ за кандидатстване за събиране на семейството</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37D4429" w14:textId="77777777" w:rsidR="00A77B3E" w:rsidRDefault="00EE0A2B">
            <w:pPr>
              <w:spacing w:before="100"/>
              <w:rPr>
                <w:color w:val="000000"/>
                <w:sz w:val="20"/>
              </w:rPr>
            </w:pPr>
            <w:r>
              <w:rPr>
                <w:color w:val="000000"/>
                <w:sz w:val="20"/>
              </w:rPr>
              <w:t>номер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7ACCCE2" w14:textId="77777777" w:rsidR="00A77B3E" w:rsidRDefault="00EE0A2B">
            <w:pPr>
              <w:spacing w:before="100"/>
              <w:jc w:val="right"/>
              <w:rPr>
                <w:color w:val="000000"/>
                <w:sz w:val="20"/>
              </w:rPr>
            </w:pPr>
            <w:r>
              <w:rPr>
                <w:color w:val="000000"/>
                <w:sz w:val="20"/>
              </w:rPr>
              <w:t>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B3CDAD6" w14:textId="77777777" w:rsidR="00A77B3E" w:rsidRDefault="00EE0A2B">
            <w:pPr>
              <w:spacing w:before="100"/>
              <w:jc w:val="right"/>
              <w:rPr>
                <w:color w:val="000000"/>
                <w:sz w:val="20"/>
              </w:rPr>
            </w:pPr>
            <w:r>
              <w:rPr>
                <w:color w:val="000000"/>
                <w:sz w:val="20"/>
              </w:rPr>
              <w:t>0</w:t>
            </w:r>
          </w:p>
        </w:tc>
      </w:tr>
      <w:tr w:rsidR="00723994" w14:paraId="6677141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82CF00A" w14:textId="77777777" w:rsidR="00A77B3E" w:rsidRDefault="00EE0A2B">
            <w:pPr>
              <w:spacing w:before="100"/>
              <w:rPr>
                <w:color w:val="000000"/>
                <w:sz w:val="20"/>
              </w:rPr>
            </w:pPr>
            <w:r>
              <w:rPr>
                <w:color w:val="000000"/>
                <w:sz w:val="20"/>
              </w:rPr>
              <w:t>О.2.6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F0179F7" w14:textId="77777777" w:rsidR="00A77B3E" w:rsidRDefault="00EE0A2B">
            <w:pPr>
              <w:spacing w:before="100"/>
              <w:rPr>
                <w:color w:val="000000"/>
                <w:sz w:val="20"/>
              </w:rPr>
            </w:pPr>
            <w:r>
              <w:rPr>
                <w:color w:val="000000"/>
                <w:sz w:val="20"/>
              </w:rPr>
              <w:t>Брой участници, ползващи се от схеми за мобилност</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6B0B366" w14:textId="77777777" w:rsidR="00A77B3E" w:rsidRDefault="00EE0A2B">
            <w:pPr>
              <w:spacing w:before="100"/>
              <w:rPr>
                <w:color w:val="000000"/>
                <w:sz w:val="20"/>
              </w:rPr>
            </w:pPr>
            <w:r>
              <w:rPr>
                <w:color w:val="000000"/>
                <w:sz w:val="20"/>
              </w:rPr>
              <w:t>номер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3DF3284" w14:textId="77777777" w:rsidR="00A77B3E" w:rsidRDefault="00EE0A2B">
            <w:pPr>
              <w:spacing w:before="100"/>
              <w:jc w:val="right"/>
              <w:rPr>
                <w:color w:val="000000"/>
                <w:sz w:val="20"/>
              </w:rPr>
            </w:pPr>
            <w:r>
              <w:rPr>
                <w:color w:val="000000"/>
                <w:sz w:val="20"/>
              </w:rPr>
              <w:t>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4A198FE" w14:textId="77777777" w:rsidR="00A77B3E" w:rsidRDefault="00EE0A2B">
            <w:pPr>
              <w:spacing w:before="100"/>
              <w:jc w:val="right"/>
              <w:rPr>
                <w:color w:val="000000"/>
                <w:sz w:val="20"/>
              </w:rPr>
            </w:pPr>
            <w:r>
              <w:rPr>
                <w:color w:val="000000"/>
                <w:sz w:val="20"/>
              </w:rPr>
              <w:t>0</w:t>
            </w:r>
          </w:p>
        </w:tc>
      </w:tr>
      <w:tr w:rsidR="00723994" w14:paraId="054F7E5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14AFC65" w14:textId="77777777" w:rsidR="00A77B3E" w:rsidRDefault="00EE0A2B">
            <w:pPr>
              <w:spacing w:before="100"/>
              <w:rPr>
                <w:color w:val="000000"/>
                <w:sz w:val="20"/>
              </w:rPr>
            </w:pPr>
            <w:r>
              <w:rPr>
                <w:color w:val="000000"/>
                <w:sz w:val="20"/>
              </w:rPr>
              <w:t>О.2.7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4C16517" w14:textId="77777777" w:rsidR="00A77B3E" w:rsidRDefault="00EE0A2B">
            <w:pPr>
              <w:spacing w:before="100"/>
              <w:rPr>
                <w:color w:val="000000"/>
                <w:sz w:val="20"/>
              </w:rPr>
            </w:pPr>
            <w:r>
              <w:rPr>
                <w:color w:val="000000"/>
                <w:sz w:val="20"/>
              </w:rPr>
              <w:t>Брой проекти за интеграция, по които местните и регионалните власти са бенефициент</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A4FF83F" w14:textId="77777777" w:rsidR="00A77B3E" w:rsidRDefault="00EE0A2B">
            <w:pPr>
              <w:spacing w:before="100"/>
              <w:rPr>
                <w:color w:val="000000"/>
                <w:sz w:val="20"/>
              </w:rPr>
            </w:pPr>
            <w:r>
              <w:rPr>
                <w:color w:val="000000"/>
                <w:sz w:val="20"/>
              </w:rPr>
              <w:t>номер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8F38CDF" w14:textId="77777777" w:rsidR="00A77B3E" w:rsidRDefault="00EE0A2B">
            <w:pPr>
              <w:spacing w:before="100"/>
              <w:jc w:val="right"/>
              <w:rPr>
                <w:color w:val="000000"/>
                <w:sz w:val="20"/>
              </w:rPr>
            </w:pPr>
            <w:r>
              <w:rPr>
                <w:color w:val="000000"/>
                <w:sz w:val="20"/>
              </w:rPr>
              <w:t>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2703288" w14:textId="77777777" w:rsidR="00A77B3E" w:rsidRDefault="00EE0A2B">
            <w:pPr>
              <w:spacing w:before="100"/>
              <w:jc w:val="right"/>
              <w:rPr>
                <w:color w:val="000000"/>
                <w:sz w:val="20"/>
              </w:rPr>
            </w:pPr>
            <w:r>
              <w:rPr>
                <w:color w:val="000000"/>
                <w:sz w:val="20"/>
              </w:rPr>
              <w:t>0</w:t>
            </w:r>
          </w:p>
        </w:tc>
      </w:tr>
    </w:tbl>
    <w:p w14:paraId="55AEE83C" w14:textId="77777777" w:rsidR="00A77B3E" w:rsidRDefault="00EE0A2B">
      <w:pPr>
        <w:spacing w:before="100"/>
        <w:rPr>
          <w:color w:val="000000"/>
        </w:rPr>
      </w:pPr>
      <w:r>
        <w:rPr>
          <w:color w:val="000000"/>
          <w:sz w:val="20"/>
        </w:rPr>
        <w:br w:type="page"/>
      </w:r>
      <w:r>
        <w:rPr>
          <w:color w:val="000000"/>
        </w:rPr>
        <w:lastRenderedPageBreak/>
        <w:t>2.1. Специфична цел 2. Легална миграция и интеграция</w:t>
      </w:r>
    </w:p>
    <w:p w14:paraId="32101FB6" w14:textId="77777777" w:rsidR="00A77B3E" w:rsidRDefault="00EE0A2B">
      <w:pPr>
        <w:spacing w:before="100"/>
        <w:rPr>
          <w:color w:val="000000"/>
          <w:sz w:val="0"/>
        </w:rPr>
      </w:pPr>
      <w:r>
        <w:rPr>
          <w:color w:val="000000"/>
        </w:rPr>
        <w:t>2.1.2. Индикатори</w:t>
      </w:r>
    </w:p>
    <w:p w14:paraId="2F9D61C2" w14:textId="77777777" w:rsidR="00A77B3E" w:rsidRDefault="00EE0A2B">
      <w:pPr>
        <w:spacing w:before="100"/>
        <w:rPr>
          <w:color w:val="000000"/>
          <w:sz w:val="12"/>
        </w:rPr>
      </w:pPr>
      <w:r>
        <w:rPr>
          <w:color w:val="000000"/>
        </w:rPr>
        <w:t>Позоваване: член 22, параграф 4, буква д) от РОР</w:t>
      </w:r>
    </w:p>
    <w:p w14:paraId="43BC24BF" w14:textId="77777777" w:rsidR="00A77B3E" w:rsidRDefault="00EE0A2B">
      <w:pPr>
        <w:pStyle w:val="Heading4"/>
        <w:spacing w:before="100" w:after="0"/>
        <w:rPr>
          <w:b w:val="0"/>
          <w:color w:val="000000"/>
          <w:sz w:val="24"/>
        </w:rPr>
      </w:pPr>
      <w:bookmarkStart w:id="13" w:name="_Toc256000076"/>
      <w:r>
        <w:rPr>
          <w:b w:val="0"/>
          <w:color w:val="000000"/>
          <w:sz w:val="24"/>
        </w:rPr>
        <w:t>Таблица 2: Показатели за резултати</w:t>
      </w:r>
      <w:bookmarkEnd w:id="13"/>
    </w:p>
    <w:p w14:paraId="23DA81FD"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2276"/>
        <w:gridCol w:w="1517"/>
        <w:gridCol w:w="1517"/>
        <w:gridCol w:w="1517"/>
        <w:gridCol w:w="1517"/>
        <w:gridCol w:w="1517"/>
        <w:gridCol w:w="1517"/>
        <w:gridCol w:w="1517"/>
        <w:gridCol w:w="1517"/>
      </w:tblGrid>
      <w:tr w:rsidR="00723994" w14:paraId="1D4E854D" w14:textId="77777777">
        <w:trPr>
          <w:tblHeader/>
        </w:trPr>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0B98F25" w14:textId="77777777" w:rsidR="00A77B3E" w:rsidRDefault="00EE0A2B">
            <w:pPr>
              <w:spacing w:before="100"/>
              <w:jc w:val="center"/>
              <w:rPr>
                <w:color w:val="000000"/>
                <w:sz w:val="20"/>
              </w:rPr>
            </w:pPr>
            <w:r>
              <w:rPr>
                <w:color w:val="000000"/>
                <w:sz w:val="20"/>
              </w:rPr>
              <w:t>Идентификационен номер</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9B535D0" w14:textId="77777777" w:rsidR="00A77B3E" w:rsidRDefault="00EE0A2B">
            <w:pPr>
              <w:spacing w:before="100"/>
              <w:jc w:val="center"/>
              <w:rPr>
                <w:color w:val="000000"/>
                <w:sz w:val="20"/>
              </w:rPr>
            </w:pPr>
            <w:r>
              <w:rPr>
                <w:color w:val="000000"/>
                <w:sz w:val="20"/>
              </w:rPr>
              <w:t>Индикатор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7DE4F51" w14:textId="77777777" w:rsidR="00A77B3E" w:rsidRDefault="00EE0A2B">
            <w:pPr>
              <w:spacing w:before="100"/>
              <w:jc w:val="center"/>
              <w:rPr>
                <w:color w:val="000000"/>
                <w:sz w:val="20"/>
              </w:rPr>
            </w:pPr>
            <w:r>
              <w:rPr>
                <w:color w:val="000000"/>
                <w:sz w:val="20"/>
              </w:rPr>
              <w:t>Мерна единица</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695BFB4" w14:textId="77777777" w:rsidR="00A77B3E" w:rsidRDefault="00EE0A2B">
            <w:pPr>
              <w:spacing w:before="100"/>
              <w:jc w:val="center"/>
              <w:rPr>
                <w:color w:val="000000"/>
                <w:sz w:val="20"/>
              </w:rPr>
            </w:pPr>
            <w:r>
              <w:rPr>
                <w:color w:val="000000"/>
                <w:sz w:val="20"/>
              </w:rPr>
              <w:t>Базова линия</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9E817CF" w14:textId="77777777" w:rsidR="00A77B3E" w:rsidRDefault="00EE0A2B">
            <w:pPr>
              <w:spacing w:before="100"/>
              <w:jc w:val="center"/>
              <w:rPr>
                <w:color w:val="000000"/>
                <w:sz w:val="20"/>
              </w:rPr>
            </w:pPr>
            <w:r>
              <w:rPr>
                <w:color w:val="000000"/>
                <w:sz w:val="20"/>
              </w:rPr>
              <w:t>Мерна единица за базова линия</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7E63B9D" w14:textId="77777777" w:rsidR="00A77B3E" w:rsidRDefault="00EE0A2B">
            <w:pPr>
              <w:spacing w:before="100"/>
              <w:jc w:val="center"/>
              <w:rPr>
                <w:color w:val="000000"/>
                <w:sz w:val="20"/>
              </w:rPr>
            </w:pPr>
            <w:r>
              <w:rPr>
                <w:color w:val="000000"/>
                <w:sz w:val="20"/>
              </w:rPr>
              <w:t>Референтна(и) година(и)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689C097" w14:textId="77777777" w:rsidR="00A77B3E" w:rsidRDefault="00EE0A2B">
            <w:pPr>
              <w:spacing w:before="100"/>
              <w:jc w:val="center"/>
              <w:rPr>
                <w:color w:val="000000"/>
                <w:sz w:val="20"/>
              </w:rPr>
            </w:pPr>
            <w:r>
              <w:rPr>
                <w:color w:val="000000"/>
                <w:sz w:val="20"/>
              </w:rPr>
              <w:t>Цел (2029)</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DAE306E" w14:textId="77777777" w:rsidR="00A77B3E" w:rsidRDefault="00EE0A2B">
            <w:pPr>
              <w:spacing w:before="100"/>
              <w:jc w:val="center"/>
              <w:rPr>
                <w:color w:val="000000"/>
                <w:sz w:val="20"/>
              </w:rPr>
            </w:pPr>
            <w:r>
              <w:rPr>
                <w:color w:val="000000"/>
                <w:sz w:val="20"/>
              </w:rPr>
              <w:t>Мерна единица за цел</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E84C20D" w14:textId="77777777" w:rsidR="00A77B3E" w:rsidRDefault="00EE0A2B">
            <w:pPr>
              <w:spacing w:before="100"/>
              <w:jc w:val="center"/>
              <w:rPr>
                <w:color w:val="000000"/>
                <w:sz w:val="20"/>
              </w:rPr>
            </w:pPr>
            <w:r>
              <w:rPr>
                <w:color w:val="000000"/>
                <w:sz w:val="20"/>
              </w:rPr>
              <w:t>Източник на данни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615619D" w14:textId="77777777" w:rsidR="00A77B3E" w:rsidRDefault="00EE0A2B">
            <w:pPr>
              <w:spacing w:before="100"/>
              <w:rPr>
                <w:color w:val="000000"/>
                <w:sz w:val="20"/>
              </w:rPr>
            </w:pPr>
            <w:r>
              <w:rPr>
                <w:color w:val="000000"/>
                <w:sz w:val="20"/>
              </w:rPr>
              <w:t>Коментари</w:t>
            </w:r>
          </w:p>
        </w:tc>
      </w:tr>
      <w:tr w:rsidR="00723994" w14:paraId="3194D467"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5C9677" w14:textId="77777777" w:rsidR="00A77B3E" w:rsidRDefault="00EE0A2B">
            <w:pPr>
              <w:spacing w:before="100"/>
              <w:rPr>
                <w:color w:val="000000"/>
                <w:sz w:val="20"/>
              </w:rPr>
            </w:pPr>
            <w:r>
              <w:rPr>
                <w:color w:val="000000"/>
                <w:sz w:val="20"/>
              </w:rPr>
              <w:t>Р.2.8</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05359D" w14:textId="77777777" w:rsidR="00A77B3E" w:rsidRDefault="00EE0A2B">
            <w:pPr>
              <w:spacing w:before="100"/>
              <w:rPr>
                <w:color w:val="000000"/>
                <w:sz w:val="20"/>
              </w:rPr>
            </w:pPr>
            <w:r>
              <w:rPr>
                <w:color w:val="000000"/>
                <w:sz w:val="20"/>
              </w:rPr>
              <w:t>Брой участници в езикови курсове, които са подобрили нивото си на владеене на езика на приемащата страна след завършване на езиковия курс с поне едно ниво по Общата европейска езикова рамка или национален еквивалент</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E68E78" w14:textId="77777777" w:rsidR="00A77B3E" w:rsidRDefault="00EE0A2B">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F4618A" w14:textId="77777777" w:rsidR="00A77B3E" w:rsidRDefault="00EE0A2B">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4EE412" w14:textId="77777777" w:rsidR="00A77B3E" w:rsidRDefault="00EE0A2B">
            <w:pPr>
              <w:spacing w:before="100"/>
              <w:rPr>
                <w:color w:val="000000"/>
                <w:sz w:val="20"/>
              </w:rPr>
            </w:pPr>
            <w:r>
              <w:rPr>
                <w:color w:val="000000"/>
                <w:sz w:val="20"/>
              </w:rPr>
              <w:t>споделяне</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904076" w14:textId="77777777" w:rsidR="00A77B3E" w:rsidRDefault="00EE0A2B">
            <w:pPr>
              <w:spacing w:before="100"/>
              <w:jc w:val="center"/>
              <w:rPr>
                <w:color w:val="000000"/>
                <w:sz w:val="20"/>
              </w:rPr>
            </w:pPr>
            <w:r>
              <w:rPr>
                <w:color w:val="000000"/>
                <w:sz w:val="20"/>
              </w:rPr>
              <w:t>2021 г.</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05B201" w14:textId="77777777" w:rsidR="00A77B3E" w:rsidRDefault="00EE0A2B">
            <w:pPr>
              <w:spacing w:before="100"/>
              <w:jc w:val="center"/>
              <w:rPr>
                <w:color w:val="000000"/>
                <w:sz w:val="20"/>
              </w:rPr>
            </w:pPr>
            <w:r>
              <w:rPr>
                <w:color w:val="000000"/>
                <w:sz w:val="20"/>
              </w:rPr>
              <w:t>4 700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8AA09C" w14:textId="77777777" w:rsidR="00A77B3E" w:rsidRDefault="00EE0A2B">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406F1E" w14:textId="77777777" w:rsidR="00A77B3E" w:rsidRDefault="00EE0A2B">
            <w:pPr>
              <w:spacing w:before="100"/>
              <w:rPr>
                <w:color w:val="000000"/>
                <w:sz w:val="20"/>
              </w:rPr>
            </w:pPr>
            <w:r>
              <w:rPr>
                <w:color w:val="000000"/>
                <w:sz w:val="20"/>
              </w:rPr>
              <w:t>Отчитане на проекти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F3A1D9" w14:textId="77777777" w:rsidR="00A77B3E" w:rsidRDefault="00A77B3E">
            <w:pPr>
              <w:spacing w:before="100"/>
              <w:rPr>
                <w:color w:val="000000"/>
                <w:sz w:val="20"/>
              </w:rPr>
            </w:pPr>
          </w:p>
        </w:tc>
      </w:tr>
      <w:tr w:rsidR="00723994" w14:paraId="745F07BE"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A553B4" w14:textId="77777777" w:rsidR="00A77B3E" w:rsidRDefault="00EE0A2B">
            <w:pPr>
              <w:spacing w:before="100"/>
              <w:rPr>
                <w:color w:val="000000"/>
                <w:sz w:val="20"/>
              </w:rPr>
            </w:pPr>
            <w:r>
              <w:rPr>
                <w:color w:val="000000"/>
                <w:sz w:val="20"/>
              </w:rPr>
              <w:t>Р.2.9</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88E387" w14:textId="77777777" w:rsidR="00A77B3E" w:rsidRDefault="00EE0A2B">
            <w:pPr>
              <w:spacing w:before="100"/>
              <w:rPr>
                <w:color w:val="000000"/>
                <w:sz w:val="20"/>
              </w:rPr>
            </w:pPr>
            <w:r>
              <w:rPr>
                <w:color w:val="000000"/>
                <w:sz w:val="20"/>
              </w:rPr>
              <w:t>Брой участници, които съобщават, че дейността е била полезна за тяхната интеграция</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8D824A" w14:textId="77777777" w:rsidR="00A77B3E" w:rsidRDefault="00EE0A2B">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CC3F53" w14:textId="77777777" w:rsidR="00A77B3E" w:rsidRDefault="00EE0A2B">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A64977" w14:textId="77777777" w:rsidR="00A77B3E" w:rsidRDefault="00EE0A2B">
            <w:pPr>
              <w:spacing w:before="100"/>
              <w:rPr>
                <w:color w:val="000000"/>
                <w:sz w:val="20"/>
              </w:rPr>
            </w:pPr>
            <w:r>
              <w:rPr>
                <w:color w:val="000000"/>
                <w:sz w:val="20"/>
              </w:rPr>
              <w:t>споделяне</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5D2CCE" w14:textId="77777777" w:rsidR="00A77B3E" w:rsidRDefault="00EE0A2B">
            <w:pPr>
              <w:spacing w:before="100"/>
              <w:jc w:val="center"/>
              <w:rPr>
                <w:color w:val="000000"/>
                <w:sz w:val="20"/>
              </w:rPr>
            </w:pPr>
            <w:r>
              <w:rPr>
                <w:color w:val="000000"/>
                <w:sz w:val="20"/>
              </w:rPr>
              <w:t>2021 г.</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8C94C2" w14:textId="77777777" w:rsidR="00A77B3E" w:rsidRDefault="00EE0A2B">
            <w:pPr>
              <w:spacing w:before="100"/>
              <w:jc w:val="center"/>
              <w:rPr>
                <w:color w:val="000000"/>
                <w:sz w:val="20"/>
              </w:rPr>
            </w:pPr>
            <w:r>
              <w:rPr>
                <w:color w:val="000000"/>
                <w:sz w:val="20"/>
              </w:rPr>
              <w:t>4 743</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33999D" w14:textId="77777777" w:rsidR="00A77B3E" w:rsidRDefault="00EE0A2B">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98EC49" w14:textId="77777777" w:rsidR="00A77B3E" w:rsidRDefault="00EE0A2B">
            <w:pPr>
              <w:spacing w:before="100"/>
              <w:rPr>
                <w:color w:val="000000"/>
                <w:sz w:val="20"/>
              </w:rPr>
            </w:pPr>
            <w:r>
              <w:rPr>
                <w:color w:val="000000"/>
                <w:sz w:val="20"/>
              </w:rPr>
              <w:t>Отчитане на проекти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AD749A" w14:textId="77777777" w:rsidR="00A77B3E" w:rsidRDefault="00A77B3E">
            <w:pPr>
              <w:spacing w:before="100"/>
              <w:rPr>
                <w:color w:val="000000"/>
                <w:sz w:val="20"/>
              </w:rPr>
            </w:pPr>
          </w:p>
        </w:tc>
      </w:tr>
      <w:tr w:rsidR="00723994" w14:paraId="5E9295AF"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B8EF05" w14:textId="77777777" w:rsidR="00A77B3E" w:rsidRDefault="00EE0A2B">
            <w:pPr>
              <w:spacing w:before="100"/>
              <w:rPr>
                <w:color w:val="000000"/>
                <w:sz w:val="20"/>
              </w:rPr>
            </w:pPr>
            <w:r>
              <w:rPr>
                <w:color w:val="000000"/>
                <w:sz w:val="20"/>
              </w:rPr>
              <w:t>Р.2.10</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B67B57" w14:textId="77777777" w:rsidR="00A77B3E" w:rsidRDefault="00EE0A2B">
            <w:pPr>
              <w:spacing w:before="100"/>
              <w:rPr>
                <w:color w:val="000000"/>
                <w:sz w:val="20"/>
              </w:rPr>
            </w:pPr>
            <w:r>
              <w:rPr>
                <w:color w:val="000000"/>
                <w:sz w:val="20"/>
              </w:rPr>
              <w:t>Брой участници, които са кандидатствали за признаване/оценка на квалификацията или уменията, придобити в трета държава</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A6A16E" w14:textId="77777777" w:rsidR="00A77B3E" w:rsidRDefault="00EE0A2B">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8BD738" w14:textId="77777777" w:rsidR="00A77B3E" w:rsidRDefault="00EE0A2B">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CC6C84" w14:textId="77777777" w:rsidR="00A77B3E" w:rsidRDefault="00EE0A2B">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6BD061" w14:textId="77777777" w:rsidR="00A77B3E" w:rsidRDefault="00EE0A2B">
            <w:pPr>
              <w:spacing w:before="100"/>
              <w:jc w:val="center"/>
              <w:rPr>
                <w:color w:val="000000"/>
                <w:sz w:val="20"/>
              </w:rPr>
            </w:pPr>
            <w:r>
              <w:rPr>
                <w:color w:val="000000"/>
                <w:sz w:val="20"/>
              </w:rPr>
              <w:t>2021 г.</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25FD92" w14:textId="77777777" w:rsidR="00A77B3E" w:rsidRDefault="00EE0A2B">
            <w:pPr>
              <w:spacing w:before="100"/>
              <w:jc w:val="center"/>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7D85D4" w14:textId="77777777" w:rsidR="00A77B3E" w:rsidRDefault="00EE0A2B">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841446" w14:textId="77777777" w:rsidR="00A77B3E" w:rsidRDefault="00EE0A2B">
            <w:pPr>
              <w:spacing w:before="100"/>
              <w:rPr>
                <w:color w:val="000000"/>
                <w:sz w:val="20"/>
              </w:rPr>
            </w:pPr>
            <w:r>
              <w:rPr>
                <w:color w:val="000000"/>
                <w:sz w:val="20"/>
              </w:rPr>
              <w:t>Отчитане на проекти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0A7760" w14:textId="77777777" w:rsidR="00A77B3E" w:rsidRDefault="00A77B3E">
            <w:pPr>
              <w:spacing w:before="100"/>
              <w:rPr>
                <w:color w:val="000000"/>
                <w:sz w:val="20"/>
              </w:rPr>
            </w:pPr>
          </w:p>
        </w:tc>
      </w:tr>
      <w:tr w:rsidR="00723994" w14:paraId="2A1F2C3A"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85456C" w14:textId="77777777" w:rsidR="00A77B3E" w:rsidRDefault="00EE0A2B">
            <w:pPr>
              <w:spacing w:before="100"/>
              <w:rPr>
                <w:color w:val="000000"/>
                <w:sz w:val="20"/>
              </w:rPr>
            </w:pPr>
            <w:r>
              <w:rPr>
                <w:color w:val="000000"/>
                <w:sz w:val="20"/>
              </w:rPr>
              <w:t>Р.2.11</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C51AD2" w14:textId="77777777" w:rsidR="00A77B3E" w:rsidRDefault="00EE0A2B">
            <w:pPr>
              <w:spacing w:before="100"/>
              <w:rPr>
                <w:color w:val="000000"/>
                <w:sz w:val="20"/>
              </w:rPr>
            </w:pPr>
            <w:r>
              <w:rPr>
                <w:color w:val="000000"/>
                <w:sz w:val="20"/>
              </w:rPr>
              <w:t>Брой участници, които са кандидатствали за статут на дългосрочно пребиваване</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A2DB49" w14:textId="77777777" w:rsidR="00A77B3E" w:rsidRDefault="00EE0A2B">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C32FB3" w14:textId="77777777" w:rsidR="00A77B3E" w:rsidRDefault="00EE0A2B">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09B7FF" w14:textId="77777777" w:rsidR="00A77B3E" w:rsidRDefault="00EE0A2B">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E4A6E6" w14:textId="77777777" w:rsidR="00A77B3E" w:rsidRDefault="00EE0A2B">
            <w:pPr>
              <w:spacing w:before="100"/>
              <w:jc w:val="center"/>
              <w:rPr>
                <w:color w:val="000000"/>
                <w:sz w:val="20"/>
              </w:rPr>
            </w:pPr>
            <w:r>
              <w:rPr>
                <w:color w:val="000000"/>
                <w:sz w:val="20"/>
              </w:rPr>
              <w:t>2021 г.</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E3A9BC" w14:textId="77777777" w:rsidR="00A77B3E" w:rsidRDefault="00EE0A2B">
            <w:pPr>
              <w:spacing w:before="100"/>
              <w:jc w:val="center"/>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F36584" w14:textId="77777777" w:rsidR="00A77B3E" w:rsidRDefault="00EE0A2B">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8A5915" w14:textId="77777777" w:rsidR="00A77B3E" w:rsidRDefault="00EE0A2B">
            <w:pPr>
              <w:spacing w:before="100"/>
              <w:rPr>
                <w:color w:val="000000"/>
                <w:sz w:val="20"/>
              </w:rPr>
            </w:pPr>
            <w:r>
              <w:rPr>
                <w:color w:val="000000"/>
                <w:sz w:val="20"/>
              </w:rPr>
              <w:t>Отчитане на проекти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887C8E" w14:textId="77777777" w:rsidR="00A77B3E" w:rsidRDefault="00A77B3E">
            <w:pPr>
              <w:spacing w:before="100"/>
              <w:rPr>
                <w:color w:val="000000"/>
                <w:sz w:val="20"/>
              </w:rPr>
            </w:pPr>
          </w:p>
        </w:tc>
      </w:tr>
    </w:tbl>
    <w:p w14:paraId="08F08258" w14:textId="77777777" w:rsidR="00A77B3E" w:rsidRDefault="00A77B3E">
      <w:pPr>
        <w:spacing w:before="100"/>
        <w:rPr>
          <w:color w:val="000000"/>
          <w:sz w:val="20"/>
        </w:rPr>
        <w:sectPr w:rsidR="00A77B3E">
          <w:headerReference w:type="even" r:id="rId31"/>
          <w:headerReference w:type="default" r:id="rId32"/>
          <w:footerReference w:type="even" r:id="rId33"/>
          <w:footerReference w:type="default" r:id="rId34"/>
          <w:headerReference w:type="first" r:id="rId35"/>
          <w:footerReference w:type="first" r:id="rId36"/>
          <w:pgSz w:w="16838" w:h="11906" w:orient="landscape"/>
          <w:pgMar w:top="720" w:right="720" w:bottom="864" w:left="936" w:header="288" w:footer="72" w:gutter="0"/>
          <w:cols w:space="720"/>
          <w:noEndnote/>
          <w:docGrid w:linePitch="360"/>
        </w:sectPr>
      </w:pPr>
    </w:p>
    <w:p w14:paraId="0DC51235" w14:textId="77777777" w:rsidR="00A77B3E" w:rsidRDefault="00EE0A2B">
      <w:pPr>
        <w:spacing w:before="100"/>
        <w:rPr>
          <w:color w:val="000000"/>
          <w:sz w:val="0"/>
        </w:rPr>
      </w:pPr>
      <w:r>
        <w:rPr>
          <w:color w:val="000000"/>
        </w:rPr>
        <w:lastRenderedPageBreak/>
        <w:t>2.1. Специфична цел 2. Легална миграция и интеграция</w:t>
      </w:r>
    </w:p>
    <w:p w14:paraId="5C58437C" w14:textId="77777777" w:rsidR="00A77B3E" w:rsidRDefault="00EE0A2B">
      <w:pPr>
        <w:pStyle w:val="Heading3"/>
        <w:spacing w:before="100" w:after="0"/>
        <w:rPr>
          <w:rFonts w:ascii="Times New Roman" w:hAnsi="Times New Roman" w:cs="Times New Roman"/>
          <w:b w:val="0"/>
          <w:color w:val="000000"/>
          <w:sz w:val="24"/>
        </w:rPr>
      </w:pPr>
      <w:bookmarkStart w:id="14" w:name="_Toc256000077"/>
      <w:r>
        <w:rPr>
          <w:rFonts w:ascii="Times New Roman" w:hAnsi="Times New Roman" w:cs="Times New Roman"/>
          <w:b w:val="0"/>
          <w:color w:val="000000"/>
          <w:sz w:val="24"/>
        </w:rPr>
        <w:t>2.1.3. Индикативно разпределение на програмните ресурси (ЕС) по вид интервенция</w:t>
      </w:r>
      <w:bookmarkEnd w:id="14"/>
    </w:p>
    <w:p w14:paraId="4121C9C8" w14:textId="77777777" w:rsidR="00A77B3E" w:rsidRDefault="00EE0A2B">
      <w:pPr>
        <w:spacing w:before="100"/>
        <w:rPr>
          <w:color w:val="000000"/>
        </w:rPr>
      </w:pPr>
      <w:r>
        <w:rPr>
          <w:color w:val="000000"/>
        </w:rPr>
        <w:t xml:space="preserve">Позоваване: Член 22(5) от РОР; и член 16(12) от Регламента за ФУМИ, член 13(12) от Регламента за </w:t>
      </w:r>
      <w:r w:rsidR="0002372A">
        <w:rPr>
          <w:color w:val="000000"/>
        </w:rPr>
        <w:t>ФВС</w:t>
      </w:r>
      <w:r>
        <w:rPr>
          <w:color w:val="000000"/>
        </w:rPr>
        <w:t xml:space="preserve"> или член 13(18) от Регламента за ИУГВ</w:t>
      </w:r>
    </w:p>
    <w:p w14:paraId="4846E069" w14:textId="77777777" w:rsidR="00A77B3E" w:rsidRDefault="00EE0A2B">
      <w:pPr>
        <w:pStyle w:val="Heading4"/>
        <w:spacing w:before="100" w:after="0"/>
        <w:rPr>
          <w:b w:val="0"/>
          <w:color w:val="000000"/>
          <w:sz w:val="24"/>
        </w:rPr>
      </w:pPr>
      <w:bookmarkStart w:id="15" w:name="_Toc256000078"/>
      <w:r>
        <w:rPr>
          <w:b w:val="0"/>
          <w:color w:val="000000"/>
          <w:sz w:val="24"/>
        </w:rPr>
        <w:t>Таблица 3: Индикативна разбивка</w:t>
      </w:r>
      <w:bookmarkEnd w:id="15"/>
    </w:p>
    <w:p w14:paraId="621C056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1"/>
        <w:gridCol w:w="5143"/>
        <w:gridCol w:w="5648"/>
      </w:tblGrid>
      <w:tr w:rsidR="00723994" w14:paraId="2C0DD372" w14:textId="77777777">
        <w:trPr>
          <w:tblHeader/>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08BB93" w14:textId="77777777" w:rsidR="00A77B3E" w:rsidRDefault="00EE0A2B">
            <w:pPr>
              <w:spacing w:before="100"/>
              <w:rPr>
                <w:color w:val="000000"/>
                <w:sz w:val="20"/>
              </w:rPr>
            </w:pPr>
            <w:r>
              <w:rPr>
                <w:color w:val="000000"/>
                <w:sz w:val="20"/>
              </w:rPr>
              <w:t>Вид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10F136" w14:textId="77777777" w:rsidR="00A77B3E" w:rsidRDefault="00EE0A2B">
            <w:pPr>
              <w:spacing w:before="100"/>
              <w:rPr>
                <w:color w:val="000000"/>
                <w:sz w:val="20"/>
              </w:rPr>
            </w:pPr>
            <w:r>
              <w:rPr>
                <w:color w:val="000000"/>
                <w:sz w:val="20"/>
              </w:rPr>
              <w:t>Код</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02734B" w14:textId="77777777" w:rsidR="00A77B3E" w:rsidRDefault="00EE0A2B">
            <w:pPr>
              <w:spacing w:before="100"/>
              <w:jc w:val="right"/>
              <w:rPr>
                <w:color w:val="000000"/>
                <w:sz w:val="20"/>
              </w:rPr>
            </w:pPr>
            <w:r>
              <w:rPr>
                <w:color w:val="000000"/>
                <w:sz w:val="20"/>
              </w:rPr>
              <w:t>Ориентировъчна сума (евро)</w:t>
            </w:r>
          </w:p>
        </w:tc>
      </w:tr>
      <w:tr w:rsidR="00723994" w14:paraId="5C8A024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759608" w14:textId="77777777" w:rsidR="00A77B3E" w:rsidRDefault="00EE0A2B">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096DAD" w14:textId="77777777" w:rsidR="00A77B3E" w:rsidRDefault="00EE0A2B">
            <w:pPr>
              <w:spacing w:before="100"/>
              <w:rPr>
                <w:color w:val="000000"/>
                <w:sz w:val="20"/>
              </w:rPr>
            </w:pPr>
            <w:r>
              <w:rPr>
                <w:color w:val="000000"/>
                <w:sz w:val="20"/>
              </w:rPr>
              <w:t>001. Разработване на интеграционни стратегии</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C1453D" w14:textId="77777777" w:rsidR="00A77B3E" w:rsidRDefault="00EE0A2B">
            <w:pPr>
              <w:spacing w:before="100"/>
              <w:jc w:val="right"/>
              <w:rPr>
                <w:color w:val="000000"/>
                <w:sz w:val="20"/>
              </w:rPr>
            </w:pPr>
            <w:r>
              <w:rPr>
                <w:color w:val="000000"/>
                <w:sz w:val="20"/>
              </w:rPr>
              <w:t>0.00</w:t>
            </w:r>
          </w:p>
        </w:tc>
      </w:tr>
      <w:tr w:rsidR="00723994" w14:paraId="324488F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859AA8" w14:textId="77777777" w:rsidR="00A77B3E" w:rsidRDefault="00EE0A2B">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8B0276" w14:textId="77777777" w:rsidR="00A77B3E" w:rsidRDefault="00EE0A2B">
            <w:pPr>
              <w:spacing w:before="100"/>
              <w:rPr>
                <w:color w:val="000000"/>
                <w:sz w:val="20"/>
              </w:rPr>
            </w:pPr>
            <w:r>
              <w:rPr>
                <w:color w:val="000000"/>
                <w:sz w:val="20"/>
              </w:rPr>
              <w:t>002. Жертви на трафик на хора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EA4422" w14:textId="77777777" w:rsidR="00A77B3E" w:rsidRDefault="00EE0A2B">
            <w:pPr>
              <w:spacing w:before="100"/>
              <w:jc w:val="right"/>
              <w:rPr>
                <w:color w:val="000000"/>
                <w:sz w:val="20"/>
              </w:rPr>
            </w:pPr>
            <w:r>
              <w:rPr>
                <w:color w:val="000000"/>
                <w:sz w:val="20"/>
              </w:rPr>
              <w:t>0.00</w:t>
            </w:r>
          </w:p>
        </w:tc>
      </w:tr>
      <w:tr w:rsidR="00723994" w14:paraId="26D599F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4769EA" w14:textId="77777777" w:rsidR="00A77B3E" w:rsidRDefault="00EE0A2B">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B6E4FC" w14:textId="77777777" w:rsidR="00A77B3E" w:rsidRDefault="00EE0A2B">
            <w:pPr>
              <w:spacing w:before="100"/>
              <w:rPr>
                <w:color w:val="000000"/>
                <w:sz w:val="20"/>
              </w:rPr>
            </w:pPr>
            <w:r>
              <w:rPr>
                <w:color w:val="000000"/>
                <w:sz w:val="20"/>
              </w:rPr>
              <w:t>003. Мерки за интеграция – информация и ориентация, обслужване на едно гише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7B937B" w14:textId="77777777" w:rsidR="00A77B3E" w:rsidRDefault="00EE0A2B">
            <w:pPr>
              <w:spacing w:before="100"/>
              <w:jc w:val="right"/>
              <w:rPr>
                <w:color w:val="000000"/>
                <w:sz w:val="20"/>
              </w:rPr>
            </w:pPr>
            <w:r>
              <w:rPr>
                <w:color w:val="000000"/>
                <w:sz w:val="20"/>
              </w:rPr>
              <w:t>9 694 324,09</w:t>
            </w:r>
          </w:p>
        </w:tc>
      </w:tr>
      <w:tr w:rsidR="00723994" w14:paraId="1D381AB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7F9E98" w14:textId="77777777" w:rsidR="00A77B3E" w:rsidRDefault="00EE0A2B">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F42A94" w14:textId="77777777" w:rsidR="00A77B3E" w:rsidRDefault="00EE0A2B">
            <w:pPr>
              <w:spacing w:before="100"/>
              <w:rPr>
                <w:color w:val="000000"/>
                <w:sz w:val="20"/>
              </w:rPr>
            </w:pPr>
            <w:r>
              <w:rPr>
                <w:color w:val="000000"/>
                <w:sz w:val="20"/>
              </w:rPr>
              <w:t>004. Мерки за интеграция – езиково обучение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121EE5" w14:textId="77777777" w:rsidR="00A77B3E" w:rsidRDefault="00EE0A2B">
            <w:pPr>
              <w:spacing w:before="100"/>
              <w:jc w:val="right"/>
              <w:rPr>
                <w:color w:val="000000"/>
                <w:sz w:val="20"/>
              </w:rPr>
            </w:pPr>
            <w:r>
              <w:rPr>
                <w:color w:val="000000"/>
                <w:sz w:val="20"/>
              </w:rPr>
              <w:t>2 159 660,00</w:t>
            </w:r>
          </w:p>
        </w:tc>
      </w:tr>
      <w:tr w:rsidR="00723994" w14:paraId="4600F4D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6500E6" w14:textId="77777777" w:rsidR="00A77B3E" w:rsidRDefault="00EE0A2B">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E0300E" w14:textId="77777777" w:rsidR="00A77B3E" w:rsidRDefault="00EE0A2B">
            <w:pPr>
              <w:spacing w:before="100"/>
              <w:rPr>
                <w:color w:val="000000"/>
                <w:sz w:val="20"/>
              </w:rPr>
            </w:pPr>
            <w:r>
              <w:rPr>
                <w:color w:val="000000"/>
                <w:sz w:val="20"/>
              </w:rPr>
              <w:t>005. Мерки за интеграция – гражданско образование и друго обучение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A03AEA" w14:textId="77777777" w:rsidR="00A77B3E" w:rsidRDefault="00EE0A2B">
            <w:pPr>
              <w:spacing w:before="100"/>
              <w:jc w:val="right"/>
              <w:rPr>
                <w:color w:val="000000"/>
                <w:sz w:val="20"/>
              </w:rPr>
            </w:pPr>
            <w:r>
              <w:rPr>
                <w:color w:val="000000"/>
                <w:sz w:val="20"/>
              </w:rPr>
              <w:t>396 000,00</w:t>
            </w:r>
          </w:p>
        </w:tc>
      </w:tr>
      <w:tr w:rsidR="00723994" w14:paraId="4744066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BD5058" w14:textId="77777777" w:rsidR="00A77B3E" w:rsidRDefault="00EE0A2B">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C005F3" w14:textId="77777777" w:rsidR="00A77B3E" w:rsidRDefault="00EE0A2B">
            <w:pPr>
              <w:spacing w:before="100"/>
              <w:rPr>
                <w:color w:val="000000"/>
                <w:sz w:val="20"/>
              </w:rPr>
            </w:pPr>
            <w:r>
              <w:rPr>
                <w:color w:val="000000"/>
                <w:sz w:val="20"/>
              </w:rPr>
              <w:t>006. Мерки за интеграция – Представяне, участие, обмен в приемащото общество</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B12E25" w14:textId="77777777" w:rsidR="00A77B3E" w:rsidRDefault="00EE0A2B">
            <w:pPr>
              <w:spacing w:before="100"/>
              <w:jc w:val="right"/>
              <w:rPr>
                <w:color w:val="000000"/>
                <w:sz w:val="20"/>
              </w:rPr>
            </w:pPr>
            <w:r>
              <w:rPr>
                <w:color w:val="000000"/>
                <w:sz w:val="20"/>
              </w:rPr>
              <w:t>1 312 500,00</w:t>
            </w:r>
          </w:p>
        </w:tc>
      </w:tr>
      <w:tr w:rsidR="00723994" w14:paraId="499DD48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B56EEA" w14:textId="77777777" w:rsidR="00A77B3E" w:rsidRDefault="00EE0A2B">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6CB8E9" w14:textId="77777777" w:rsidR="00A77B3E" w:rsidRDefault="00EE0A2B">
            <w:pPr>
              <w:spacing w:before="100"/>
              <w:rPr>
                <w:color w:val="000000"/>
                <w:sz w:val="20"/>
              </w:rPr>
            </w:pPr>
            <w:r>
              <w:rPr>
                <w:color w:val="000000"/>
                <w:sz w:val="20"/>
              </w:rPr>
              <w:t>007. Мерки за интеграция – основни потребности</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FE9B70" w14:textId="77777777" w:rsidR="00A77B3E" w:rsidRDefault="00EE0A2B">
            <w:pPr>
              <w:spacing w:before="100"/>
              <w:jc w:val="right"/>
              <w:rPr>
                <w:color w:val="000000"/>
                <w:sz w:val="20"/>
              </w:rPr>
            </w:pPr>
            <w:r>
              <w:rPr>
                <w:color w:val="000000"/>
                <w:sz w:val="20"/>
              </w:rPr>
              <w:t>3 868 200,00</w:t>
            </w:r>
          </w:p>
        </w:tc>
      </w:tr>
      <w:tr w:rsidR="00723994" w14:paraId="5DAE3B1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EF2BC4" w14:textId="77777777" w:rsidR="00A77B3E" w:rsidRDefault="00EE0A2B">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6EC72E" w14:textId="77777777" w:rsidR="00A77B3E" w:rsidRDefault="00EE0A2B">
            <w:pPr>
              <w:spacing w:before="100"/>
              <w:rPr>
                <w:color w:val="000000"/>
                <w:sz w:val="20"/>
              </w:rPr>
            </w:pPr>
            <w:r>
              <w:rPr>
                <w:color w:val="000000"/>
                <w:sz w:val="20"/>
              </w:rPr>
              <w:t>008. Мерки преди заминаване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DC2CC5" w14:textId="77777777" w:rsidR="00A77B3E" w:rsidRDefault="00EE0A2B">
            <w:pPr>
              <w:spacing w:before="100"/>
              <w:jc w:val="right"/>
              <w:rPr>
                <w:color w:val="000000"/>
                <w:sz w:val="20"/>
              </w:rPr>
            </w:pPr>
            <w:r>
              <w:rPr>
                <w:color w:val="000000"/>
                <w:sz w:val="20"/>
              </w:rPr>
              <w:t>523 700,00</w:t>
            </w:r>
          </w:p>
        </w:tc>
      </w:tr>
      <w:tr w:rsidR="00723994" w14:paraId="7AA93CF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1E8E32" w14:textId="77777777" w:rsidR="00A77B3E" w:rsidRDefault="00EE0A2B">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41D2A8" w14:textId="77777777" w:rsidR="00A77B3E" w:rsidRDefault="00EE0A2B">
            <w:pPr>
              <w:spacing w:before="100"/>
              <w:rPr>
                <w:color w:val="000000"/>
                <w:sz w:val="20"/>
              </w:rPr>
            </w:pPr>
            <w:r>
              <w:rPr>
                <w:color w:val="000000"/>
                <w:sz w:val="20"/>
              </w:rPr>
              <w:t>009. Схеми за мобилност</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3B3D3E" w14:textId="77777777" w:rsidR="00A77B3E" w:rsidRDefault="00EE0A2B">
            <w:pPr>
              <w:spacing w:before="100"/>
              <w:jc w:val="right"/>
              <w:rPr>
                <w:color w:val="000000"/>
                <w:sz w:val="20"/>
              </w:rPr>
            </w:pPr>
            <w:r>
              <w:rPr>
                <w:color w:val="000000"/>
                <w:sz w:val="20"/>
              </w:rPr>
              <w:t>0.00</w:t>
            </w:r>
          </w:p>
        </w:tc>
      </w:tr>
      <w:tr w:rsidR="00723994" w14:paraId="377B0EB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9436C7" w14:textId="77777777" w:rsidR="00A77B3E" w:rsidRDefault="00EE0A2B">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065DE9" w14:textId="77777777" w:rsidR="00A77B3E" w:rsidRDefault="00EE0A2B">
            <w:pPr>
              <w:spacing w:before="100"/>
              <w:rPr>
                <w:color w:val="000000"/>
                <w:sz w:val="20"/>
              </w:rPr>
            </w:pPr>
            <w:r>
              <w:rPr>
                <w:color w:val="000000"/>
                <w:sz w:val="20"/>
              </w:rPr>
              <w:t>010. Придобиване на законно пребиваване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4DA9E2" w14:textId="77777777" w:rsidR="00A77B3E" w:rsidRDefault="00EE0A2B">
            <w:pPr>
              <w:spacing w:before="100"/>
              <w:jc w:val="right"/>
              <w:rPr>
                <w:color w:val="000000"/>
                <w:sz w:val="20"/>
              </w:rPr>
            </w:pPr>
            <w:r>
              <w:rPr>
                <w:color w:val="000000"/>
                <w:sz w:val="20"/>
              </w:rPr>
              <w:t>0.00</w:t>
            </w:r>
          </w:p>
        </w:tc>
      </w:tr>
      <w:tr w:rsidR="00723994" w14:paraId="37BC0E5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EFF3CC" w14:textId="77777777" w:rsidR="00A77B3E" w:rsidRDefault="00EE0A2B">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689BDF" w14:textId="77777777" w:rsidR="00A77B3E" w:rsidRDefault="00EE0A2B">
            <w:pPr>
              <w:spacing w:before="100"/>
              <w:rPr>
                <w:color w:val="000000"/>
                <w:sz w:val="20"/>
              </w:rPr>
            </w:pPr>
            <w:r>
              <w:rPr>
                <w:color w:val="000000"/>
                <w:sz w:val="20"/>
              </w:rPr>
              <w:t>011. Уязвими лица, включително непридружени непълнолетни лица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308DC8" w14:textId="77777777" w:rsidR="00A77B3E" w:rsidRDefault="00EE0A2B">
            <w:pPr>
              <w:spacing w:before="100"/>
              <w:jc w:val="right"/>
              <w:rPr>
                <w:color w:val="000000"/>
                <w:sz w:val="20"/>
              </w:rPr>
            </w:pPr>
            <w:r>
              <w:rPr>
                <w:color w:val="000000"/>
                <w:sz w:val="20"/>
              </w:rPr>
              <w:t>0.00</w:t>
            </w:r>
          </w:p>
        </w:tc>
      </w:tr>
      <w:tr w:rsidR="00723994" w14:paraId="5CB9C26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7F13E5" w14:textId="77777777" w:rsidR="00A77B3E" w:rsidRDefault="00EE0A2B">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2B0E6F" w14:textId="77777777" w:rsidR="00A77B3E" w:rsidRDefault="00EE0A2B">
            <w:pPr>
              <w:spacing w:before="100"/>
              <w:rPr>
                <w:color w:val="000000"/>
                <w:sz w:val="20"/>
              </w:rPr>
            </w:pPr>
            <w:r>
              <w:rPr>
                <w:color w:val="000000"/>
                <w:sz w:val="20"/>
              </w:rPr>
              <w:t>012. Оперативна поддръжка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D594C9" w14:textId="77777777" w:rsidR="00A77B3E" w:rsidRDefault="00EE0A2B">
            <w:pPr>
              <w:spacing w:before="100"/>
              <w:jc w:val="right"/>
              <w:rPr>
                <w:color w:val="000000"/>
                <w:sz w:val="20"/>
              </w:rPr>
            </w:pPr>
            <w:r>
              <w:rPr>
                <w:color w:val="000000"/>
                <w:sz w:val="20"/>
              </w:rPr>
              <w:t>0.00</w:t>
            </w:r>
          </w:p>
        </w:tc>
      </w:tr>
    </w:tbl>
    <w:p w14:paraId="5D63CC06" w14:textId="77777777" w:rsidR="00A77B3E" w:rsidRDefault="00A77B3E">
      <w:pPr>
        <w:spacing w:before="100"/>
        <w:rPr>
          <w:color w:val="000000"/>
          <w:sz w:val="20"/>
        </w:rPr>
        <w:sectPr w:rsidR="00A77B3E">
          <w:pgSz w:w="16838" w:h="11906" w:orient="landscape"/>
          <w:pgMar w:top="720" w:right="720" w:bottom="864" w:left="936" w:header="288" w:footer="72" w:gutter="0"/>
          <w:cols w:space="720"/>
          <w:noEndnote/>
          <w:docGrid w:linePitch="360"/>
        </w:sectPr>
      </w:pPr>
    </w:p>
    <w:p w14:paraId="5896DD84" w14:textId="77777777" w:rsidR="00A77B3E" w:rsidRDefault="00EE0A2B">
      <w:pPr>
        <w:pStyle w:val="Heading2"/>
        <w:spacing w:before="100" w:after="0"/>
        <w:rPr>
          <w:rFonts w:ascii="TimesNewRoman" w:eastAsia="TimesNewRoman" w:hAnsi="TimesNewRoman" w:cs="TimesNewRoman"/>
          <w:b w:val="0"/>
          <w:i w:val="0"/>
          <w:color w:val="000000"/>
          <w:sz w:val="24"/>
        </w:rPr>
      </w:pPr>
      <w:bookmarkStart w:id="16" w:name="_Toc256000079"/>
      <w:r>
        <w:rPr>
          <w:rFonts w:ascii="TimesNewRoman" w:eastAsia="TimesNewRoman" w:hAnsi="TimesNewRoman" w:cs="TimesNewRoman"/>
          <w:b w:val="0"/>
          <w:i w:val="0"/>
          <w:color w:val="000000"/>
          <w:sz w:val="24"/>
        </w:rPr>
        <w:lastRenderedPageBreak/>
        <w:t>2.1. Специфична цел: 3. Връщане</w:t>
      </w:r>
      <w:bookmarkEnd w:id="16"/>
    </w:p>
    <w:p w14:paraId="2EBCFAE7" w14:textId="77777777" w:rsidR="00A77B3E" w:rsidRDefault="00A77B3E">
      <w:pPr>
        <w:spacing w:before="100"/>
        <w:rPr>
          <w:rFonts w:ascii="TimesNewRoman" w:eastAsia="TimesNewRoman" w:hAnsi="TimesNewRoman" w:cs="TimesNewRoman"/>
          <w:color w:val="000000"/>
          <w:sz w:val="0"/>
        </w:rPr>
      </w:pPr>
    </w:p>
    <w:p w14:paraId="22F2439D" w14:textId="77777777" w:rsidR="00A77B3E" w:rsidRDefault="00EE0A2B">
      <w:pPr>
        <w:pStyle w:val="Heading3"/>
        <w:spacing w:before="100" w:after="0"/>
        <w:rPr>
          <w:rFonts w:ascii="TimesNewRoman" w:eastAsia="TimesNewRoman" w:hAnsi="TimesNewRoman" w:cs="TimesNewRoman"/>
          <w:b w:val="0"/>
          <w:color w:val="000000"/>
          <w:sz w:val="24"/>
        </w:rPr>
      </w:pPr>
      <w:bookmarkStart w:id="17" w:name="_Toc256000080"/>
      <w:r>
        <w:rPr>
          <w:rFonts w:ascii="TimesNewRoman" w:eastAsia="TimesNewRoman" w:hAnsi="TimesNewRoman" w:cs="TimesNewRoman"/>
          <w:b w:val="0"/>
          <w:color w:val="000000"/>
          <w:sz w:val="24"/>
        </w:rPr>
        <w:t>2.1.1. Описание на специфичната цел</w:t>
      </w:r>
      <w:bookmarkEnd w:id="17"/>
    </w:p>
    <w:p w14:paraId="4318B3C1" w14:textId="77777777" w:rsidR="00A77B3E" w:rsidRDefault="00A77B3E">
      <w:pPr>
        <w:spacing w:before="100"/>
        <w:rPr>
          <w:rFonts w:ascii="TimesNewRoman" w:eastAsia="TimesNewRoman" w:hAnsi="TimesNewRoman" w:cs="TimesNewRoman"/>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723994" w14:paraId="637A85CD"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B4C529" w14:textId="77777777" w:rsidR="00A77B3E" w:rsidRDefault="00A77B3E">
            <w:pPr>
              <w:spacing w:before="100"/>
              <w:rPr>
                <w:rFonts w:ascii="TimesNewRoman" w:eastAsia="TimesNewRoman" w:hAnsi="TimesNewRoman" w:cs="TimesNewRoman"/>
                <w:color w:val="000000"/>
                <w:sz w:val="0"/>
              </w:rPr>
            </w:pPr>
          </w:p>
          <w:p w14:paraId="22FC8BC4"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Миграционният натиск продължава да бъде сериозно предизвикателство. Поради географското си местоположение и безвизовия режим с повече от 60 държави от Близкия изток и Африка, Турция продължава да бъде пресечна точка на всички канали за нелегална миграция към държавите-членки на ЕС, включително тези към България. Концентрацията на значителен брой мигранти на територията на Турция и Северна Гърция би могла да катализира нови миграционни процеси към България.</w:t>
            </w:r>
          </w:p>
          <w:p w14:paraId="4D8A97D3"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По маршрута през Западните Балкани се наблюдава изместване в движението на мигрантите от гръцко-албанския коридор и централния сръбски коридор към границата между Босна и Херцеговина и Хърватия и в по-малка степен към границите на Сърбия с Унгария, Хърватия и Румъния. България поддържа готовност за своевременна реакция при установяване на нови тенденции или промени в маршрутите за движение на мигранти.</w:t>
            </w:r>
          </w:p>
          <w:p w14:paraId="58EF4747"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В София и Любимец са създадени специални домове за временно настаняване на чужденци (С</w:t>
            </w:r>
            <w:r>
              <w:rPr>
                <w:rFonts w:ascii="TimesNewRoman" w:eastAsia="TimesNewRoman" w:hAnsi="TimesNewRoman" w:cs="TimesNewRoman"/>
                <w:color w:val="000000"/>
                <w:lang w:val="bg-BG"/>
              </w:rPr>
              <w:t>Д</w:t>
            </w:r>
            <w:r>
              <w:rPr>
                <w:rFonts w:ascii="TimesNewRoman" w:eastAsia="TimesNewRoman" w:hAnsi="TimesNewRoman" w:cs="TimesNewRoman"/>
                <w:color w:val="000000"/>
              </w:rPr>
              <w:t>ВНЧ) към Дирекция „Миграция“. Това са центрове от затворен тип с общ капацитет 700 души. В тези центрове се настаняват граждани на трети страни, на които са наложени принудителни административни мерки за връщане в страната на произход, транзитна държава или сигурна трета държава и експулсиране, които възпрепятстват изпълнението на наложените мерки и за които съществува риск от укриване. Настаняването е с цел осигуряване на изпълнението на процедурите по принудително връщане като част от политиките на Съюза за гарантиране на сигурността. В тази връзка се извършват дейности за своевременно идентифициране на лицата и издаване на документи за пътуване/пасавани. За улесняване на изпълнението на всички тези дейности се осигурява писмен/устен превод от/на редки езици.</w:t>
            </w:r>
          </w:p>
          <w:p w14:paraId="6E8E4F86" w14:textId="77777777" w:rsidR="00A77B3E" w:rsidRDefault="00A77B3E">
            <w:pPr>
              <w:spacing w:before="100"/>
              <w:rPr>
                <w:rFonts w:ascii="TimesNewRoman" w:eastAsia="TimesNewRoman" w:hAnsi="TimesNewRoman" w:cs="TimesNewRoman"/>
                <w:color w:val="000000"/>
              </w:rPr>
            </w:pPr>
          </w:p>
          <w:p w14:paraId="648DB4A0"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С финансиране по грантовете по СМ ФУМИ 2014-2020 г. е увеличен капацитетът за настаняване на незаконно пребиваващи чужденци в </w:t>
            </w:r>
            <w:r>
              <w:rPr>
                <w:rFonts w:ascii="TimesNewRoman" w:eastAsia="TimesNewRoman" w:hAnsi="TimesNewRoman" w:cs="TimesNewRoman"/>
                <w:color w:val="000000"/>
                <w:lang w:val="bg-BG"/>
              </w:rPr>
              <w:t>С</w:t>
            </w:r>
            <w:r>
              <w:rPr>
                <w:rFonts w:ascii="TimesNewRoman" w:eastAsia="TimesNewRoman" w:hAnsi="TimesNewRoman" w:cs="TimesNewRoman"/>
                <w:color w:val="000000"/>
              </w:rPr>
              <w:t>ДВ</w:t>
            </w:r>
            <w:r>
              <w:rPr>
                <w:rFonts w:ascii="TimesNewRoman" w:eastAsia="TimesNewRoman" w:hAnsi="TimesNewRoman" w:cs="TimesNewRoman"/>
                <w:color w:val="000000"/>
                <w:lang w:val="bg-BG"/>
              </w:rPr>
              <w:t>Н</w:t>
            </w:r>
            <w:r>
              <w:rPr>
                <w:rFonts w:ascii="TimesNewRoman" w:eastAsia="TimesNewRoman" w:hAnsi="TimesNewRoman" w:cs="TimesNewRoman"/>
                <w:color w:val="000000"/>
              </w:rPr>
              <w:t xml:space="preserve">Ч. През 2018 г. МОМ предостави на Дирекция „Миграция“ контейнери за настаняване, които са монтирани в </w:t>
            </w:r>
            <w:r>
              <w:rPr>
                <w:rFonts w:ascii="TimesNewRoman" w:eastAsia="TimesNewRoman" w:hAnsi="TimesNewRoman" w:cs="TimesNewRoman"/>
                <w:color w:val="000000"/>
                <w:lang w:val="bg-BG"/>
              </w:rPr>
              <w:t>СД</w:t>
            </w:r>
            <w:r>
              <w:rPr>
                <w:rFonts w:ascii="TimesNewRoman" w:eastAsia="TimesNewRoman" w:hAnsi="TimesNewRoman" w:cs="TimesNewRoman"/>
                <w:color w:val="000000"/>
              </w:rPr>
              <w:t>В</w:t>
            </w:r>
            <w:r>
              <w:rPr>
                <w:rFonts w:ascii="TimesNewRoman" w:eastAsia="TimesNewRoman" w:hAnsi="TimesNewRoman" w:cs="TimesNewRoman"/>
                <w:color w:val="000000"/>
                <w:lang w:val="bg-BG"/>
              </w:rPr>
              <w:t>Н</w:t>
            </w:r>
            <w:r>
              <w:rPr>
                <w:rFonts w:ascii="TimesNewRoman" w:eastAsia="TimesNewRoman" w:hAnsi="TimesNewRoman" w:cs="TimesNewRoman"/>
                <w:color w:val="000000"/>
              </w:rPr>
              <w:t>Ч Любимец. През 2019 г. контейнерите бяха свързани към електрическата мрежа и към ВиК, отново с подкрепата по грантовете по СМ ФУМИ 2014-2020 г. и бяха подготвени за експлоатация при необходимост. По този начин капацитетът за настаняване на Дирекция „Миграция“ беше увеличен с 380 места.</w:t>
            </w:r>
          </w:p>
          <w:p w14:paraId="2B573C29"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С финансиране по линия на безвъзмездните средства по СМ ФУМИ 2014-2020 г. бяха доставени 500 контейнера за създаване на временен капацитет за непредвидени ситуации на контейнерни площадки в Любимец и Елхово.</w:t>
            </w:r>
          </w:p>
          <w:p w14:paraId="4CABC929"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Прилагането на процедурите за връщане предвижда ясни правила и критерии за управление на миграционните процеси. Основен инструмент за осъществяване на връщането на незаконно пребиваващи граждани на трети страни са споразуменията за реадмисия, подписани между ЕС и трети държави, както и такива, подписани двустранно. Съгласно българското законодателство, МВР и по-специално Главна дирекция „Гранична полиция“ е компетентният орган по отношение на тяхното прилагане на национално ниво.</w:t>
            </w:r>
          </w:p>
          <w:p w14:paraId="755102AE" w14:textId="77777777" w:rsidR="00A77B3E" w:rsidRDefault="00A77B3E">
            <w:pPr>
              <w:spacing w:before="100"/>
              <w:rPr>
                <w:rFonts w:ascii="TimesNewRoman" w:eastAsia="TimesNewRoman" w:hAnsi="TimesNewRoman" w:cs="TimesNewRoman"/>
                <w:color w:val="000000"/>
              </w:rPr>
            </w:pPr>
          </w:p>
          <w:p w14:paraId="3FE0D6C8"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В съответствие с приоритета на ЕС за увеличаване на броя на върнатите от ЕС чужденци, през последните години България регистрира добри резултати. Увеличава се броят на лицата, които отказват да сътрудничат за принудителното им връщане, което предполага полицейски ескорт. През 2019 г. са върнати общо 874 незаконно пребиваващи граждани на трети страни, което е с 2,2% по-малко от предходната година (894). През 2020 г., съгласно споразуменията за обратно приемане, в условията на нарастваща пандемична заплаха от COVID-19, общо 194 граждани на трети страни са върнати в техните страни на произход или транзитни преминавания. Операциите по връщане се извършват по суша и море, следвайки разпоредбите на споразуменията за обратно приемане за транзитно преминаване през трети страни или държави членки. Връщането на </w:t>
            </w:r>
            <w:r>
              <w:rPr>
                <w:rFonts w:ascii="TimesNewRoman" w:eastAsia="TimesNewRoman" w:hAnsi="TimesNewRoman" w:cs="TimesNewRoman"/>
                <w:color w:val="000000"/>
              </w:rPr>
              <w:lastRenderedPageBreak/>
              <w:t>незаконно пребиваващи чужденци се извършва единствено с СМ и НП по подкрепата на ФУМИ 2014-2020 и с подкрепата на EBCGA. Реализацията на тези дейности доведе до значителни резултати, като например ефективност на връщането в страната на произход, изграждане на капацитет на персонала на компетентния орган в областта на връщането, улесняване на процедурите за идентификация, установяване на комуникация с дипломатически мисии на трети страни на произход по въпросите на миграцията, подобрен капацитет за настаняване на граждани на трети страни, които не отговарят или вече не отговарят на условията за престой в страната. С финансирането по НП ФУМИ 2014-2020 до края на 2020 г. е подкрепено връщането и реинтеграцията на 748 граждани на трети страни, като са приложени и мерки за обучение на 124 участници от национални органи и неправителствени организации, работещи в областта на връщането. Освен това, с финансирането по СМ ФУМИ 2014-2020 безвъзмездни средства за периода 2016-2020 г. броят на подпомогнатите доброволни завръщания е 1523, от които 228 са получили и помощ за реинтеграция след доброволното си завръщане в съответната страна на произход.</w:t>
            </w:r>
          </w:p>
          <w:p w14:paraId="2F9C7D04"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През периода 2021-2024 г. с финансиране от ФУМИ са осъществени общо 706 принудителни връщания на граждани на трети страни. Приблизително 94% от броя на върнатите граждани на трети страни през 2024 г. са мъже на възраст между 18 и 60 години и това е стабилна тенденция през последните години. Предизвикателство за постигането на резултати през периода са нарастващите разходи за транспорт и административни такси за издаване на документи за пътуване на гражданите на трети страни и за длъжностните лица, които ги придружават.</w:t>
            </w:r>
          </w:p>
          <w:p w14:paraId="2174CB6F"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Броят на настанените граждани на трети страни в центровете за настаняване на граждани на трети страни на Дирекция „Миграция“ през последните четири години е: 2021 г. – 10285, 2022 г. – 15548 граждани на трети страни, 2023 г. – 17299 граждани на трети страни, 2024 г. – 8479 граждани на трети страни. През 2021 г. са върнати общо 770 граждани на трети страни, през 2022 г. – общо 583 граждани на трети страни, през 2023 г. – общо 565 граждани на трети страни и през 2024 г. – общо 1015 граждани на трети страни.</w:t>
            </w:r>
          </w:p>
          <w:p w14:paraId="18AD3805" w14:textId="77777777" w:rsidR="00A77B3E" w:rsidRDefault="00A77B3E">
            <w:pPr>
              <w:spacing w:before="100"/>
              <w:rPr>
                <w:rFonts w:ascii="TimesNewRoman" w:eastAsia="TimesNewRoman" w:hAnsi="TimesNewRoman" w:cs="TimesNewRoman"/>
                <w:color w:val="000000"/>
              </w:rPr>
            </w:pPr>
          </w:p>
          <w:p w14:paraId="484AD15C"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Голяма част от гражданите на трети страни не смеят да се завърнат в страната си на произход поради несигурност и очаквани трудности, свързани с реинтеграцията им в обществото от социално и икономическо естество. Освен това в повечето случаи мигрантите пристигат в България с недостатъчни средства и впоследствие изпитват невъзможност да осигурят нормална препитание за себе си и за семействата си. Особено трудно е положението на уязвимите лица (т.е. семейства с един родител, бременна жена, НБМ, мигранти със здравни нужди, оцелели от насилие (включително насилие, основано на пола) и др.). Те обикновено имат специфични нужди, които е трудно да бъдат задоволени поради липса на пари или липса на подкрепа от обществото/семейството/приятелите.</w:t>
            </w:r>
          </w:p>
          <w:p w14:paraId="794EA370"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На всички граждани на трети страни, които пребивават незаконно в страната, се налагат принудителни административни мерки (решение за връщане). В този контекст, ако не се завърнат доброволно, лицата от целевата група подлежат на прилагане на мерки за принудително връщане.</w:t>
            </w:r>
          </w:p>
          <w:p w14:paraId="58E10AE7"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Основните проблеми на гражданите на трети страни от целевите групи могат да бъдат обобщени, както следва:</w:t>
            </w:r>
          </w:p>
          <w:p w14:paraId="4C6C2CA3"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 липса на информация за възможностите за завръщане;</w:t>
            </w:r>
          </w:p>
          <w:p w14:paraId="6CF9588E"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 липса на документи за пътуване;</w:t>
            </w:r>
          </w:p>
          <w:p w14:paraId="34C73CA4"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 липса на финансови средства;</w:t>
            </w:r>
          </w:p>
          <w:p w14:paraId="5A6E3F8F"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 несигурност, свързана с успешната реинтеграция след евентуалното завръщане в страната на произход.</w:t>
            </w:r>
          </w:p>
          <w:p w14:paraId="528944F0"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За справяне с тези проблеми са предвидени дейности по специфичната цел за насърчаване на доброволното връщане и предоставяне на всеобхватна подкрепа за подготовката и прилагането на мерки за връщане, както и за реинтеграция след пристигането в съответната трета държава.</w:t>
            </w:r>
          </w:p>
          <w:p w14:paraId="77268BEB"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Планираните дейности са в съответствие с Директива 2008/115/ЕО, която набляга на гарантирането на определен срок за доброволно връщане на лица, на които са наложени принудителни административни мерки за депортиране, зачитайки правата и достойнството на гражданите на трети страни и изисквайки специфични мерки за посрещане на нуждите на уязвимите лица.</w:t>
            </w:r>
          </w:p>
          <w:p w14:paraId="1CD2A352"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За бързо адаптиране към евентуални промени в миграционните потоци е необходимо оптимизиране на процедурите за задържане и подобряване и поддържане на материално-техническите условия в центровете за задържане на възрастни хора.</w:t>
            </w:r>
          </w:p>
          <w:p w14:paraId="57D03876"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За да се осигурят подходящи условия за настаняване, се предвиждат оперативни разходи за </w:t>
            </w:r>
            <w:r w:rsidR="00C67C99">
              <w:rPr>
                <w:rFonts w:ascii="TimesNewRoman" w:eastAsia="TimesNewRoman" w:hAnsi="TimesNewRoman" w:cs="TimesNewRoman"/>
                <w:color w:val="000000"/>
                <w:lang w:val="bg-BG"/>
              </w:rPr>
              <w:t>СДВНЧ</w:t>
            </w:r>
            <w:r>
              <w:rPr>
                <w:rFonts w:ascii="TimesNewRoman" w:eastAsia="TimesNewRoman" w:hAnsi="TimesNewRoman" w:cs="TimesNewRoman"/>
                <w:color w:val="000000"/>
              </w:rPr>
              <w:t xml:space="preserve">. Финансирането по тази специфична цел е планирано за покриване на оперативните разходи и дейностите по поддръжка и ремонт в </w:t>
            </w:r>
            <w:r w:rsidR="00C67C99">
              <w:rPr>
                <w:rFonts w:ascii="TimesNewRoman" w:eastAsia="TimesNewRoman" w:hAnsi="TimesNewRoman" w:cs="TimesNewRoman"/>
                <w:color w:val="000000"/>
                <w:lang w:val="bg-BG"/>
              </w:rPr>
              <w:t>СДВНЧ</w:t>
            </w:r>
            <w:r>
              <w:rPr>
                <w:rFonts w:ascii="TimesNewRoman" w:eastAsia="TimesNewRoman" w:hAnsi="TimesNewRoman" w:cs="TimesNewRoman"/>
                <w:color w:val="000000"/>
              </w:rPr>
              <w:t xml:space="preserve">, изчислени въз основа на данни за заетостта на центровете през 2018-2019 г. Поради това през 2025 г., в рамките на средносрочния преглед на Програмата ФУМИ, в програмата беше включено допълнително финансиране за поддръжка и ремонт. Също така бяха отпуснати допълнителни средства за разходи за персонал за сигурност и за осъществяване на принудително връщане и превод. Средната заетост на </w:t>
            </w:r>
            <w:r w:rsidR="00C67C99">
              <w:rPr>
                <w:rFonts w:ascii="TimesNewRoman" w:eastAsia="TimesNewRoman" w:hAnsi="TimesNewRoman" w:cs="TimesNewRoman"/>
                <w:color w:val="000000"/>
                <w:lang w:val="bg-BG"/>
              </w:rPr>
              <w:t>СДВНЧ</w:t>
            </w:r>
            <w:r>
              <w:rPr>
                <w:rFonts w:ascii="TimesNewRoman" w:eastAsia="TimesNewRoman" w:hAnsi="TimesNewRoman" w:cs="TimesNewRoman"/>
                <w:color w:val="000000"/>
              </w:rPr>
              <w:t xml:space="preserve"> през 2019 г. е 26% (варира между 15% и 39%) и 37% през 2018 г. (варира между 23% и 59%). През декември 2021 г. средният процент на заетост е 56%, през декември 2022 г. – 66,4%, през декември 2023 г. – 36,5%, а през декември 2024 г. – 22,9%.</w:t>
            </w:r>
          </w:p>
          <w:p w14:paraId="6A12DF21"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Основни задачи в тази област са ефикасната подготовка на връщането, включително прилагането на мерки, водещи до издаване на решения за връщане, идентифицирането на граждани на трети страни, оптимизирането на процеса за планиране и прилагане на принудителни административни мерки. Увеличаването на броя на незаконно пребиваващите граждани на трети страни, които не сътрудничат в процеса на принудителното им връщане, изисква организиране на ескорт от полицейски служители и допълнителни финансови разходи.</w:t>
            </w:r>
          </w:p>
          <w:p w14:paraId="7106F424" w14:textId="77777777" w:rsidR="00A77B3E" w:rsidRDefault="00A77B3E">
            <w:pPr>
              <w:spacing w:before="100"/>
              <w:rPr>
                <w:rFonts w:ascii="TimesNewRoman" w:eastAsia="TimesNewRoman" w:hAnsi="TimesNewRoman" w:cs="TimesNewRoman"/>
                <w:color w:val="000000"/>
              </w:rPr>
            </w:pPr>
          </w:p>
          <w:p w14:paraId="32D0EC49"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Основен инструмент за осъществяване на принудително връщане е обратното приемане в съответствие със споразуменията за обратно приемане, сключени от ЕС с трети държави, както и с двустранните споразумения, сключени от България. Преди подписването на споразумение за обратно приемане с трета държава се отразяват подходящи гаранции за основните права. Освен споразуменията, сключени на ниво ЕС, България е сключила споразумения за обратно приемане с единадесет други държави: Обединеното кралство, Албания, Армения, Босна и Херцеговина, Грузия, Косово, Ливан, Сърбия, Северна Македония, Узбекистан, Украйна. Всяка година се подписват нови споразумения за обратно приемане с трети държави, генериращи миграция, или транзитни трети държави, което увеличава задълженията на националните органи.</w:t>
            </w:r>
          </w:p>
          <w:p w14:paraId="140572E1"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В хода на прилагането на мерките за принудително връщане се осъществява комуникация с дипломатическите/консулските представителства в Република България с цел установяване на самоличността, издаване на документи за пътуване и издаване на визи на чужденци, на които са наложени принудителни административни мерки по Закона за чужденците в Република България.</w:t>
            </w:r>
          </w:p>
          <w:p w14:paraId="3014EAB8"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През последните години отговорностите на служителите на Дирекция „Миграция“ за изпълнение на задачи, свързани с контрола и регулирането на миграционните процеси във вътрешността на страната, се увеличиха.</w:t>
            </w:r>
          </w:p>
          <w:p w14:paraId="2D7D6B8A"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С оглед на динамиката в изпълнението на дейностите по залавяне на незаконно пребиваващи в страната граждани на трети страни, е необходимо да се подобри капацитетът за адекватен контрол върху пребиваването на чужденци и за противодействие на незаконната миграция в страната. Служебните автомобили са необходими за контактите и срещите с посолствата при осъществяване на контрол върху пребиваването на гражданите на трети страни и извършване на проверки на адреси. Автомобилите се използват единствено за дейности, свързани с връщането, а не за гранично патрулиране или ежедневни дейности на националната полиция. На чужденци се осигурява ескорт до различни институции, съда, прокуратурата, за медицински консултации и за настаняване в болници. Всеки месец лицата, подали молба за международна закрила, се прехвърлят от </w:t>
            </w:r>
            <w:r w:rsidR="00C67C99">
              <w:rPr>
                <w:rFonts w:ascii="TimesNewRoman" w:eastAsia="TimesNewRoman" w:hAnsi="TimesNewRoman" w:cs="TimesNewRoman"/>
                <w:color w:val="000000"/>
                <w:lang w:val="bg-BG"/>
              </w:rPr>
              <w:t>СДВНЧ</w:t>
            </w:r>
            <w:r>
              <w:rPr>
                <w:rFonts w:ascii="TimesNewRoman" w:eastAsia="TimesNewRoman" w:hAnsi="TimesNewRoman" w:cs="TimesNewRoman"/>
                <w:color w:val="000000"/>
              </w:rPr>
              <w:t xml:space="preserve"> до центрове за ДАБ. Редовно се извършват седмични трансфери на </w:t>
            </w:r>
            <w:r>
              <w:rPr>
                <w:rFonts w:ascii="TimesNewRoman" w:eastAsia="TimesNewRoman" w:hAnsi="TimesNewRoman" w:cs="TimesNewRoman"/>
                <w:color w:val="000000"/>
              </w:rPr>
              <w:lastRenderedPageBreak/>
              <w:t xml:space="preserve">чужденци между </w:t>
            </w:r>
            <w:r w:rsidR="00C67C99">
              <w:rPr>
                <w:rFonts w:ascii="TimesNewRoman" w:eastAsia="TimesNewRoman" w:hAnsi="TimesNewRoman" w:cs="TimesNewRoman"/>
                <w:color w:val="000000"/>
                <w:lang w:val="bg-BG"/>
              </w:rPr>
              <w:t>СДВНЧ</w:t>
            </w:r>
            <w:r>
              <w:rPr>
                <w:rFonts w:ascii="TimesNewRoman" w:eastAsia="TimesNewRoman" w:hAnsi="TimesNewRoman" w:cs="TimesNewRoman"/>
                <w:color w:val="000000"/>
              </w:rPr>
              <w:t xml:space="preserve"> Любимец и </w:t>
            </w:r>
            <w:r w:rsidR="00C67C99">
              <w:rPr>
                <w:rFonts w:ascii="TimesNewRoman" w:eastAsia="TimesNewRoman" w:hAnsi="TimesNewRoman" w:cs="TimesNewRoman"/>
                <w:color w:val="000000"/>
                <w:lang w:val="bg-BG"/>
              </w:rPr>
              <w:t>СДВНЧ</w:t>
            </w:r>
            <w:r>
              <w:rPr>
                <w:rFonts w:ascii="TimesNewRoman" w:eastAsia="TimesNewRoman" w:hAnsi="TimesNewRoman" w:cs="TimesNewRoman"/>
                <w:color w:val="000000"/>
              </w:rPr>
              <w:t xml:space="preserve"> София с ескорт от автомобили. При изпълнение на наложена принудителна административна мярка се осигурява ескорт до съответния граничен контролно-пропускателен пункт. Последният път, когато наличните транспортни средства са модернизирани, е през юни 2019 г., когато са доставени 10 автомобила, а също така през 2018 г. МОМ е предоставила 9 микробуса на Дирекция „Миграция“. През периода 2018-2020 г. с финансиране от </w:t>
            </w:r>
            <w:r w:rsidR="00C67C99">
              <w:rPr>
                <w:rFonts w:ascii="TimesNewRoman" w:eastAsia="TimesNewRoman" w:hAnsi="TimesNewRoman" w:cs="TimesNewRoman"/>
                <w:color w:val="000000"/>
                <w:lang w:val="bg-BG"/>
              </w:rPr>
              <w:t>ФВС</w:t>
            </w:r>
            <w:r>
              <w:rPr>
                <w:rFonts w:ascii="TimesNewRoman" w:eastAsia="TimesNewRoman" w:hAnsi="TimesNewRoman" w:cs="TimesNewRoman"/>
                <w:color w:val="000000"/>
              </w:rPr>
              <w:t xml:space="preserve"> Гранична полиция е снабдена с 8 специализирани моторни превозни средства за транспортиране на граждани на трети страни с наложени решения за връщане.</w:t>
            </w:r>
          </w:p>
          <w:p w14:paraId="3F9346AE" w14:textId="77777777" w:rsidR="00A77B3E" w:rsidRDefault="00A77B3E">
            <w:pPr>
              <w:spacing w:before="100"/>
              <w:rPr>
                <w:rFonts w:ascii="TimesNewRoman" w:eastAsia="TimesNewRoman" w:hAnsi="TimesNewRoman" w:cs="TimesNewRoman"/>
                <w:color w:val="000000"/>
              </w:rPr>
            </w:pPr>
          </w:p>
          <w:p w14:paraId="100B47DF"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За осигуряване на изпълнението на задълженията на Република България по чл. 8, ал. 6 от Директива 2008/115/ЕО е необходимо да се осигури упражняване на контрол върху случаите на принудително връщане, за да се гарантира спазването на законовите процедури. Изпълнението на тези задължения е регламентирано от Закона за чужденците в Република България, а мониторингът върху прилагането на принудителните административни мерки може да се осъществява от Омбудсмана на Република България, както и от представители на национални и международни неправителствени организации. През периода 2014-2020 г. изпълнението на това действие се финансира по НП ФУМИ. За продължаване на изпълнението на това задължение, действието ще бъде включено в Програма ФУМИ 2021-2027 г.</w:t>
            </w:r>
          </w:p>
          <w:p w14:paraId="1BD0F481"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Що се отнася до основните нужди на настанените граждани на трети страни, националният бюджет на Министерството на вътрешните работи вече предвижда средства за специализирана здравна помощ от Медицинския институт – МВР, а в центровете за възрастни хора с увреждания е осигурено постоянно присъствие на медицински специалисти. Освен това, Дирекция „Миграция“ – МВР е сключила споразумения за предоставяне на правна помощ и информация на чужденци с Българския хелзинкски комитет, МОМ – България и Националното представителство на Върховния комисариат на ООН за бежанците (ВКБООН).</w:t>
            </w:r>
          </w:p>
          <w:p w14:paraId="3A40BF12" w14:textId="77777777" w:rsidR="00A77B3E" w:rsidRDefault="00A77B3E">
            <w:pPr>
              <w:spacing w:before="100"/>
              <w:rPr>
                <w:rFonts w:ascii="TimesNewRoman" w:eastAsia="TimesNewRoman" w:hAnsi="TimesNewRoman" w:cs="TimesNewRoman"/>
                <w:color w:val="000000"/>
              </w:rPr>
            </w:pPr>
          </w:p>
          <w:p w14:paraId="60EEF6F2"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Във връзка с необходимостта от по-ефективно прилагане на изискванията на Директива 2009/52/ЕО, предвиждаща минимални стандарти за санкции и мерки срещу работодатели на незаконно пребиваващи граждани на трети страни, е установена необходимост от повишаване на административния капацитет за проверки, свързани с незаконно наетите граждани на трети страни. Предвиждат се мерки за обучение – провеждане на курсове, семинари, обмен на опит и добри практики с други държави-членки на ЕС. В резултат на това ще бъдат обучавани 20 инспектори годишно.</w:t>
            </w:r>
          </w:p>
          <w:p w14:paraId="4A8480D9" w14:textId="77777777" w:rsidR="00A77B3E" w:rsidRDefault="00A77B3E">
            <w:pPr>
              <w:spacing w:before="100"/>
              <w:rPr>
                <w:rFonts w:ascii="TimesNewRoman" w:eastAsia="TimesNewRoman" w:hAnsi="TimesNewRoman" w:cs="TimesNewRoman"/>
                <w:color w:val="000000"/>
              </w:rPr>
            </w:pPr>
          </w:p>
          <w:p w14:paraId="584FE3FD"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Изпълнението на програмата ФУМИ през периода на финансиране 2021-2027 г. е насочено към поддържане на нивото на случаите на устойчиво връщане в съответствие с приоритетите на ЕС за повишаване на ефективността на връщането. Това ще допринесе и за достатъчен и адекватен капацитет на обучен персонал, изпълняващ процедурите за връщане, при спазване на най-добрите практики на ЕС, правата на човека и специфичните нужди на уязвимите мигранти. Поддържането на добра комуникация и сътрудничество с дипломатически мисии на трети държави ще има устойчиво положително въздействие и съществено значение за гарантиране на ефективното връщане.</w:t>
            </w:r>
          </w:p>
          <w:p w14:paraId="0BEA54FA"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Предвидените дейности продължават и надграждат проектите, изпълнявани по линия на ФУМИ 2014-2020 г., и мерките, финансирани по линия на безвъзмездните средства по ФУМИ СМ. Те допринасят за постигането на специфичната цел, посочена в член 3(2)(в), като се фокусират върху следните мерки за изпълнение:</w:t>
            </w:r>
          </w:p>
          <w:p w14:paraId="37CABC29" w14:textId="77777777" w:rsidR="00A77B3E" w:rsidRDefault="00A77B3E">
            <w:pPr>
              <w:spacing w:before="100"/>
              <w:rPr>
                <w:rFonts w:ascii="TimesNewRoman" w:eastAsia="TimesNewRoman" w:hAnsi="TimesNewRoman" w:cs="TimesNewRoman"/>
                <w:color w:val="000000"/>
              </w:rPr>
            </w:pPr>
          </w:p>
          <w:p w14:paraId="77A1335A"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(1) осигуряване на еднакво прилагане на достиженията на правото на Съюза и приоритетите на политиката по отношение на инфраструктурата, процедурите и услугите;</w:t>
            </w:r>
          </w:p>
          <w:p w14:paraId="7E3C0851"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Това ще се постигне чрез прилагането на следните действия:</w:t>
            </w:r>
          </w:p>
          <w:p w14:paraId="6017F8BF" w14:textId="77777777" w:rsidR="00A77B3E" w:rsidRDefault="00A77B3E">
            <w:pPr>
              <w:spacing w:before="100"/>
              <w:rPr>
                <w:rFonts w:ascii="TimesNewRoman" w:eastAsia="TimesNewRoman" w:hAnsi="TimesNewRoman" w:cs="TimesNewRoman"/>
                <w:color w:val="000000"/>
              </w:rPr>
            </w:pPr>
          </w:p>
          <w:p w14:paraId="12AE91D4"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 xml:space="preserve">- </w:t>
            </w:r>
            <w:r>
              <w:rPr>
                <w:rFonts w:ascii="TimesNewRoman" w:eastAsia="TimesNewRoman" w:hAnsi="TimesNewRoman" w:cs="TimesNewRoman"/>
                <w:b/>
                <w:bCs/>
                <w:color w:val="000000"/>
              </w:rPr>
              <w:t xml:space="preserve">Подобряване на системата за наблюдение на принудителното връщане </w:t>
            </w:r>
            <w:r>
              <w:rPr>
                <w:rFonts w:ascii="TimesNewRoman" w:eastAsia="TimesNewRoman" w:hAnsi="TimesNewRoman" w:cs="TimesNewRoman"/>
                <w:color w:val="000000"/>
              </w:rPr>
              <w:t>.</w:t>
            </w:r>
          </w:p>
          <w:p w14:paraId="4E1D2EB5" w14:textId="77777777" w:rsidR="00A77B3E" w:rsidRDefault="00A77B3E">
            <w:pPr>
              <w:spacing w:before="100"/>
              <w:rPr>
                <w:rFonts w:ascii="TimesNewRoman" w:eastAsia="TimesNewRoman" w:hAnsi="TimesNewRoman" w:cs="TimesNewRoman"/>
                <w:color w:val="000000"/>
              </w:rPr>
            </w:pPr>
          </w:p>
          <w:p w14:paraId="5095B48A"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b/>
                <w:bCs/>
                <w:color w:val="000000"/>
              </w:rPr>
              <w:t xml:space="preserve">- Осигуряване на оперативни разходи за </w:t>
            </w:r>
            <w:r w:rsidR="00C67C99">
              <w:rPr>
                <w:rFonts w:ascii="TimesNewRoman" w:eastAsia="TimesNewRoman" w:hAnsi="TimesNewRoman" w:cs="TimesNewRoman"/>
                <w:b/>
                <w:bCs/>
                <w:color w:val="000000"/>
                <w:lang w:val="bg-BG"/>
              </w:rPr>
              <w:t>СДВНЧ</w:t>
            </w:r>
            <w:r>
              <w:rPr>
                <w:rFonts w:ascii="TimesNewRoman" w:eastAsia="TimesNewRoman" w:hAnsi="TimesNewRoman" w:cs="TimesNewRoman"/>
                <w:b/>
                <w:bCs/>
                <w:color w:val="000000"/>
              </w:rPr>
              <w:t>.</w:t>
            </w:r>
          </w:p>
          <w:p w14:paraId="1A3BE35C" w14:textId="77777777" w:rsidR="00A77B3E" w:rsidRDefault="00A77B3E">
            <w:pPr>
              <w:spacing w:before="100"/>
              <w:rPr>
                <w:rFonts w:ascii="TimesNewRoman" w:eastAsia="TimesNewRoman" w:hAnsi="TimesNewRoman" w:cs="TimesNewRoman"/>
                <w:color w:val="000000"/>
              </w:rPr>
            </w:pPr>
          </w:p>
          <w:p w14:paraId="068DF001"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b/>
                <w:bCs/>
                <w:color w:val="000000"/>
              </w:rPr>
              <w:t>- Прилагане на индивидуализирани алтернативи на административното задържане на мигранти в България за по-ефективно решаване на техните случаи</w:t>
            </w:r>
          </w:p>
          <w:p w14:paraId="0E3D16F4" w14:textId="77777777" w:rsidR="00A77B3E" w:rsidRDefault="00A77B3E">
            <w:pPr>
              <w:spacing w:before="100"/>
              <w:rPr>
                <w:rFonts w:ascii="TimesNewRoman" w:eastAsia="TimesNewRoman" w:hAnsi="TimesNewRoman" w:cs="TimesNewRoman"/>
                <w:color w:val="000000"/>
              </w:rPr>
            </w:pPr>
          </w:p>
          <w:p w14:paraId="58A65825"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 </w:t>
            </w:r>
            <w:r>
              <w:rPr>
                <w:rFonts w:ascii="TimesNewRoman" w:eastAsia="TimesNewRoman" w:hAnsi="TimesNewRoman" w:cs="TimesNewRoman"/>
                <w:b/>
                <w:bCs/>
                <w:color w:val="000000"/>
              </w:rPr>
              <w:t xml:space="preserve">Оперативна подкрепа: </w:t>
            </w:r>
            <w:r>
              <w:rPr>
                <w:rFonts w:ascii="TimesNewRoman" w:eastAsia="TimesNewRoman" w:hAnsi="TimesNewRoman" w:cs="TimesNewRoman"/>
                <w:color w:val="000000"/>
              </w:rPr>
              <w:t>Предвиждат се следните дейности за оперативна подкрепа: разходи за персонал, разходи за услуги, като например поддръжка или подмяна на оборудване/ИТ системи; разходи за услуги, като например поддръжка и ремонт на инфраструктура. Предвидените дейности за оперативна подкрепа ще бъдат насочени към Дирекция „Миграция“ в качеството ѝ на национална специализирана структура на МВР за регулиране и контрол на миграционните процеси на чужденци, пребиваващи в България, включително прилагането на принудителни административни мерки, наложени на граждани на трети страни, както и към управлението и функционирането на центровете на Дирекция „Миграция“ във връзка с нейните функции. Тези дейности представляват обществена услуга за Съюза и ще допринесат за противодействие на незаконната миграция и осигуряване на ефективност на връщането и реадмисията в трети страни чрез подобряване на условията за настаняване, осигуряване на сигурност в центровете за настаняване на граждани на трети страни и транспортиране на граждани на трети страни.</w:t>
            </w:r>
          </w:p>
          <w:p w14:paraId="0090648D" w14:textId="77777777" w:rsidR="00A77B3E" w:rsidRDefault="00A77B3E">
            <w:pPr>
              <w:spacing w:before="100"/>
              <w:rPr>
                <w:rFonts w:ascii="TimesNewRoman" w:eastAsia="TimesNewRoman" w:hAnsi="TimesNewRoman" w:cs="TimesNewRoman"/>
                <w:color w:val="000000"/>
              </w:rPr>
            </w:pPr>
          </w:p>
          <w:p w14:paraId="3E6E3849"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(2) подкрепа на интегриран и координиран подход към управлението на връщането на ниво Съюз и държави членки, към развитието на капацитет за ефективно, достойно и устойчиво връщане и намаляване на стимулите за незаконна миграция;</w:t>
            </w:r>
          </w:p>
          <w:p w14:paraId="257211CD"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Това ще се постигне чрез прилагането на следните действия:</w:t>
            </w:r>
          </w:p>
          <w:p w14:paraId="2421BD24" w14:textId="77777777" w:rsidR="00A77B3E" w:rsidRDefault="00A77B3E">
            <w:pPr>
              <w:spacing w:before="100"/>
              <w:rPr>
                <w:rFonts w:ascii="TimesNewRoman" w:eastAsia="TimesNewRoman" w:hAnsi="TimesNewRoman" w:cs="TimesNewRoman"/>
                <w:color w:val="000000"/>
              </w:rPr>
            </w:pPr>
          </w:p>
          <w:p w14:paraId="3D61D57C"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b/>
                <w:bCs/>
                <w:color w:val="000000"/>
              </w:rPr>
              <w:t>-Прилагане на принудителни административни мерки, наложени на граждани на трети страни, и осигуряване на устен превод</w:t>
            </w:r>
          </w:p>
          <w:p w14:paraId="6D47D3DB" w14:textId="77777777" w:rsidR="00A77B3E" w:rsidRDefault="00A77B3E">
            <w:pPr>
              <w:spacing w:before="100"/>
              <w:rPr>
                <w:rFonts w:ascii="TimesNewRoman" w:eastAsia="TimesNewRoman" w:hAnsi="TimesNewRoman" w:cs="TimesNewRoman"/>
                <w:color w:val="000000"/>
              </w:rPr>
            </w:pPr>
          </w:p>
          <w:p w14:paraId="77976248"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 </w:t>
            </w:r>
            <w:r>
              <w:rPr>
                <w:rFonts w:ascii="TimesNewRoman" w:eastAsia="TimesNewRoman" w:hAnsi="TimesNewRoman" w:cs="TimesNewRoman"/>
                <w:b/>
                <w:bCs/>
                <w:color w:val="000000"/>
              </w:rPr>
              <w:t xml:space="preserve">Повишаване на административния капацитет на Инспекцията по труда </w:t>
            </w:r>
            <w:r>
              <w:rPr>
                <w:rFonts w:ascii="TimesNewRoman" w:eastAsia="TimesNewRoman" w:hAnsi="TimesNewRoman" w:cs="TimesNewRoman"/>
                <w:color w:val="000000"/>
              </w:rPr>
              <w:t>чрез обучения за по-ефективно прилагане на изискванията на Директива 2009/52/ЕО на Европейския парламент и на Съвета от 18 юни 2009 г.</w:t>
            </w:r>
          </w:p>
          <w:p w14:paraId="05A24963"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(3) подкрепа за подпомагане на доброволното връщане и реинтеграция, издирване на семейства и реинтеграция, като същевременно се зачитат най-добрите интереси на детето.</w:t>
            </w:r>
          </w:p>
          <w:p w14:paraId="3DE61DBA"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Това ще бъде постигнато чрез изпълнението на следните действия:</w:t>
            </w:r>
          </w:p>
          <w:p w14:paraId="400F3C57" w14:textId="77777777" w:rsidR="00A77B3E" w:rsidRDefault="00A77B3E">
            <w:pPr>
              <w:spacing w:before="100"/>
              <w:rPr>
                <w:rFonts w:ascii="TimesNewRoman" w:eastAsia="TimesNewRoman" w:hAnsi="TimesNewRoman" w:cs="TimesNewRoman"/>
                <w:color w:val="000000"/>
              </w:rPr>
            </w:pPr>
          </w:p>
          <w:p w14:paraId="238AB24B"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b/>
                <w:bCs/>
                <w:color w:val="000000"/>
              </w:rPr>
              <w:t>- Информиране и консултиране на граждани на трети страни за насърчаване на доброволното им завръщане, подобряване на кампаниите за запознаване и информиране. Прилагане на мерки за подпомагане на доброволното връщане и подкрепа за реинтеграция</w:t>
            </w:r>
            <w:r w:rsidR="00C67C99">
              <w:rPr>
                <w:rFonts w:ascii="TimesNewRoman" w:eastAsia="TimesNewRoman" w:hAnsi="TimesNewRoman" w:cs="TimesNewRoman"/>
                <w:b/>
                <w:bCs/>
                <w:color w:val="000000"/>
                <w:lang w:val="bg-BG"/>
              </w:rPr>
              <w:t xml:space="preserve"> (</w:t>
            </w:r>
            <w:r w:rsidR="00C67C99">
              <w:rPr>
                <w:rFonts w:ascii="TimesNewRoman" w:eastAsia="TimesNewRoman" w:hAnsi="TimesNewRoman" w:cs="TimesNewRoman"/>
                <w:b/>
                <w:bCs/>
                <w:color w:val="000000"/>
                <w:lang w:val="en-US"/>
              </w:rPr>
              <w:t>AVRR)</w:t>
            </w:r>
            <w:r>
              <w:rPr>
                <w:rFonts w:ascii="TimesNewRoman" w:eastAsia="TimesNewRoman" w:hAnsi="TimesNewRoman" w:cs="TimesNewRoman"/>
                <w:b/>
                <w:bCs/>
                <w:color w:val="000000"/>
              </w:rPr>
              <w:t xml:space="preserve"> след завръщането на територията на страната на връщане.</w:t>
            </w:r>
          </w:p>
          <w:p w14:paraId="1AE6B52D"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Мерките по AVRR ще предоставят подкрепа, наред с друго, за помощ за реинтеграция след доброволното завръщане. Това е планирано като помощ в натура, като се взема предвид специфичното положение на завърналите се лица, техните нужди, видът подкрепа, която искат, и др. Помощта за реинтеграция ще бъде координирана с офиса/партньорите на бъдещия бенефициент по проекта в страната на завръщане. Помощта за реинтеграция ще се предоставя с приоритет на мигранти в уязвимо положение.</w:t>
            </w:r>
          </w:p>
          <w:p w14:paraId="1FC12F3B"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Що се отнася до НБД, „най-добрите интереси на детето“ ще бъдат спазвани по време на целия процес на връщане и възстановяване. Различни участници ще бъдат включени в процеса на </w:t>
            </w:r>
            <w:r>
              <w:rPr>
                <w:rFonts w:ascii="TimesNewRoman" w:eastAsia="TimesNewRoman" w:hAnsi="TimesNewRoman" w:cs="TimesNewRoman"/>
                <w:color w:val="000000"/>
              </w:rPr>
              <w:lastRenderedPageBreak/>
              <w:t>вземане на решения по отношение на връщането на НБД (законният настойник, миграционните власти, семействата, когато е възможно, Държавната агенция за закрила на детето). Междуведомственият подход ще бъде подкрепен, за да се осигури най-ефективна помощ.</w:t>
            </w:r>
          </w:p>
          <w:p w14:paraId="513DA088"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По време на фазата на консултиране, на децата ще бъде представена информация на език, който те разбират, и по начин, съобразен с пола и възрастта, относно вариантите за бъдещето на детето, възможностите за помощ и подкрепа както в страната на произход, така и в приемащата страна. На децата ще бъде предоставена подкрепа в координация със законните им представители. На непълнолетните лица, които не са в процес на подпомагане, ще бъдат осигурени специфични грижи и предпазни мерки.</w:t>
            </w:r>
          </w:p>
          <w:p w14:paraId="444460CA"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Изпълнението на мерките ще бъде координирано с отговорния държавен орган и други агенции в процеса на издирване на семейства, за да се осигури приемане и грижи за НБМ в страната на завръщане.</w:t>
            </w:r>
          </w:p>
          <w:p w14:paraId="0E4207FE"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 </w:t>
            </w:r>
            <w:r w:rsidR="0002372A">
              <w:rPr>
                <w:rFonts w:ascii="TimesNewRoman" w:eastAsia="TimesNewRoman" w:hAnsi="TimesNewRoman" w:cs="TimesNewRoman"/>
                <w:b/>
                <w:bCs/>
                <w:color w:val="000000"/>
                <w:lang w:val="bg-BG"/>
              </w:rPr>
              <w:t>СД</w:t>
            </w:r>
            <w:r>
              <w:rPr>
                <w:rFonts w:ascii="TimesNewRoman" w:eastAsia="TimesNewRoman" w:hAnsi="TimesNewRoman" w:cs="TimesNewRoman"/>
                <w:color w:val="000000"/>
              </w:rPr>
              <w:t xml:space="preserve"> </w:t>
            </w:r>
            <w:r>
              <w:rPr>
                <w:rFonts w:ascii="TimesNewRoman" w:eastAsia="TimesNewRoman" w:hAnsi="TimesNewRoman" w:cs="TimesNewRoman"/>
                <w:b/>
                <w:bCs/>
                <w:color w:val="000000"/>
              </w:rPr>
              <w:t xml:space="preserve">ФУМИ/2024/SA/3.3.1/04 </w:t>
            </w:r>
            <w:r>
              <w:rPr>
                <w:rFonts w:ascii="TimesNewRoman" w:eastAsia="TimesNewRoman" w:hAnsi="TimesNewRoman" w:cs="TimesNewRoman"/>
                <w:color w:val="000000"/>
              </w:rPr>
              <w:t>- Повишаване на ефективността на националната система за стимулиране и подпомагане на завръщането на граждани на трети страни</w:t>
            </w:r>
          </w:p>
          <w:p w14:paraId="16395040" w14:textId="77777777" w:rsidR="00A77B3E" w:rsidRPr="0002372A" w:rsidRDefault="00EE0A2B">
            <w:pPr>
              <w:spacing w:before="100"/>
              <w:rPr>
                <w:rFonts w:ascii="TimesNewRoman" w:eastAsia="TimesNewRoman" w:hAnsi="TimesNewRoman" w:cs="TimesNewRoman"/>
                <w:color w:val="000000"/>
                <w:lang w:val="bg-BG"/>
              </w:rPr>
            </w:pPr>
            <w:r>
              <w:rPr>
                <w:rFonts w:ascii="TimesNewRoman" w:eastAsia="TimesNewRoman" w:hAnsi="TimesNewRoman" w:cs="TimesNewRoman"/>
                <w:color w:val="000000"/>
              </w:rPr>
              <w:t xml:space="preserve">- </w:t>
            </w:r>
            <w:r w:rsidR="0002372A">
              <w:rPr>
                <w:rFonts w:ascii="TimesNewRoman" w:eastAsia="TimesNewRoman" w:hAnsi="TimesNewRoman" w:cs="TimesNewRoman"/>
                <w:b/>
                <w:bCs/>
                <w:color w:val="000000"/>
                <w:lang w:val="bg-BG"/>
              </w:rPr>
              <w:t>СД П</w:t>
            </w:r>
            <w:r w:rsidR="0002372A">
              <w:rPr>
                <w:rFonts w:ascii="TimesNewRoman" w:eastAsia="TimesNewRoman" w:hAnsi="TimesNewRoman" w:cs="TimesNewRoman"/>
                <w:b/>
                <w:bCs/>
                <w:color w:val="000000"/>
              </w:rPr>
              <w:t>акт</w:t>
            </w:r>
            <w:r>
              <w:rPr>
                <w:rFonts w:ascii="TimesNewRoman" w:eastAsia="TimesNewRoman" w:hAnsi="TimesNewRoman" w:cs="TimesNewRoman"/>
                <w:b/>
                <w:bCs/>
                <w:color w:val="000000"/>
              </w:rPr>
              <w:t xml:space="preserve"> за миграция и убежище – </w:t>
            </w:r>
            <w:r w:rsidR="0002372A">
              <w:rPr>
                <w:rFonts w:ascii="TimesNewRoman" w:eastAsia="TimesNewRoman" w:hAnsi="TimesNewRoman" w:cs="TimesNewRoman"/>
                <w:b/>
                <w:bCs/>
                <w:color w:val="000000"/>
                <w:lang w:val="bg-BG"/>
              </w:rPr>
              <w:t>СЦ3</w:t>
            </w:r>
          </w:p>
          <w:p w14:paraId="2FC86AD6"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В рамките на средносрочния преглед на програмата ФУМИ финансирането е включено в специфичната цел за продължаване на подкрепата за текущите разходи</w:t>
            </w:r>
            <w:r w:rsidR="0002372A">
              <w:rPr>
                <w:rFonts w:ascii="TimesNewRoman" w:eastAsia="TimesNewRoman" w:hAnsi="TimesNewRoman" w:cs="TimesNewRoman"/>
                <w:color w:val="000000"/>
                <w:lang w:val="bg-BG"/>
              </w:rPr>
              <w:t xml:space="preserve"> в</w:t>
            </w:r>
            <w:r>
              <w:rPr>
                <w:rFonts w:ascii="TimesNewRoman" w:eastAsia="TimesNewRoman" w:hAnsi="TimesNewRoman" w:cs="TimesNewRoman"/>
                <w:color w:val="000000"/>
              </w:rPr>
              <w:t xml:space="preserve"> </w:t>
            </w:r>
            <w:r w:rsidR="0002372A">
              <w:rPr>
                <w:rFonts w:ascii="TimesNewRoman" w:eastAsia="TimesNewRoman" w:hAnsi="TimesNewRoman" w:cs="TimesNewRoman"/>
                <w:color w:val="000000"/>
                <w:lang w:val="bg-BG"/>
              </w:rPr>
              <w:t>СДВНЧ</w:t>
            </w:r>
            <w:r>
              <w:rPr>
                <w:rFonts w:ascii="TimesNewRoman" w:eastAsia="TimesNewRoman" w:hAnsi="TimesNewRoman" w:cs="TimesNewRoman"/>
                <w:color w:val="000000"/>
              </w:rPr>
              <w:t xml:space="preserve"> към дирекция „Миграция“, осигуряване на финансиране за подобряване на условията за настаняване и сигурността </w:t>
            </w:r>
            <w:r w:rsidR="0002372A">
              <w:rPr>
                <w:rFonts w:ascii="TimesNewRoman" w:eastAsia="TimesNewRoman" w:hAnsi="TimesNewRoman" w:cs="TimesNewRoman"/>
                <w:color w:val="000000"/>
                <w:lang w:val="bg-BG"/>
              </w:rPr>
              <w:t>в СДВНЧ</w:t>
            </w:r>
            <w:r>
              <w:rPr>
                <w:rFonts w:ascii="TimesNewRoman" w:eastAsia="TimesNewRoman" w:hAnsi="TimesNewRoman" w:cs="TimesNewRoman"/>
                <w:color w:val="000000"/>
              </w:rPr>
              <w:t xml:space="preserve"> (оперативна подкрепа), прилагане на принудителни административни мерки, наложени на граждани на трети страни, и осигуряване на устен превод. В рамките на специфичното действие на Пакта е отпуснато финансиране за създаване на Център за управление на връщането и за повишаване на техническия капацитет за ефективно прилагане на процедурите за връщане (доставка на 14 превозни средства).</w:t>
            </w:r>
          </w:p>
          <w:p w14:paraId="36B76770"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Разпределените средства по междинния преглед и специфичните действия на Пакта влияят върху целите на показателите на програмата ФУМИ. Броят на закупеното оборудване е увеличен 3,5 пъти, а броят на завърналите се лица, които са били изведени, е почти удвоен.</w:t>
            </w:r>
          </w:p>
          <w:p w14:paraId="35080968"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Очаквани резултати:</w:t>
            </w:r>
          </w:p>
          <w:p w14:paraId="105DACD5"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 внедрени ефикасни процедури за връщане</w:t>
            </w:r>
          </w:p>
          <w:p w14:paraId="74BC16E1"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 оказана подкрепа за завръщане и реинтеграция на граждани на трети страни</w:t>
            </w:r>
          </w:p>
          <w:p w14:paraId="6EC6BC15"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 подобрен капацитет за настаняване на граждани на трети страни, които пребивават незаконно в България</w:t>
            </w:r>
          </w:p>
          <w:p w14:paraId="592A65B1"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 подобрен капацитет за прилагане на процедури за връщане и/или идентифициране на граждани на трети страни.</w:t>
            </w:r>
          </w:p>
          <w:p w14:paraId="4A8C1F13" w14:textId="77777777" w:rsidR="00A77B3E" w:rsidRDefault="00A77B3E">
            <w:pPr>
              <w:spacing w:before="100"/>
              <w:rPr>
                <w:rFonts w:ascii="TimesNewRoman" w:eastAsia="TimesNewRoman" w:hAnsi="TimesNewRoman" w:cs="TimesNewRoman"/>
                <w:color w:val="000000"/>
                <w:sz w:val="6"/>
              </w:rPr>
            </w:pPr>
          </w:p>
          <w:p w14:paraId="7C910BB1" w14:textId="77777777" w:rsidR="00A77B3E" w:rsidRDefault="00A77B3E">
            <w:pPr>
              <w:spacing w:before="100"/>
              <w:rPr>
                <w:rFonts w:ascii="TimesNewRoman" w:eastAsia="TimesNewRoman" w:hAnsi="TimesNewRoman" w:cs="TimesNewRoman"/>
                <w:color w:val="000000"/>
                <w:sz w:val="6"/>
              </w:rPr>
            </w:pPr>
          </w:p>
        </w:tc>
      </w:tr>
    </w:tbl>
    <w:p w14:paraId="6E6BF717" w14:textId="77777777" w:rsidR="00A77B3E" w:rsidRDefault="00A77B3E">
      <w:pPr>
        <w:spacing w:before="100"/>
        <w:rPr>
          <w:rFonts w:ascii="TimesNewRoman" w:eastAsia="TimesNewRoman" w:hAnsi="TimesNewRoman" w:cs="TimesNewRoman"/>
          <w:color w:val="000000"/>
        </w:rPr>
        <w:sectPr w:rsidR="00A77B3E">
          <w:headerReference w:type="even" r:id="rId37"/>
          <w:headerReference w:type="default" r:id="rId38"/>
          <w:footerReference w:type="even" r:id="rId39"/>
          <w:footerReference w:type="default" r:id="rId40"/>
          <w:headerReference w:type="first" r:id="rId41"/>
          <w:footerReference w:type="first" r:id="rId42"/>
          <w:pgSz w:w="11906" w:h="16838"/>
          <w:pgMar w:top="720" w:right="936" w:bottom="864" w:left="720" w:header="0" w:footer="72" w:gutter="0"/>
          <w:cols w:space="720"/>
          <w:noEndnote/>
          <w:docGrid w:linePitch="360"/>
        </w:sectPr>
      </w:pPr>
    </w:p>
    <w:p w14:paraId="3EF32398" w14:textId="77777777" w:rsidR="00A77B3E" w:rsidRDefault="00EE0A2B">
      <w:pPr>
        <w:spacing w:before="100"/>
        <w:rPr>
          <w:color w:val="000000"/>
        </w:rPr>
      </w:pPr>
      <w:r>
        <w:rPr>
          <w:color w:val="000000"/>
        </w:rPr>
        <w:lastRenderedPageBreak/>
        <w:t>2.1. Специфична цел 3. Връщане</w:t>
      </w:r>
    </w:p>
    <w:p w14:paraId="10A949F9" w14:textId="77777777" w:rsidR="00A77B3E" w:rsidRDefault="00EE0A2B">
      <w:pPr>
        <w:pStyle w:val="Heading3"/>
        <w:spacing w:before="100" w:after="0"/>
        <w:rPr>
          <w:rFonts w:ascii="Times New Roman" w:hAnsi="Times New Roman" w:cs="Times New Roman"/>
          <w:b w:val="0"/>
          <w:color w:val="000000"/>
          <w:sz w:val="24"/>
        </w:rPr>
      </w:pPr>
      <w:bookmarkStart w:id="18" w:name="_Toc256000081"/>
      <w:r>
        <w:rPr>
          <w:rFonts w:ascii="Times New Roman" w:hAnsi="Times New Roman" w:cs="Times New Roman"/>
          <w:b w:val="0"/>
          <w:color w:val="000000"/>
          <w:sz w:val="24"/>
        </w:rPr>
        <w:t>2.1.2. Индикатори</w:t>
      </w:r>
      <w:bookmarkEnd w:id="18"/>
    </w:p>
    <w:p w14:paraId="4987A16F" w14:textId="77777777" w:rsidR="00A77B3E" w:rsidRDefault="00EE0A2B">
      <w:pPr>
        <w:spacing w:before="100"/>
        <w:rPr>
          <w:color w:val="000000"/>
          <w:sz w:val="12"/>
        </w:rPr>
      </w:pPr>
      <w:r>
        <w:rPr>
          <w:color w:val="000000"/>
        </w:rPr>
        <w:t>Позоваване: член 22, параграф 4, буква д) от РОР</w:t>
      </w:r>
    </w:p>
    <w:p w14:paraId="73490034" w14:textId="77777777" w:rsidR="00A77B3E" w:rsidRDefault="00EE0A2B">
      <w:pPr>
        <w:pStyle w:val="Heading4"/>
        <w:spacing w:before="100" w:after="0"/>
        <w:rPr>
          <w:b w:val="0"/>
          <w:color w:val="000000"/>
          <w:sz w:val="24"/>
        </w:rPr>
      </w:pPr>
      <w:bookmarkStart w:id="19" w:name="_Toc256000082"/>
      <w:r>
        <w:rPr>
          <w:b w:val="0"/>
          <w:color w:val="000000"/>
          <w:sz w:val="24"/>
        </w:rPr>
        <w:t>Таблица 1: Показатели за резултатите</w:t>
      </w:r>
      <w:bookmarkEnd w:id="19"/>
    </w:p>
    <w:p w14:paraId="5299C5C6"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6"/>
        <w:gridCol w:w="5593"/>
        <w:gridCol w:w="2017"/>
        <w:gridCol w:w="1593"/>
        <w:gridCol w:w="1593"/>
      </w:tblGrid>
      <w:tr w:rsidR="00723994" w14:paraId="392AB307" w14:textId="77777777">
        <w:trPr>
          <w:tblHeader/>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0451292" w14:textId="77777777" w:rsidR="00A77B3E" w:rsidRDefault="00EE0A2B">
            <w:pPr>
              <w:spacing w:before="100"/>
              <w:jc w:val="center"/>
              <w:rPr>
                <w:color w:val="000000"/>
                <w:sz w:val="20"/>
              </w:rPr>
            </w:pPr>
            <w:r>
              <w:rPr>
                <w:color w:val="000000"/>
                <w:sz w:val="20"/>
              </w:rPr>
              <w:t>Идентификационен номер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4E65C7C" w14:textId="77777777" w:rsidR="00A77B3E" w:rsidRDefault="00EE0A2B">
            <w:pPr>
              <w:spacing w:before="100"/>
              <w:jc w:val="center"/>
              <w:rPr>
                <w:color w:val="000000"/>
                <w:sz w:val="20"/>
              </w:rPr>
            </w:pPr>
            <w:r>
              <w:rPr>
                <w:color w:val="000000"/>
                <w:sz w:val="20"/>
              </w:rPr>
              <w:t>Индикатор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476B4D3" w14:textId="77777777" w:rsidR="00A77B3E" w:rsidRDefault="00EE0A2B">
            <w:pPr>
              <w:spacing w:before="100"/>
              <w:jc w:val="center"/>
              <w:rPr>
                <w:color w:val="000000"/>
                <w:sz w:val="20"/>
              </w:rPr>
            </w:pPr>
            <w:r>
              <w:rPr>
                <w:color w:val="000000"/>
                <w:sz w:val="20"/>
              </w:rPr>
              <w:t>Мерна единица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903C9D6" w14:textId="77777777" w:rsidR="00A77B3E" w:rsidRDefault="00EE0A2B">
            <w:pPr>
              <w:spacing w:before="100"/>
              <w:jc w:val="center"/>
              <w:rPr>
                <w:color w:val="000000"/>
                <w:sz w:val="20"/>
              </w:rPr>
            </w:pPr>
            <w:r>
              <w:rPr>
                <w:color w:val="000000"/>
                <w:sz w:val="20"/>
              </w:rPr>
              <w:t>Етап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162DFA6" w14:textId="77777777" w:rsidR="00A77B3E" w:rsidRDefault="00EE0A2B">
            <w:pPr>
              <w:spacing w:before="100"/>
              <w:jc w:val="center"/>
              <w:rPr>
                <w:color w:val="000000"/>
                <w:sz w:val="20"/>
              </w:rPr>
            </w:pPr>
            <w:r>
              <w:rPr>
                <w:color w:val="000000"/>
                <w:sz w:val="20"/>
              </w:rPr>
              <w:t>Цел (2029)</w:t>
            </w:r>
          </w:p>
        </w:tc>
      </w:tr>
      <w:tr w:rsidR="00723994" w14:paraId="413BA5E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622F793" w14:textId="77777777" w:rsidR="00A77B3E" w:rsidRDefault="00EE0A2B">
            <w:pPr>
              <w:spacing w:before="100"/>
              <w:rPr>
                <w:color w:val="000000"/>
                <w:sz w:val="20"/>
              </w:rPr>
            </w:pPr>
            <w:r>
              <w:rPr>
                <w:color w:val="000000"/>
                <w:sz w:val="20"/>
              </w:rPr>
              <w:t>О.3.1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68088AF" w14:textId="77777777" w:rsidR="00A77B3E" w:rsidRDefault="00EE0A2B">
            <w:pPr>
              <w:spacing w:before="100"/>
              <w:rPr>
                <w:color w:val="000000"/>
                <w:sz w:val="20"/>
              </w:rPr>
            </w:pPr>
            <w:r>
              <w:rPr>
                <w:color w:val="000000"/>
                <w:sz w:val="20"/>
              </w:rPr>
              <w:t>Брой участници в обучителни дейности</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C0889F3" w14:textId="77777777" w:rsidR="00A77B3E" w:rsidRDefault="00EE0A2B">
            <w:pPr>
              <w:spacing w:before="100"/>
              <w:rPr>
                <w:color w:val="000000"/>
                <w:sz w:val="20"/>
              </w:rPr>
            </w:pPr>
            <w:r>
              <w:rPr>
                <w:color w:val="000000"/>
                <w:sz w:val="20"/>
              </w:rPr>
              <w:t>номер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EA10A2B" w14:textId="77777777" w:rsidR="00A77B3E" w:rsidRDefault="00EE0A2B">
            <w:pPr>
              <w:spacing w:before="100"/>
              <w:jc w:val="right"/>
              <w:rPr>
                <w:color w:val="000000"/>
                <w:sz w:val="20"/>
              </w:rPr>
            </w:pPr>
            <w:r>
              <w:rPr>
                <w:color w:val="000000"/>
                <w:sz w:val="20"/>
              </w:rPr>
              <w:t>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30FD3C2" w14:textId="77777777" w:rsidR="00A77B3E" w:rsidRDefault="00EE0A2B">
            <w:pPr>
              <w:spacing w:before="100"/>
              <w:jc w:val="right"/>
              <w:rPr>
                <w:color w:val="000000"/>
                <w:sz w:val="20"/>
              </w:rPr>
            </w:pPr>
            <w:r>
              <w:rPr>
                <w:color w:val="000000"/>
                <w:sz w:val="20"/>
              </w:rPr>
              <w:t>80</w:t>
            </w:r>
          </w:p>
        </w:tc>
      </w:tr>
      <w:tr w:rsidR="00723994" w14:paraId="0BEBA47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8583C1A" w14:textId="77777777" w:rsidR="00A77B3E" w:rsidRDefault="00EE0A2B">
            <w:pPr>
              <w:spacing w:before="100"/>
              <w:rPr>
                <w:color w:val="000000"/>
                <w:sz w:val="20"/>
              </w:rPr>
            </w:pPr>
            <w:r>
              <w:rPr>
                <w:color w:val="000000"/>
                <w:sz w:val="20"/>
              </w:rPr>
              <w:t>О.3.2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C06793A" w14:textId="77777777" w:rsidR="00A77B3E" w:rsidRDefault="00EE0A2B">
            <w:pPr>
              <w:spacing w:before="100"/>
              <w:rPr>
                <w:color w:val="000000"/>
                <w:sz w:val="20"/>
              </w:rPr>
            </w:pPr>
            <w:r>
              <w:rPr>
                <w:color w:val="000000"/>
                <w:sz w:val="20"/>
              </w:rPr>
              <w:t>Брой закупено оборудване, включително брой закупени/актуализирани ИКТ системи</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F65805B" w14:textId="77777777" w:rsidR="00A77B3E" w:rsidRDefault="00EE0A2B">
            <w:pPr>
              <w:spacing w:before="100"/>
              <w:rPr>
                <w:color w:val="000000"/>
                <w:sz w:val="20"/>
              </w:rPr>
            </w:pPr>
            <w:r>
              <w:rPr>
                <w:color w:val="000000"/>
                <w:sz w:val="20"/>
              </w:rPr>
              <w:t>номер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3FA1E8A" w14:textId="77777777" w:rsidR="00A77B3E" w:rsidRDefault="00EE0A2B">
            <w:pPr>
              <w:spacing w:before="100"/>
              <w:jc w:val="right"/>
              <w:rPr>
                <w:color w:val="000000"/>
                <w:sz w:val="20"/>
              </w:rPr>
            </w:pPr>
            <w:r>
              <w:rPr>
                <w:color w:val="000000"/>
                <w:sz w:val="20"/>
              </w:rPr>
              <w:t>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D727B28" w14:textId="77777777" w:rsidR="00A77B3E" w:rsidRDefault="00EE0A2B">
            <w:pPr>
              <w:spacing w:before="100"/>
              <w:jc w:val="right"/>
              <w:rPr>
                <w:color w:val="000000"/>
                <w:sz w:val="20"/>
              </w:rPr>
            </w:pPr>
            <w:r>
              <w:rPr>
                <w:color w:val="000000"/>
                <w:sz w:val="20"/>
              </w:rPr>
              <w:t>18</w:t>
            </w:r>
          </w:p>
        </w:tc>
      </w:tr>
      <w:tr w:rsidR="00723994" w14:paraId="479EAC7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A106701" w14:textId="77777777" w:rsidR="00A77B3E" w:rsidRDefault="00EE0A2B">
            <w:pPr>
              <w:spacing w:before="100"/>
              <w:rPr>
                <w:color w:val="000000"/>
                <w:sz w:val="20"/>
              </w:rPr>
            </w:pPr>
            <w:r>
              <w:rPr>
                <w:color w:val="000000"/>
                <w:sz w:val="20"/>
              </w:rPr>
              <w:t>О.3.3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24C770B" w14:textId="77777777" w:rsidR="00A77B3E" w:rsidRDefault="00EE0A2B">
            <w:pPr>
              <w:spacing w:before="100"/>
              <w:rPr>
                <w:color w:val="000000"/>
                <w:sz w:val="20"/>
              </w:rPr>
            </w:pPr>
            <w:r>
              <w:rPr>
                <w:color w:val="000000"/>
                <w:sz w:val="20"/>
              </w:rPr>
              <w:t>Брой завърнали се лица, получили помощ за реинтеграция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A7FA722" w14:textId="77777777" w:rsidR="00A77B3E" w:rsidRDefault="00EE0A2B">
            <w:pPr>
              <w:spacing w:before="100"/>
              <w:rPr>
                <w:color w:val="000000"/>
                <w:sz w:val="20"/>
              </w:rPr>
            </w:pPr>
            <w:r>
              <w:rPr>
                <w:color w:val="000000"/>
                <w:sz w:val="20"/>
              </w:rPr>
              <w:t>номер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E3B776E" w14:textId="77777777" w:rsidR="00A77B3E" w:rsidRDefault="00EE0A2B">
            <w:pPr>
              <w:spacing w:before="100"/>
              <w:jc w:val="right"/>
              <w:rPr>
                <w:color w:val="000000"/>
                <w:sz w:val="20"/>
              </w:rPr>
            </w:pPr>
            <w:r>
              <w:rPr>
                <w:color w:val="000000"/>
                <w:sz w:val="20"/>
              </w:rPr>
              <w:t>17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A6173A7" w14:textId="77777777" w:rsidR="00A77B3E" w:rsidRDefault="00EE0A2B">
            <w:pPr>
              <w:spacing w:before="100"/>
              <w:jc w:val="right"/>
              <w:rPr>
                <w:color w:val="000000"/>
                <w:sz w:val="20"/>
              </w:rPr>
            </w:pPr>
            <w:r>
              <w:rPr>
                <w:color w:val="000000"/>
                <w:sz w:val="20"/>
              </w:rPr>
              <w:t>1550</w:t>
            </w:r>
          </w:p>
        </w:tc>
      </w:tr>
      <w:tr w:rsidR="00723994" w14:paraId="6C4E8E2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D4AAF5D" w14:textId="77777777" w:rsidR="00A77B3E" w:rsidRDefault="00EE0A2B">
            <w:pPr>
              <w:spacing w:before="100"/>
              <w:rPr>
                <w:color w:val="000000"/>
                <w:sz w:val="20"/>
              </w:rPr>
            </w:pPr>
            <w:r>
              <w:rPr>
                <w:color w:val="000000"/>
                <w:sz w:val="20"/>
              </w:rPr>
              <w:t>О.3.4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53658BB" w14:textId="77777777" w:rsidR="00A77B3E" w:rsidRDefault="00EE0A2B">
            <w:pPr>
              <w:spacing w:before="100"/>
              <w:rPr>
                <w:color w:val="000000"/>
                <w:sz w:val="20"/>
              </w:rPr>
            </w:pPr>
            <w:r>
              <w:rPr>
                <w:color w:val="000000"/>
                <w:sz w:val="20"/>
              </w:rPr>
              <w:t>Брой създадени места в центрове за задържане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0F6BE86" w14:textId="77777777" w:rsidR="00A77B3E" w:rsidRDefault="00EE0A2B">
            <w:pPr>
              <w:spacing w:before="100"/>
              <w:rPr>
                <w:color w:val="000000"/>
                <w:sz w:val="20"/>
              </w:rPr>
            </w:pPr>
            <w:r>
              <w:rPr>
                <w:color w:val="000000"/>
                <w:sz w:val="20"/>
              </w:rPr>
              <w:t>номер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4F7E430" w14:textId="77777777" w:rsidR="00A77B3E" w:rsidRDefault="00EE0A2B">
            <w:pPr>
              <w:spacing w:before="100"/>
              <w:jc w:val="right"/>
              <w:rPr>
                <w:color w:val="000000"/>
                <w:sz w:val="20"/>
              </w:rPr>
            </w:pPr>
            <w:r>
              <w:rPr>
                <w:color w:val="000000"/>
                <w:sz w:val="20"/>
              </w:rPr>
              <w:t>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4F9C02F" w14:textId="77777777" w:rsidR="00A77B3E" w:rsidRDefault="00EE0A2B">
            <w:pPr>
              <w:spacing w:before="100"/>
              <w:jc w:val="right"/>
              <w:rPr>
                <w:color w:val="000000"/>
                <w:sz w:val="20"/>
              </w:rPr>
            </w:pPr>
            <w:r>
              <w:rPr>
                <w:color w:val="000000"/>
                <w:sz w:val="20"/>
              </w:rPr>
              <w:t>0</w:t>
            </w:r>
          </w:p>
        </w:tc>
      </w:tr>
      <w:tr w:rsidR="00723994" w14:paraId="2FAEC2E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CAF9DFF" w14:textId="77777777" w:rsidR="00A77B3E" w:rsidRDefault="00EE0A2B">
            <w:pPr>
              <w:spacing w:before="100"/>
              <w:rPr>
                <w:color w:val="000000"/>
                <w:sz w:val="20"/>
              </w:rPr>
            </w:pPr>
            <w:r>
              <w:rPr>
                <w:color w:val="000000"/>
                <w:sz w:val="20"/>
              </w:rPr>
              <w:t>О.3.5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84D0BFE" w14:textId="77777777" w:rsidR="00A77B3E" w:rsidRDefault="00EE0A2B">
            <w:pPr>
              <w:spacing w:before="100"/>
              <w:rPr>
                <w:color w:val="000000"/>
                <w:sz w:val="20"/>
              </w:rPr>
            </w:pPr>
            <w:r>
              <w:rPr>
                <w:color w:val="000000"/>
                <w:sz w:val="20"/>
              </w:rPr>
              <w:t>Брой места в ремонтирани/реновирани центрове за задържане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ED1C645" w14:textId="77777777" w:rsidR="00A77B3E" w:rsidRDefault="00EE0A2B">
            <w:pPr>
              <w:spacing w:before="100"/>
              <w:rPr>
                <w:color w:val="000000"/>
                <w:sz w:val="20"/>
              </w:rPr>
            </w:pPr>
            <w:r>
              <w:rPr>
                <w:color w:val="000000"/>
                <w:sz w:val="20"/>
              </w:rPr>
              <w:t>номер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0B02B58" w14:textId="77777777" w:rsidR="00A77B3E" w:rsidRDefault="00EE0A2B">
            <w:pPr>
              <w:spacing w:before="100"/>
              <w:jc w:val="right"/>
              <w:rPr>
                <w:color w:val="000000"/>
                <w:sz w:val="20"/>
              </w:rPr>
            </w:pPr>
            <w:r>
              <w:rPr>
                <w:color w:val="000000"/>
                <w:sz w:val="20"/>
              </w:rPr>
              <w:t>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17BA67B" w14:textId="77777777" w:rsidR="00A77B3E" w:rsidRDefault="00EE0A2B">
            <w:pPr>
              <w:spacing w:before="100"/>
              <w:jc w:val="right"/>
              <w:rPr>
                <w:color w:val="000000"/>
                <w:sz w:val="20"/>
              </w:rPr>
            </w:pPr>
            <w:r>
              <w:rPr>
                <w:color w:val="000000"/>
                <w:sz w:val="20"/>
              </w:rPr>
              <w:t>700</w:t>
            </w:r>
          </w:p>
        </w:tc>
      </w:tr>
    </w:tbl>
    <w:p w14:paraId="5E7717DD" w14:textId="77777777" w:rsidR="00A77B3E" w:rsidRDefault="00EE0A2B">
      <w:pPr>
        <w:spacing w:before="100"/>
        <w:rPr>
          <w:color w:val="000000"/>
        </w:rPr>
      </w:pPr>
      <w:r>
        <w:rPr>
          <w:color w:val="000000"/>
          <w:sz w:val="20"/>
        </w:rPr>
        <w:br w:type="page"/>
      </w:r>
      <w:r>
        <w:rPr>
          <w:color w:val="000000"/>
        </w:rPr>
        <w:lastRenderedPageBreak/>
        <w:t>2.1. Специфична цел 3. Връщане</w:t>
      </w:r>
    </w:p>
    <w:p w14:paraId="19DB693B" w14:textId="77777777" w:rsidR="00A77B3E" w:rsidRDefault="00EE0A2B">
      <w:pPr>
        <w:spacing w:before="100"/>
        <w:rPr>
          <w:color w:val="000000"/>
          <w:sz w:val="0"/>
        </w:rPr>
      </w:pPr>
      <w:r>
        <w:rPr>
          <w:color w:val="000000"/>
        </w:rPr>
        <w:t>2.1.2. Индикатори</w:t>
      </w:r>
    </w:p>
    <w:p w14:paraId="1160BE26" w14:textId="77777777" w:rsidR="00A77B3E" w:rsidRDefault="00EE0A2B">
      <w:pPr>
        <w:spacing w:before="100"/>
        <w:rPr>
          <w:color w:val="000000"/>
          <w:sz w:val="12"/>
        </w:rPr>
      </w:pPr>
      <w:r>
        <w:rPr>
          <w:color w:val="000000"/>
        </w:rPr>
        <w:t>Позоваване: член 22, параграф 4, буква д) от РОР</w:t>
      </w:r>
    </w:p>
    <w:p w14:paraId="476B76BF" w14:textId="77777777" w:rsidR="00A77B3E" w:rsidRDefault="00EE0A2B">
      <w:pPr>
        <w:pStyle w:val="Heading4"/>
        <w:spacing w:before="100" w:after="0"/>
        <w:rPr>
          <w:b w:val="0"/>
          <w:color w:val="000000"/>
          <w:sz w:val="24"/>
        </w:rPr>
      </w:pPr>
      <w:bookmarkStart w:id="20" w:name="_Toc256000083"/>
      <w:r>
        <w:rPr>
          <w:b w:val="0"/>
          <w:color w:val="000000"/>
          <w:sz w:val="24"/>
        </w:rPr>
        <w:t>Таблица 2: Показатели за резултати</w:t>
      </w:r>
      <w:bookmarkEnd w:id="20"/>
    </w:p>
    <w:p w14:paraId="00B7470C"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2276"/>
        <w:gridCol w:w="1517"/>
        <w:gridCol w:w="1517"/>
        <w:gridCol w:w="1517"/>
        <w:gridCol w:w="1517"/>
        <w:gridCol w:w="1517"/>
        <w:gridCol w:w="1517"/>
        <w:gridCol w:w="1517"/>
        <w:gridCol w:w="1517"/>
      </w:tblGrid>
      <w:tr w:rsidR="00723994" w14:paraId="289D20A2" w14:textId="77777777">
        <w:trPr>
          <w:tblHeader/>
        </w:trPr>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22D39AE" w14:textId="77777777" w:rsidR="00A77B3E" w:rsidRDefault="00EE0A2B">
            <w:pPr>
              <w:spacing w:before="100"/>
              <w:jc w:val="center"/>
              <w:rPr>
                <w:color w:val="000000"/>
                <w:sz w:val="20"/>
              </w:rPr>
            </w:pPr>
            <w:r>
              <w:rPr>
                <w:color w:val="000000"/>
                <w:sz w:val="20"/>
              </w:rPr>
              <w:t>Идентификационен номер</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C0A8307" w14:textId="77777777" w:rsidR="00A77B3E" w:rsidRDefault="00EE0A2B">
            <w:pPr>
              <w:spacing w:before="100"/>
              <w:jc w:val="center"/>
              <w:rPr>
                <w:color w:val="000000"/>
                <w:sz w:val="20"/>
              </w:rPr>
            </w:pPr>
            <w:r>
              <w:rPr>
                <w:color w:val="000000"/>
                <w:sz w:val="20"/>
              </w:rPr>
              <w:t>Индикатор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A519F6F" w14:textId="77777777" w:rsidR="00A77B3E" w:rsidRDefault="00EE0A2B">
            <w:pPr>
              <w:spacing w:before="100"/>
              <w:jc w:val="center"/>
              <w:rPr>
                <w:color w:val="000000"/>
                <w:sz w:val="20"/>
              </w:rPr>
            </w:pPr>
            <w:r>
              <w:rPr>
                <w:color w:val="000000"/>
                <w:sz w:val="20"/>
              </w:rPr>
              <w:t>Мерна единица</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85E5F88" w14:textId="77777777" w:rsidR="00A77B3E" w:rsidRDefault="00EE0A2B">
            <w:pPr>
              <w:spacing w:before="100"/>
              <w:jc w:val="center"/>
              <w:rPr>
                <w:color w:val="000000"/>
                <w:sz w:val="20"/>
              </w:rPr>
            </w:pPr>
            <w:r>
              <w:rPr>
                <w:color w:val="000000"/>
                <w:sz w:val="20"/>
              </w:rPr>
              <w:t>Базова линия</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783C810" w14:textId="77777777" w:rsidR="00A77B3E" w:rsidRDefault="00EE0A2B">
            <w:pPr>
              <w:spacing w:before="100"/>
              <w:jc w:val="center"/>
              <w:rPr>
                <w:color w:val="000000"/>
                <w:sz w:val="20"/>
              </w:rPr>
            </w:pPr>
            <w:r>
              <w:rPr>
                <w:color w:val="000000"/>
                <w:sz w:val="20"/>
              </w:rPr>
              <w:t>Мерна единица за базова линия</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59ED79E" w14:textId="77777777" w:rsidR="00A77B3E" w:rsidRDefault="00EE0A2B">
            <w:pPr>
              <w:spacing w:before="100"/>
              <w:jc w:val="center"/>
              <w:rPr>
                <w:color w:val="000000"/>
                <w:sz w:val="20"/>
              </w:rPr>
            </w:pPr>
            <w:r>
              <w:rPr>
                <w:color w:val="000000"/>
                <w:sz w:val="20"/>
              </w:rPr>
              <w:t>Референтна(и) година(и)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9C29F04" w14:textId="77777777" w:rsidR="00A77B3E" w:rsidRDefault="00EE0A2B">
            <w:pPr>
              <w:spacing w:before="100"/>
              <w:jc w:val="center"/>
              <w:rPr>
                <w:color w:val="000000"/>
                <w:sz w:val="20"/>
              </w:rPr>
            </w:pPr>
            <w:r>
              <w:rPr>
                <w:color w:val="000000"/>
                <w:sz w:val="20"/>
              </w:rPr>
              <w:t>Цел (2029)</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A5B3565" w14:textId="77777777" w:rsidR="00A77B3E" w:rsidRDefault="00EE0A2B">
            <w:pPr>
              <w:spacing w:before="100"/>
              <w:jc w:val="center"/>
              <w:rPr>
                <w:color w:val="000000"/>
                <w:sz w:val="20"/>
              </w:rPr>
            </w:pPr>
            <w:r>
              <w:rPr>
                <w:color w:val="000000"/>
                <w:sz w:val="20"/>
              </w:rPr>
              <w:t>Мерна единица за цел</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81C2E79" w14:textId="77777777" w:rsidR="00A77B3E" w:rsidRDefault="00EE0A2B">
            <w:pPr>
              <w:spacing w:before="100"/>
              <w:jc w:val="center"/>
              <w:rPr>
                <w:color w:val="000000"/>
                <w:sz w:val="20"/>
              </w:rPr>
            </w:pPr>
            <w:r>
              <w:rPr>
                <w:color w:val="000000"/>
                <w:sz w:val="20"/>
              </w:rPr>
              <w:t>Източник на данни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C2F9612" w14:textId="77777777" w:rsidR="00A77B3E" w:rsidRDefault="00EE0A2B">
            <w:pPr>
              <w:spacing w:before="100"/>
              <w:rPr>
                <w:color w:val="000000"/>
                <w:sz w:val="20"/>
              </w:rPr>
            </w:pPr>
            <w:r>
              <w:rPr>
                <w:color w:val="000000"/>
                <w:sz w:val="20"/>
              </w:rPr>
              <w:t>Коментари</w:t>
            </w:r>
          </w:p>
        </w:tc>
      </w:tr>
      <w:tr w:rsidR="00723994" w14:paraId="399A901E"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F9B680" w14:textId="77777777" w:rsidR="00A77B3E" w:rsidRDefault="00EE0A2B">
            <w:pPr>
              <w:spacing w:before="100"/>
              <w:rPr>
                <w:color w:val="000000"/>
                <w:sz w:val="20"/>
              </w:rPr>
            </w:pPr>
            <w:r>
              <w:rPr>
                <w:color w:val="000000"/>
                <w:sz w:val="20"/>
              </w:rPr>
              <w:t>Р.3.6</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DB2990" w14:textId="77777777" w:rsidR="00A77B3E" w:rsidRDefault="00EE0A2B">
            <w:pPr>
              <w:spacing w:before="100"/>
              <w:rPr>
                <w:color w:val="000000"/>
                <w:sz w:val="20"/>
              </w:rPr>
            </w:pPr>
            <w:r>
              <w:rPr>
                <w:color w:val="000000"/>
                <w:sz w:val="20"/>
              </w:rPr>
              <w:t>Брой на доброволно завърналите се лица</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D643B7" w14:textId="77777777" w:rsidR="00A77B3E" w:rsidRDefault="00EE0A2B">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F0AB7B" w14:textId="77777777" w:rsidR="00A77B3E" w:rsidRDefault="00EE0A2B">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EF6C04" w14:textId="77777777" w:rsidR="00A77B3E" w:rsidRDefault="00EE0A2B">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0FC998" w14:textId="77777777" w:rsidR="00A77B3E" w:rsidRDefault="00EE0A2B">
            <w:pPr>
              <w:spacing w:before="100"/>
              <w:jc w:val="center"/>
              <w:rPr>
                <w:color w:val="000000"/>
                <w:sz w:val="20"/>
              </w:rPr>
            </w:pPr>
            <w:r>
              <w:rPr>
                <w:color w:val="000000"/>
                <w:sz w:val="20"/>
              </w:rPr>
              <w:t>2021 г.</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B594AC" w14:textId="77777777" w:rsidR="00A77B3E" w:rsidRDefault="00EE0A2B">
            <w:pPr>
              <w:spacing w:before="100"/>
              <w:jc w:val="center"/>
              <w:rPr>
                <w:color w:val="000000"/>
                <w:sz w:val="20"/>
              </w:rPr>
            </w:pPr>
            <w:r>
              <w:rPr>
                <w:color w:val="000000"/>
                <w:sz w:val="20"/>
              </w:rPr>
              <w:t>1600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157D21" w14:textId="77777777" w:rsidR="00A77B3E" w:rsidRDefault="00EE0A2B">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6E0B2C" w14:textId="77777777" w:rsidR="00A77B3E" w:rsidRDefault="00EE0A2B">
            <w:pPr>
              <w:spacing w:before="100"/>
              <w:rPr>
                <w:color w:val="000000"/>
                <w:sz w:val="20"/>
              </w:rPr>
            </w:pPr>
            <w:r>
              <w:rPr>
                <w:color w:val="000000"/>
                <w:sz w:val="20"/>
              </w:rPr>
              <w:t>Отчитане на проекти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AF4298" w14:textId="77777777" w:rsidR="00A77B3E" w:rsidRDefault="00A77B3E">
            <w:pPr>
              <w:spacing w:before="100"/>
              <w:rPr>
                <w:color w:val="000000"/>
                <w:sz w:val="20"/>
              </w:rPr>
            </w:pPr>
          </w:p>
        </w:tc>
      </w:tr>
      <w:tr w:rsidR="00723994" w14:paraId="6B9F42ED"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97B300" w14:textId="77777777" w:rsidR="00A77B3E" w:rsidRDefault="00EE0A2B">
            <w:pPr>
              <w:spacing w:before="100"/>
              <w:rPr>
                <w:color w:val="000000"/>
                <w:sz w:val="20"/>
              </w:rPr>
            </w:pPr>
            <w:r>
              <w:rPr>
                <w:color w:val="000000"/>
                <w:sz w:val="20"/>
              </w:rPr>
              <w:t>Р.3.7</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BAFA9D" w14:textId="77777777" w:rsidR="00A77B3E" w:rsidRDefault="00EE0A2B">
            <w:pPr>
              <w:spacing w:before="100"/>
              <w:rPr>
                <w:color w:val="000000"/>
                <w:sz w:val="20"/>
              </w:rPr>
            </w:pPr>
            <w:r>
              <w:rPr>
                <w:color w:val="000000"/>
                <w:sz w:val="20"/>
              </w:rPr>
              <w:t>Брой на завърналите се лица, които са били отстранени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2D3D5D" w14:textId="77777777" w:rsidR="00A77B3E" w:rsidRDefault="00EE0A2B">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97FAF0" w14:textId="77777777" w:rsidR="00A77B3E" w:rsidRDefault="00EE0A2B">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82C772" w14:textId="77777777" w:rsidR="00A77B3E" w:rsidRDefault="00EE0A2B">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2A165D" w14:textId="77777777" w:rsidR="00A77B3E" w:rsidRDefault="00EE0A2B">
            <w:pPr>
              <w:spacing w:before="100"/>
              <w:jc w:val="center"/>
              <w:rPr>
                <w:color w:val="000000"/>
                <w:sz w:val="20"/>
              </w:rPr>
            </w:pPr>
            <w:r>
              <w:rPr>
                <w:color w:val="000000"/>
                <w:sz w:val="20"/>
              </w:rPr>
              <w:t>2021 г.</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A8BF3B" w14:textId="77777777" w:rsidR="00A77B3E" w:rsidRDefault="00EE0A2B">
            <w:pPr>
              <w:spacing w:before="100"/>
              <w:jc w:val="center"/>
              <w:rPr>
                <w:color w:val="000000"/>
                <w:sz w:val="20"/>
              </w:rPr>
            </w:pPr>
            <w:r>
              <w:rPr>
                <w:color w:val="000000"/>
                <w:sz w:val="20"/>
              </w:rPr>
              <w:t>1680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BD2548" w14:textId="77777777" w:rsidR="00A77B3E" w:rsidRDefault="00EE0A2B">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4C15E4" w14:textId="77777777" w:rsidR="00A77B3E" w:rsidRDefault="00EE0A2B">
            <w:pPr>
              <w:spacing w:before="100"/>
              <w:rPr>
                <w:color w:val="000000"/>
                <w:sz w:val="20"/>
              </w:rPr>
            </w:pPr>
            <w:r>
              <w:rPr>
                <w:color w:val="000000"/>
                <w:sz w:val="20"/>
              </w:rPr>
              <w:t>Отчитане на проекти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F0CAC1" w14:textId="77777777" w:rsidR="00A77B3E" w:rsidRDefault="00A77B3E">
            <w:pPr>
              <w:spacing w:before="100"/>
              <w:rPr>
                <w:color w:val="000000"/>
                <w:sz w:val="20"/>
              </w:rPr>
            </w:pPr>
          </w:p>
        </w:tc>
      </w:tr>
      <w:tr w:rsidR="00723994" w14:paraId="63640EE6"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D75ED4" w14:textId="77777777" w:rsidR="00A77B3E" w:rsidRDefault="00EE0A2B">
            <w:pPr>
              <w:spacing w:before="100"/>
              <w:rPr>
                <w:color w:val="000000"/>
                <w:sz w:val="20"/>
              </w:rPr>
            </w:pPr>
            <w:r>
              <w:rPr>
                <w:color w:val="000000"/>
                <w:sz w:val="20"/>
              </w:rPr>
              <w:t>Р.3.8</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5DD808" w14:textId="77777777" w:rsidR="00A77B3E" w:rsidRDefault="00EE0A2B">
            <w:pPr>
              <w:spacing w:before="100"/>
              <w:rPr>
                <w:color w:val="000000"/>
                <w:sz w:val="20"/>
              </w:rPr>
            </w:pPr>
            <w:r>
              <w:rPr>
                <w:color w:val="000000"/>
                <w:sz w:val="20"/>
              </w:rPr>
              <w:t>Брой на завърналите се лица, подлежащи на алтернативи на задържането</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35B620" w14:textId="77777777" w:rsidR="00A77B3E" w:rsidRDefault="00EE0A2B">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98AFFC" w14:textId="77777777" w:rsidR="00A77B3E" w:rsidRDefault="00EE0A2B">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A41F87" w14:textId="77777777" w:rsidR="00A77B3E" w:rsidRDefault="00EE0A2B">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5A54BB" w14:textId="77777777" w:rsidR="00A77B3E" w:rsidRDefault="00EE0A2B">
            <w:pPr>
              <w:spacing w:before="100"/>
              <w:jc w:val="center"/>
              <w:rPr>
                <w:color w:val="000000"/>
                <w:sz w:val="20"/>
              </w:rPr>
            </w:pPr>
            <w:r>
              <w:rPr>
                <w:color w:val="000000"/>
                <w:sz w:val="20"/>
              </w:rPr>
              <w:t>2021 г.</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719035" w14:textId="77777777" w:rsidR="00A77B3E" w:rsidRDefault="00EE0A2B">
            <w:pPr>
              <w:spacing w:before="100"/>
              <w:jc w:val="center"/>
              <w:rPr>
                <w:color w:val="000000"/>
                <w:sz w:val="20"/>
              </w:rPr>
            </w:pPr>
            <w:r>
              <w:rPr>
                <w:color w:val="000000"/>
                <w:sz w:val="20"/>
              </w:rPr>
              <w:t>80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B607E9" w14:textId="77777777" w:rsidR="00A77B3E" w:rsidRDefault="00EE0A2B">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5A5A80" w14:textId="77777777" w:rsidR="00A77B3E" w:rsidRDefault="00EE0A2B">
            <w:pPr>
              <w:spacing w:before="100"/>
              <w:rPr>
                <w:color w:val="000000"/>
                <w:sz w:val="20"/>
              </w:rPr>
            </w:pPr>
            <w:r>
              <w:rPr>
                <w:color w:val="000000"/>
                <w:sz w:val="20"/>
              </w:rPr>
              <w:t>Отчитане на проекти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4EA6DC" w14:textId="77777777" w:rsidR="00A77B3E" w:rsidRDefault="00A77B3E">
            <w:pPr>
              <w:spacing w:before="100"/>
              <w:rPr>
                <w:color w:val="000000"/>
                <w:sz w:val="20"/>
              </w:rPr>
            </w:pPr>
          </w:p>
        </w:tc>
      </w:tr>
    </w:tbl>
    <w:p w14:paraId="109C8A9D" w14:textId="77777777" w:rsidR="00A77B3E" w:rsidRDefault="00A77B3E">
      <w:pPr>
        <w:spacing w:before="100"/>
        <w:rPr>
          <w:color w:val="000000"/>
          <w:sz w:val="20"/>
        </w:rPr>
        <w:sectPr w:rsidR="00A77B3E">
          <w:headerReference w:type="even" r:id="rId43"/>
          <w:headerReference w:type="default" r:id="rId44"/>
          <w:footerReference w:type="even" r:id="rId45"/>
          <w:footerReference w:type="default" r:id="rId46"/>
          <w:headerReference w:type="first" r:id="rId47"/>
          <w:footerReference w:type="first" r:id="rId48"/>
          <w:pgSz w:w="16838" w:h="11906" w:orient="landscape"/>
          <w:pgMar w:top="720" w:right="720" w:bottom="864" w:left="936" w:header="288" w:footer="72" w:gutter="0"/>
          <w:cols w:space="720"/>
          <w:noEndnote/>
          <w:docGrid w:linePitch="360"/>
        </w:sectPr>
      </w:pPr>
    </w:p>
    <w:p w14:paraId="607E6294" w14:textId="77777777" w:rsidR="00A77B3E" w:rsidRDefault="00EE0A2B">
      <w:pPr>
        <w:spacing w:before="100"/>
        <w:rPr>
          <w:color w:val="000000"/>
          <w:sz w:val="0"/>
        </w:rPr>
      </w:pPr>
      <w:r>
        <w:rPr>
          <w:color w:val="000000"/>
        </w:rPr>
        <w:lastRenderedPageBreak/>
        <w:t>2.1. Специфична цел 3. Връщане</w:t>
      </w:r>
    </w:p>
    <w:p w14:paraId="6B98B4C9" w14:textId="77777777" w:rsidR="00A77B3E" w:rsidRDefault="00EE0A2B">
      <w:pPr>
        <w:pStyle w:val="Heading3"/>
        <w:spacing w:before="100" w:after="0"/>
        <w:rPr>
          <w:rFonts w:ascii="Times New Roman" w:hAnsi="Times New Roman" w:cs="Times New Roman"/>
          <w:b w:val="0"/>
          <w:color w:val="000000"/>
          <w:sz w:val="24"/>
        </w:rPr>
      </w:pPr>
      <w:bookmarkStart w:id="21" w:name="_Toc256000084"/>
      <w:r>
        <w:rPr>
          <w:rFonts w:ascii="Times New Roman" w:hAnsi="Times New Roman" w:cs="Times New Roman"/>
          <w:b w:val="0"/>
          <w:color w:val="000000"/>
          <w:sz w:val="24"/>
        </w:rPr>
        <w:t>2.1.3. Индикативно разпределение на програмните ресурси (ЕС) по вид интервенция</w:t>
      </w:r>
      <w:bookmarkEnd w:id="21"/>
    </w:p>
    <w:p w14:paraId="5C5C67DF" w14:textId="77777777" w:rsidR="00A77B3E" w:rsidRDefault="00EE0A2B">
      <w:pPr>
        <w:spacing w:before="100"/>
        <w:rPr>
          <w:color w:val="000000"/>
        </w:rPr>
      </w:pPr>
      <w:r>
        <w:rPr>
          <w:color w:val="000000"/>
        </w:rPr>
        <w:t xml:space="preserve">Позоваване: Член 22(5) от РОР; и член 16(12) от Регламента за ФУМИ, член 13(12) от Регламента за </w:t>
      </w:r>
      <w:r w:rsidR="0002372A">
        <w:rPr>
          <w:color w:val="000000"/>
        </w:rPr>
        <w:t>ФВС</w:t>
      </w:r>
      <w:r>
        <w:rPr>
          <w:color w:val="000000"/>
        </w:rPr>
        <w:t xml:space="preserve"> или член 13(18) от Регламента за ИУГВ</w:t>
      </w:r>
    </w:p>
    <w:p w14:paraId="6009C2BB" w14:textId="77777777" w:rsidR="00A77B3E" w:rsidRDefault="00EE0A2B">
      <w:pPr>
        <w:pStyle w:val="Heading4"/>
        <w:spacing w:before="100" w:after="0"/>
        <w:rPr>
          <w:b w:val="0"/>
          <w:color w:val="000000"/>
          <w:sz w:val="24"/>
        </w:rPr>
      </w:pPr>
      <w:bookmarkStart w:id="22" w:name="_Toc256000085"/>
      <w:r>
        <w:rPr>
          <w:b w:val="0"/>
          <w:color w:val="000000"/>
          <w:sz w:val="24"/>
        </w:rPr>
        <w:t>Таблица 3: Индикативна разбивка</w:t>
      </w:r>
      <w:bookmarkEnd w:id="22"/>
    </w:p>
    <w:p w14:paraId="71806F46"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0"/>
        <w:gridCol w:w="6450"/>
        <w:gridCol w:w="4912"/>
      </w:tblGrid>
      <w:tr w:rsidR="00723994" w14:paraId="76942023" w14:textId="77777777">
        <w:trPr>
          <w:tblHeader/>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39CD7C" w14:textId="77777777" w:rsidR="00A77B3E" w:rsidRDefault="00EE0A2B">
            <w:pPr>
              <w:spacing w:before="100"/>
              <w:rPr>
                <w:color w:val="000000"/>
                <w:sz w:val="20"/>
              </w:rPr>
            </w:pPr>
            <w:r>
              <w:rPr>
                <w:color w:val="000000"/>
                <w:sz w:val="20"/>
              </w:rPr>
              <w:t>Вид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8CEE08" w14:textId="77777777" w:rsidR="00A77B3E" w:rsidRDefault="00EE0A2B">
            <w:pPr>
              <w:spacing w:before="100"/>
              <w:rPr>
                <w:color w:val="000000"/>
                <w:sz w:val="20"/>
              </w:rPr>
            </w:pPr>
            <w:r>
              <w:rPr>
                <w:color w:val="000000"/>
                <w:sz w:val="20"/>
              </w:rPr>
              <w:t>Код</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947688" w14:textId="77777777" w:rsidR="00A77B3E" w:rsidRDefault="00EE0A2B">
            <w:pPr>
              <w:spacing w:before="100"/>
              <w:jc w:val="right"/>
              <w:rPr>
                <w:color w:val="000000"/>
                <w:sz w:val="20"/>
              </w:rPr>
            </w:pPr>
            <w:r>
              <w:rPr>
                <w:color w:val="000000"/>
                <w:sz w:val="20"/>
              </w:rPr>
              <w:t>Ориентировъчна сума (евро)</w:t>
            </w:r>
          </w:p>
        </w:tc>
      </w:tr>
      <w:tr w:rsidR="00723994" w14:paraId="731F7E0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A1CBAA" w14:textId="77777777" w:rsidR="00A77B3E" w:rsidRDefault="00EE0A2B">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0EF06D" w14:textId="77777777" w:rsidR="00A77B3E" w:rsidRDefault="00EE0A2B">
            <w:pPr>
              <w:spacing w:before="100"/>
              <w:rPr>
                <w:color w:val="000000"/>
                <w:sz w:val="20"/>
              </w:rPr>
            </w:pPr>
            <w:r>
              <w:rPr>
                <w:color w:val="000000"/>
                <w:sz w:val="20"/>
              </w:rPr>
              <w:t>001. Алтернативи на задържането</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2A843A" w14:textId="77777777" w:rsidR="00A77B3E" w:rsidRDefault="00EE0A2B">
            <w:pPr>
              <w:spacing w:before="100"/>
              <w:jc w:val="right"/>
              <w:rPr>
                <w:color w:val="000000"/>
                <w:sz w:val="20"/>
              </w:rPr>
            </w:pPr>
            <w:r>
              <w:rPr>
                <w:color w:val="000000"/>
                <w:sz w:val="20"/>
              </w:rPr>
              <w:t>150 000,00</w:t>
            </w:r>
          </w:p>
        </w:tc>
      </w:tr>
      <w:tr w:rsidR="00723994" w14:paraId="7FBD654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3203DF" w14:textId="77777777" w:rsidR="00A77B3E" w:rsidRDefault="00EE0A2B">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CB4048" w14:textId="77777777" w:rsidR="00A77B3E" w:rsidRDefault="00EE0A2B">
            <w:pPr>
              <w:spacing w:before="100"/>
              <w:rPr>
                <w:color w:val="000000"/>
                <w:sz w:val="20"/>
              </w:rPr>
            </w:pPr>
            <w:r>
              <w:rPr>
                <w:color w:val="000000"/>
                <w:sz w:val="20"/>
              </w:rPr>
              <w:t>002. Условия на приемане/задържане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6DBB76" w14:textId="77777777" w:rsidR="00A77B3E" w:rsidRDefault="00EE0A2B">
            <w:pPr>
              <w:spacing w:before="100"/>
              <w:jc w:val="right"/>
              <w:rPr>
                <w:color w:val="000000"/>
                <w:sz w:val="20"/>
              </w:rPr>
            </w:pPr>
            <w:r>
              <w:rPr>
                <w:color w:val="000000"/>
                <w:sz w:val="20"/>
              </w:rPr>
              <w:t>7 371 430,00</w:t>
            </w:r>
          </w:p>
        </w:tc>
      </w:tr>
      <w:tr w:rsidR="00723994" w14:paraId="0FBDE7B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E30C3E" w14:textId="77777777" w:rsidR="00A77B3E" w:rsidRDefault="00EE0A2B">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5969E2" w14:textId="77777777" w:rsidR="00A77B3E" w:rsidRDefault="00EE0A2B">
            <w:pPr>
              <w:spacing w:before="100"/>
              <w:rPr>
                <w:color w:val="000000"/>
                <w:sz w:val="20"/>
              </w:rPr>
            </w:pPr>
            <w:r>
              <w:rPr>
                <w:color w:val="000000"/>
                <w:sz w:val="20"/>
              </w:rPr>
              <w:t>003. Процедури за връщане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3FE841" w14:textId="77777777" w:rsidR="00A77B3E" w:rsidRDefault="00EE0A2B">
            <w:pPr>
              <w:spacing w:before="100"/>
              <w:jc w:val="right"/>
              <w:rPr>
                <w:color w:val="000000"/>
                <w:sz w:val="20"/>
              </w:rPr>
            </w:pPr>
            <w:r>
              <w:rPr>
                <w:color w:val="000000"/>
                <w:sz w:val="20"/>
              </w:rPr>
              <w:t>4 719 429,00</w:t>
            </w:r>
          </w:p>
        </w:tc>
      </w:tr>
      <w:tr w:rsidR="00723994" w14:paraId="40DBF2F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6E6897" w14:textId="77777777" w:rsidR="00A77B3E" w:rsidRDefault="00EE0A2B">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AF22ED" w14:textId="77777777" w:rsidR="00A77B3E" w:rsidRDefault="00EE0A2B">
            <w:pPr>
              <w:spacing w:before="100"/>
              <w:rPr>
                <w:color w:val="000000"/>
                <w:sz w:val="20"/>
              </w:rPr>
            </w:pPr>
            <w:r>
              <w:rPr>
                <w:color w:val="000000"/>
                <w:sz w:val="20"/>
              </w:rPr>
              <w:t>004. Подпомагано доброволно връщане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DBAF2D" w14:textId="77777777" w:rsidR="00A77B3E" w:rsidRDefault="00EE0A2B">
            <w:pPr>
              <w:spacing w:before="100"/>
              <w:jc w:val="right"/>
              <w:rPr>
                <w:color w:val="000000"/>
                <w:sz w:val="20"/>
              </w:rPr>
            </w:pPr>
            <w:r>
              <w:rPr>
                <w:color w:val="000000"/>
                <w:sz w:val="20"/>
              </w:rPr>
              <w:t>4 038 685,19</w:t>
            </w:r>
          </w:p>
        </w:tc>
      </w:tr>
      <w:tr w:rsidR="00723994" w14:paraId="7AADE69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05C31B" w14:textId="77777777" w:rsidR="00A77B3E" w:rsidRDefault="00EE0A2B">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1AC291" w14:textId="77777777" w:rsidR="00A77B3E" w:rsidRDefault="00EE0A2B">
            <w:pPr>
              <w:spacing w:before="100"/>
              <w:rPr>
                <w:color w:val="000000"/>
                <w:sz w:val="20"/>
              </w:rPr>
            </w:pPr>
            <w:r>
              <w:rPr>
                <w:color w:val="000000"/>
                <w:sz w:val="20"/>
              </w:rPr>
              <w:t>005. Помощ за реинтеграция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A713C2" w14:textId="77777777" w:rsidR="00A77B3E" w:rsidRDefault="00EE0A2B">
            <w:pPr>
              <w:spacing w:before="100"/>
              <w:jc w:val="right"/>
              <w:rPr>
                <w:color w:val="000000"/>
                <w:sz w:val="20"/>
              </w:rPr>
            </w:pPr>
            <w:r>
              <w:rPr>
                <w:color w:val="000000"/>
                <w:sz w:val="20"/>
              </w:rPr>
              <w:t>378 919,79</w:t>
            </w:r>
          </w:p>
        </w:tc>
      </w:tr>
      <w:tr w:rsidR="00723994" w14:paraId="78A4EA7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735ADC" w14:textId="77777777" w:rsidR="00A77B3E" w:rsidRDefault="00EE0A2B">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719272" w14:textId="77777777" w:rsidR="00A77B3E" w:rsidRDefault="00EE0A2B">
            <w:pPr>
              <w:spacing w:before="100"/>
              <w:rPr>
                <w:color w:val="000000"/>
                <w:sz w:val="20"/>
              </w:rPr>
            </w:pPr>
            <w:r>
              <w:rPr>
                <w:color w:val="000000"/>
                <w:sz w:val="20"/>
              </w:rPr>
              <w:t>006. Операции по отстраняване/връщане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0C083D" w14:textId="77777777" w:rsidR="00A77B3E" w:rsidRDefault="00EE0A2B">
            <w:pPr>
              <w:spacing w:before="100"/>
              <w:jc w:val="right"/>
              <w:rPr>
                <w:color w:val="000000"/>
                <w:sz w:val="20"/>
              </w:rPr>
            </w:pPr>
            <w:r>
              <w:rPr>
                <w:color w:val="000000"/>
                <w:sz w:val="20"/>
              </w:rPr>
              <w:t>0.00</w:t>
            </w:r>
          </w:p>
        </w:tc>
      </w:tr>
      <w:tr w:rsidR="00723994" w14:paraId="21BD629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C4D7E9" w14:textId="77777777" w:rsidR="00A77B3E" w:rsidRDefault="00EE0A2B">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9BF477" w14:textId="77777777" w:rsidR="00A77B3E" w:rsidRDefault="00EE0A2B">
            <w:pPr>
              <w:spacing w:before="100"/>
              <w:rPr>
                <w:color w:val="000000"/>
                <w:sz w:val="20"/>
              </w:rPr>
            </w:pPr>
            <w:r>
              <w:rPr>
                <w:color w:val="000000"/>
                <w:sz w:val="20"/>
              </w:rPr>
              <w:t>007. Система за наблюдение на принудителното връщане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FE4582" w14:textId="77777777" w:rsidR="00A77B3E" w:rsidRDefault="00EE0A2B">
            <w:pPr>
              <w:spacing w:before="100"/>
              <w:jc w:val="right"/>
              <w:rPr>
                <w:color w:val="000000"/>
                <w:sz w:val="20"/>
              </w:rPr>
            </w:pPr>
            <w:r>
              <w:rPr>
                <w:color w:val="000000"/>
                <w:sz w:val="20"/>
              </w:rPr>
              <w:t>142 857,00</w:t>
            </w:r>
          </w:p>
        </w:tc>
      </w:tr>
      <w:tr w:rsidR="00723994" w14:paraId="11C1A67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7D31CB" w14:textId="77777777" w:rsidR="00A77B3E" w:rsidRDefault="00EE0A2B">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EC3640" w14:textId="77777777" w:rsidR="00A77B3E" w:rsidRDefault="00EE0A2B">
            <w:pPr>
              <w:spacing w:before="100"/>
              <w:rPr>
                <w:color w:val="000000"/>
                <w:sz w:val="20"/>
              </w:rPr>
            </w:pPr>
            <w:r>
              <w:rPr>
                <w:color w:val="000000"/>
                <w:sz w:val="20"/>
              </w:rPr>
              <w:t>008. Уязвими лица/Неуспешно подпомагани лица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EA18AE" w14:textId="77777777" w:rsidR="00A77B3E" w:rsidRDefault="00EE0A2B">
            <w:pPr>
              <w:spacing w:before="100"/>
              <w:jc w:val="right"/>
              <w:rPr>
                <w:color w:val="000000"/>
                <w:sz w:val="20"/>
              </w:rPr>
            </w:pPr>
            <w:r>
              <w:rPr>
                <w:color w:val="000000"/>
                <w:sz w:val="20"/>
              </w:rPr>
              <w:t>35 687,34</w:t>
            </w:r>
          </w:p>
        </w:tc>
      </w:tr>
      <w:tr w:rsidR="00723994" w14:paraId="66E4455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1C52F0" w14:textId="77777777" w:rsidR="00A77B3E" w:rsidRDefault="00EE0A2B">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A69901" w14:textId="77777777" w:rsidR="00A77B3E" w:rsidRDefault="00EE0A2B">
            <w:pPr>
              <w:spacing w:before="100"/>
              <w:rPr>
                <w:color w:val="000000"/>
                <w:sz w:val="20"/>
              </w:rPr>
            </w:pPr>
            <w:r>
              <w:rPr>
                <w:color w:val="000000"/>
                <w:sz w:val="20"/>
              </w:rPr>
              <w:t>009. Мерки за справяне със стимулите за незаконна миграция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4890B5" w14:textId="77777777" w:rsidR="00A77B3E" w:rsidRDefault="00EE0A2B">
            <w:pPr>
              <w:spacing w:before="100"/>
              <w:jc w:val="right"/>
              <w:rPr>
                <w:color w:val="000000"/>
                <w:sz w:val="20"/>
              </w:rPr>
            </w:pPr>
            <w:r>
              <w:rPr>
                <w:color w:val="000000"/>
                <w:sz w:val="20"/>
              </w:rPr>
              <w:t>75 000,00</w:t>
            </w:r>
          </w:p>
        </w:tc>
      </w:tr>
      <w:tr w:rsidR="00723994" w14:paraId="3F8097D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444543" w14:textId="77777777" w:rsidR="00A77B3E" w:rsidRDefault="00EE0A2B">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21F972" w14:textId="77777777" w:rsidR="00A77B3E" w:rsidRDefault="00EE0A2B">
            <w:pPr>
              <w:spacing w:before="100"/>
              <w:rPr>
                <w:color w:val="000000"/>
                <w:sz w:val="20"/>
              </w:rPr>
            </w:pPr>
            <w:r>
              <w:rPr>
                <w:color w:val="000000"/>
                <w:sz w:val="20"/>
              </w:rPr>
              <w:t>010. Оперативна поддръжка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6B9003" w14:textId="77777777" w:rsidR="00A77B3E" w:rsidRDefault="00EE0A2B">
            <w:pPr>
              <w:spacing w:before="100"/>
              <w:jc w:val="right"/>
              <w:rPr>
                <w:color w:val="000000"/>
                <w:sz w:val="20"/>
              </w:rPr>
            </w:pPr>
            <w:r>
              <w:rPr>
                <w:color w:val="000000"/>
                <w:sz w:val="20"/>
              </w:rPr>
              <w:t>6 591 097,90</w:t>
            </w:r>
          </w:p>
        </w:tc>
      </w:tr>
    </w:tbl>
    <w:p w14:paraId="434DB0ED" w14:textId="77777777" w:rsidR="00A77B3E" w:rsidRDefault="00A77B3E">
      <w:pPr>
        <w:spacing w:before="100"/>
        <w:rPr>
          <w:color w:val="000000"/>
          <w:sz w:val="20"/>
        </w:rPr>
        <w:sectPr w:rsidR="00A77B3E">
          <w:pgSz w:w="16838" w:h="11906" w:orient="landscape"/>
          <w:pgMar w:top="720" w:right="720" w:bottom="864" w:left="936" w:header="288" w:footer="72" w:gutter="0"/>
          <w:cols w:space="720"/>
          <w:noEndnote/>
          <w:docGrid w:linePitch="360"/>
        </w:sectPr>
      </w:pPr>
    </w:p>
    <w:p w14:paraId="1689592E" w14:textId="77777777" w:rsidR="00A77B3E" w:rsidRDefault="00EE0A2B">
      <w:pPr>
        <w:pStyle w:val="Heading2"/>
        <w:spacing w:before="100" w:after="0"/>
        <w:rPr>
          <w:rFonts w:ascii="TimesNewRoman" w:eastAsia="TimesNewRoman" w:hAnsi="TimesNewRoman" w:cs="TimesNewRoman"/>
          <w:b w:val="0"/>
          <w:i w:val="0"/>
          <w:color w:val="000000"/>
          <w:sz w:val="24"/>
        </w:rPr>
      </w:pPr>
      <w:bookmarkStart w:id="23" w:name="_Toc256000086"/>
      <w:r>
        <w:rPr>
          <w:rFonts w:ascii="TimesNewRoman" w:eastAsia="TimesNewRoman" w:hAnsi="TimesNewRoman" w:cs="TimesNewRoman"/>
          <w:b w:val="0"/>
          <w:i w:val="0"/>
          <w:color w:val="000000"/>
          <w:sz w:val="24"/>
        </w:rPr>
        <w:lastRenderedPageBreak/>
        <w:t>2.1. Специфична цел: 4. Солидарност</w:t>
      </w:r>
      <w:bookmarkEnd w:id="23"/>
    </w:p>
    <w:p w14:paraId="2E2EEE76" w14:textId="77777777" w:rsidR="00A77B3E" w:rsidRDefault="00A77B3E">
      <w:pPr>
        <w:spacing w:before="100"/>
        <w:rPr>
          <w:rFonts w:ascii="TimesNewRoman" w:eastAsia="TimesNewRoman" w:hAnsi="TimesNewRoman" w:cs="TimesNewRoman"/>
          <w:color w:val="000000"/>
          <w:sz w:val="0"/>
        </w:rPr>
      </w:pPr>
    </w:p>
    <w:p w14:paraId="597EF9E9" w14:textId="77777777" w:rsidR="00A77B3E" w:rsidRDefault="00EE0A2B">
      <w:pPr>
        <w:pStyle w:val="Heading3"/>
        <w:spacing w:before="100" w:after="0"/>
        <w:rPr>
          <w:rFonts w:ascii="TimesNewRoman" w:eastAsia="TimesNewRoman" w:hAnsi="TimesNewRoman" w:cs="TimesNewRoman"/>
          <w:b w:val="0"/>
          <w:color w:val="000000"/>
          <w:sz w:val="24"/>
        </w:rPr>
      </w:pPr>
      <w:bookmarkStart w:id="24" w:name="_Toc256000087"/>
      <w:r>
        <w:rPr>
          <w:rFonts w:ascii="TimesNewRoman" w:eastAsia="TimesNewRoman" w:hAnsi="TimesNewRoman" w:cs="TimesNewRoman"/>
          <w:b w:val="0"/>
          <w:color w:val="000000"/>
          <w:sz w:val="24"/>
        </w:rPr>
        <w:t>2.1.1. Описание на специфичната цел</w:t>
      </w:r>
      <w:bookmarkEnd w:id="24"/>
    </w:p>
    <w:p w14:paraId="77463FB3" w14:textId="77777777" w:rsidR="00A77B3E" w:rsidRDefault="00A77B3E">
      <w:pPr>
        <w:spacing w:before="100"/>
        <w:rPr>
          <w:rFonts w:ascii="TimesNewRoman" w:eastAsia="TimesNewRoman" w:hAnsi="TimesNewRoman" w:cs="TimesNewRoman"/>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723994" w14:paraId="0F1D9EBE"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06B0FC" w14:textId="77777777" w:rsidR="00A77B3E" w:rsidRDefault="00A77B3E">
            <w:pPr>
              <w:spacing w:before="100"/>
              <w:rPr>
                <w:rFonts w:ascii="TimesNewRoman" w:eastAsia="TimesNewRoman" w:hAnsi="TimesNewRoman" w:cs="TimesNewRoman"/>
                <w:color w:val="000000"/>
                <w:sz w:val="0"/>
              </w:rPr>
            </w:pPr>
          </w:p>
          <w:p w14:paraId="64C0903B"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С решения на Министерския съвет през 2016 г. България създаде Национален механизъм за осъществяване на преместването и Национален механизъм за осъществяване на презаселването. Двата механизма бяха изменени през следващите години, за да се адаптират към извлечените поуки и нуждите. Механизмите осигуряват необходимата организация по отношение на отговорните институции, рамка за изпълнение и евентуални мерки за подкрепа. Те също така определят разпределението на финансирането по ФУМИ за осъществяване на преместването и презаселването.</w:t>
            </w:r>
          </w:p>
          <w:p w14:paraId="4A6A1BB9" w14:textId="77777777" w:rsidR="00A77B3E" w:rsidRDefault="00A77B3E">
            <w:pPr>
              <w:spacing w:before="100"/>
              <w:rPr>
                <w:rFonts w:ascii="TimesNewRoman" w:eastAsia="TimesNewRoman" w:hAnsi="TimesNewRoman" w:cs="TimesNewRoman"/>
                <w:color w:val="000000"/>
              </w:rPr>
            </w:pPr>
          </w:p>
          <w:p w14:paraId="63B65E73"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Държавната агенция за бежанците (ДАБ) е определена за национален отговорен орган за прилагането на механизма за преместване/преселване. ДАБ настанява и предоставя необходимите услуги на преместените/преселените лица, докато им бъде предоставен статут на международна закрила в България. След предоставяне на международна закрила местните власти осигуряват мерки за интеграция в тясно партньорство с неправителствените организации, работещи в областта на убежището и интеграцията.</w:t>
            </w:r>
          </w:p>
          <w:p w14:paraId="66523E3D" w14:textId="77777777" w:rsidR="00A77B3E" w:rsidRDefault="00A77B3E">
            <w:pPr>
              <w:spacing w:before="100"/>
              <w:rPr>
                <w:rFonts w:ascii="TimesNewRoman" w:eastAsia="TimesNewRoman" w:hAnsi="TimesNewRoman" w:cs="TimesNewRoman"/>
                <w:color w:val="000000"/>
              </w:rPr>
            </w:pPr>
          </w:p>
          <w:p w14:paraId="7C2A898A"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Интеграцията се осъществява съгласно Наредбата за сключване, прилагане и прекратяване на споразумението за интеграция с чужденци, на които е предоставено убежище или международна закрила. Наредбата предвижда сключване на споразумение между лицето, на което е предоставена международна закрила, и кмета на общината, в която то е регистрирано. Споразумението определя мерките, които ще бъдат приложени за интеграцията на това лице. Информация за гражданите на трети страни, на които е предоставена международна закрила, се предоставя на общините от Държавната агенция за бежанците.</w:t>
            </w:r>
          </w:p>
          <w:p w14:paraId="06EB7C1B" w14:textId="77777777" w:rsidR="00A77B3E" w:rsidRDefault="00A77B3E">
            <w:pPr>
              <w:spacing w:before="100"/>
              <w:rPr>
                <w:rFonts w:ascii="TimesNewRoman" w:eastAsia="TimesNewRoman" w:hAnsi="TimesNewRoman" w:cs="TimesNewRoman"/>
                <w:color w:val="000000"/>
              </w:rPr>
            </w:pPr>
          </w:p>
          <w:p w14:paraId="1304CCC9"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Следвайки приетите механизми, средствата за преместване и презаселване се отпускат на ДАБ и общините, където са регистрирани преместените лица, въз основа на сключени договори. На ДАБ се отпускат 25% от еднократните суми за преместване и 30% от еднократните суми за презаселване, а на общините - 75% от еднократните суми за преместване и 70% от еднократните суми за презаселване. Дейностите, които ще се извършват по сключените договори, са в съответствие с националните механизми и допустимите действия по Регламент 516/2014.</w:t>
            </w:r>
          </w:p>
          <w:p w14:paraId="3A30FE9B" w14:textId="77777777" w:rsidR="00A77B3E" w:rsidRDefault="00A77B3E">
            <w:pPr>
              <w:spacing w:before="100"/>
              <w:rPr>
                <w:rFonts w:ascii="TimesNewRoman" w:eastAsia="TimesNewRoman" w:hAnsi="TimesNewRoman" w:cs="TimesNewRoman"/>
                <w:color w:val="000000"/>
              </w:rPr>
            </w:pPr>
          </w:p>
          <w:p w14:paraId="04A45402"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Държавната агенция за бежанците използва финансирането по Програмата за настаняване на ФУМИ, предоставяне на необходимите услуги на преместените/преселили се лица, покриване на пътните разходи до Турция, когато се осъществява преселването, и други дейности, свързани с преселените/преселили се лица.</w:t>
            </w:r>
          </w:p>
          <w:p w14:paraId="2F378015" w14:textId="77777777" w:rsidR="00A77B3E" w:rsidRDefault="00A77B3E">
            <w:pPr>
              <w:spacing w:before="100"/>
              <w:rPr>
                <w:rFonts w:ascii="TimesNewRoman" w:eastAsia="TimesNewRoman" w:hAnsi="TimesNewRoman" w:cs="TimesNewRoman"/>
                <w:color w:val="000000"/>
              </w:rPr>
            </w:pPr>
          </w:p>
          <w:p w14:paraId="7F3977AC"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Общините използват финансирането по ФУМИ за дейности като: издаване на документи за самоличност; наем на жилище; режийни разходи и храна; основно обзавеждане, декорация на дома; финансова подкрепа за семействата; застраховка; разходи за медицинско лечение (хирургия); транспортни разходи; закупуване на книги, училищни униформи, дрехи, училищни пособия; подкрепа за приемащите училища/детски градини (играчки, интерактивни дъски и др.); съдействие при търсене на работа и др.</w:t>
            </w:r>
          </w:p>
          <w:p w14:paraId="5AB0FDB7" w14:textId="77777777" w:rsidR="00A77B3E" w:rsidRDefault="00A77B3E">
            <w:pPr>
              <w:spacing w:before="100"/>
              <w:rPr>
                <w:rFonts w:ascii="TimesNewRoman" w:eastAsia="TimesNewRoman" w:hAnsi="TimesNewRoman" w:cs="TimesNewRoman"/>
                <w:color w:val="000000"/>
              </w:rPr>
            </w:pPr>
          </w:p>
          <w:p w14:paraId="5302359D"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i/>
                <w:iCs/>
                <w:color w:val="000000"/>
              </w:rPr>
              <w:t xml:space="preserve">Ангажименти по линия на </w:t>
            </w:r>
            <w:r w:rsidR="0002372A">
              <w:rPr>
                <w:rFonts w:ascii="TimesNewRoman" w:eastAsia="TimesNewRoman" w:hAnsi="TimesNewRoman" w:cs="TimesNewRoman"/>
                <w:i/>
                <w:iCs/>
                <w:color w:val="000000"/>
                <w:lang w:val="bg-BG"/>
              </w:rPr>
              <w:t xml:space="preserve">програмата по </w:t>
            </w:r>
            <w:r>
              <w:rPr>
                <w:rFonts w:ascii="TimesNewRoman" w:eastAsia="TimesNewRoman" w:hAnsi="TimesNewRoman" w:cs="TimesNewRoman"/>
                <w:i/>
                <w:iCs/>
                <w:color w:val="000000"/>
              </w:rPr>
              <w:t>ФУМИ за периода 2014-2020 г.</w:t>
            </w:r>
          </w:p>
          <w:p w14:paraId="16CFA39A" w14:textId="77777777" w:rsidR="00A77B3E" w:rsidRDefault="00A77B3E">
            <w:pPr>
              <w:spacing w:before="100"/>
              <w:rPr>
                <w:rFonts w:ascii="TimesNewRoman" w:eastAsia="TimesNewRoman" w:hAnsi="TimesNewRoman" w:cs="TimesNewRoman"/>
                <w:color w:val="000000"/>
              </w:rPr>
            </w:pPr>
          </w:p>
          <w:p w14:paraId="36C3FD13" w14:textId="77777777" w:rsidR="00A77B3E" w:rsidRDefault="0002372A">
            <w:pPr>
              <w:spacing w:before="100"/>
              <w:rPr>
                <w:rFonts w:ascii="TimesNewRoman" w:eastAsia="TimesNewRoman" w:hAnsi="TimesNewRoman" w:cs="TimesNewRoman"/>
                <w:color w:val="000000"/>
              </w:rPr>
            </w:pPr>
            <w:r>
              <w:rPr>
                <w:rFonts w:ascii="TimesNewRoman" w:eastAsia="TimesNewRoman" w:hAnsi="TimesNewRoman" w:cs="TimesNewRoman"/>
                <w:i/>
                <w:iCs/>
                <w:color w:val="000000"/>
                <w:lang w:val="bg-BG"/>
              </w:rPr>
              <w:t>Ангажименти</w:t>
            </w:r>
            <w:r w:rsidR="00EE0A2B">
              <w:rPr>
                <w:rFonts w:ascii="TimesNewRoman" w:eastAsia="TimesNewRoman" w:hAnsi="TimesNewRoman" w:cs="TimesNewRoman"/>
                <w:i/>
                <w:iCs/>
                <w:color w:val="000000"/>
              </w:rPr>
              <w:t xml:space="preserve"> за преместване</w:t>
            </w:r>
          </w:p>
          <w:p w14:paraId="17D0893D"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 Решенията от 2015 г. – общо 1302 – 450 лица по Решение 2015/1523/ЕС и по Решение 2015/1601/ЕС – 201 лица от Италия и 651 лица от Гърция</w:t>
            </w:r>
          </w:p>
          <w:p w14:paraId="362D99A4"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 Регламент 2018/2020 – повторно поемане на ангажимент за 249 лица. От тях 50 непълнолетни лица ще бъдат преместени от Гърция.</w:t>
            </w:r>
          </w:p>
          <w:p w14:paraId="0E6BF010" w14:textId="77777777" w:rsidR="00A77B3E" w:rsidRDefault="00A77B3E">
            <w:pPr>
              <w:spacing w:before="100"/>
              <w:rPr>
                <w:rFonts w:ascii="TimesNewRoman" w:eastAsia="TimesNewRoman" w:hAnsi="TimesNewRoman" w:cs="TimesNewRoman"/>
                <w:color w:val="000000"/>
              </w:rPr>
            </w:pPr>
          </w:p>
          <w:p w14:paraId="5DE5543A" w14:textId="77777777" w:rsidR="00A77B3E" w:rsidRDefault="0002372A">
            <w:pPr>
              <w:spacing w:before="100"/>
              <w:rPr>
                <w:rFonts w:ascii="TimesNewRoman" w:eastAsia="TimesNewRoman" w:hAnsi="TimesNewRoman" w:cs="TimesNewRoman"/>
                <w:color w:val="000000"/>
              </w:rPr>
            </w:pPr>
            <w:r>
              <w:rPr>
                <w:rFonts w:ascii="TimesNewRoman" w:eastAsia="TimesNewRoman" w:hAnsi="TimesNewRoman" w:cs="TimesNewRoman"/>
                <w:i/>
                <w:iCs/>
                <w:color w:val="000000"/>
                <w:lang w:val="bg-BG"/>
              </w:rPr>
              <w:t>Ангажименти</w:t>
            </w:r>
            <w:r w:rsidR="00EE0A2B">
              <w:rPr>
                <w:rFonts w:ascii="TimesNewRoman" w:eastAsia="TimesNewRoman" w:hAnsi="TimesNewRoman" w:cs="TimesNewRoman"/>
                <w:i/>
                <w:iCs/>
                <w:color w:val="000000"/>
              </w:rPr>
              <w:t xml:space="preserve"> за преселване</w:t>
            </w:r>
            <w:r w:rsidR="00EE0A2B">
              <w:rPr>
                <w:rFonts w:ascii="TimesNewRoman" w:eastAsia="TimesNewRoman" w:hAnsi="TimesNewRoman" w:cs="TimesNewRoman"/>
                <w:b/>
                <w:bCs/>
                <w:color w:val="000000"/>
              </w:rPr>
              <w:t xml:space="preserve"> </w:t>
            </w:r>
            <w:r w:rsidR="00EE0A2B">
              <w:rPr>
                <w:rFonts w:ascii="TimesNewRoman" w:eastAsia="TimesNewRoman" w:hAnsi="TimesNewRoman" w:cs="TimesNewRoman"/>
                <w:color w:val="000000"/>
              </w:rPr>
              <w:t>от 110 души, разпределени както следва:</w:t>
            </w:r>
          </w:p>
          <w:p w14:paraId="41DD1AAC"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 Съгласно Заключенията от 2015 г. за презаселване на 20 000 граждани на трети страни, нуждаещи се от международна закрила – България се ангажира да презаселва 50 сирийски бежанци от Турция.</w:t>
            </w:r>
          </w:p>
          <w:p w14:paraId="5A551E03"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 Препоръка на Комисията от 27 септември 2017 г. - България пое ангажимент да презасели 60 сирийски бежанци от Турция.</w:t>
            </w:r>
          </w:p>
          <w:p w14:paraId="0E6D37A7"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 За процеса на поемане на ангажименти през 2020 г. – 25 от 60-те души ще бъдат презаселени през периода на допустимост</w:t>
            </w:r>
          </w:p>
          <w:p w14:paraId="0EFCBDFD" w14:textId="77777777" w:rsidR="00A77B3E" w:rsidRDefault="00A77B3E">
            <w:pPr>
              <w:spacing w:before="100"/>
              <w:rPr>
                <w:rFonts w:ascii="TimesNewRoman" w:eastAsia="TimesNewRoman" w:hAnsi="TimesNewRoman" w:cs="TimesNewRoman"/>
                <w:color w:val="000000"/>
              </w:rPr>
            </w:pPr>
          </w:p>
          <w:p w14:paraId="11114EDB" w14:textId="77777777" w:rsidR="00A77B3E" w:rsidRPr="0002372A" w:rsidRDefault="00EE0A2B">
            <w:pPr>
              <w:spacing w:before="100"/>
              <w:rPr>
                <w:rFonts w:ascii="TimesNewRoman" w:eastAsia="TimesNewRoman" w:hAnsi="TimesNewRoman" w:cs="TimesNewRoman"/>
                <w:color w:val="000000"/>
                <w:lang w:val="bg-BG"/>
              </w:rPr>
            </w:pPr>
            <w:r>
              <w:rPr>
                <w:rFonts w:ascii="TimesNewRoman" w:eastAsia="TimesNewRoman" w:hAnsi="TimesNewRoman" w:cs="TimesNewRoman"/>
                <w:i/>
                <w:iCs/>
                <w:color w:val="000000"/>
              </w:rPr>
              <w:t xml:space="preserve">Изпълнение на ангажиментите на </w:t>
            </w:r>
            <w:r w:rsidR="0002372A">
              <w:rPr>
                <w:rFonts w:ascii="TimesNewRoman" w:eastAsia="TimesNewRoman" w:hAnsi="TimesNewRoman" w:cs="TimesNewRoman"/>
                <w:i/>
                <w:iCs/>
                <w:color w:val="000000"/>
                <w:lang w:val="bg-BG"/>
              </w:rPr>
              <w:t>БГ</w:t>
            </w:r>
          </w:p>
          <w:p w14:paraId="600AE705"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В рамките на периода на изпълнение на решенията за преместване от 2016 г. са преместени общо 60 лица – 50 от Гърция и 10 от Италия. До 31 декември 2017 г. са подадени искания за преместване на общо 960 лица в Гърция и 120 лица в Италия.</w:t>
            </w:r>
          </w:p>
          <w:p w14:paraId="1D4DA540"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За останалите 1242 лица България е използвала възможността, предоставена от Регламент 2018/2000. През 2019 г. е поето повторно задължение за 249 от тези лица. Другата част от финансирането е прехвърлена към други дейности по линия на Националния фонд „ФУМИлия, интеграция и интеграция“. До септември 2021 г. общо 29 лица са били преместени в България от Гърция.</w:t>
            </w:r>
          </w:p>
          <w:p w14:paraId="46C95A72" w14:textId="77777777" w:rsidR="00A77B3E" w:rsidRDefault="00A77B3E">
            <w:pPr>
              <w:spacing w:before="100"/>
              <w:rPr>
                <w:rFonts w:ascii="TimesNewRoman" w:eastAsia="TimesNewRoman" w:hAnsi="TimesNewRoman" w:cs="TimesNewRoman"/>
                <w:color w:val="000000"/>
              </w:rPr>
            </w:pPr>
          </w:p>
          <w:p w14:paraId="359FAB38"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От общия ангажимент за презаселване от 110 души, 85 са презаселени до 31.12.2019 г. Останалите 25 души са прехвърлени в рамките на ангажимента за 2020 г.</w:t>
            </w:r>
          </w:p>
          <w:p w14:paraId="49785B16" w14:textId="77777777" w:rsidR="00A77B3E" w:rsidRDefault="00A77B3E">
            <w:pPr>
              <w:spacing w:before="100"/>
              <w:rPr>
                <w:rFonts w:ascii="TimesNewRoman" w:eastAsia="TimesNewRoman" w:hAnsi="TimesNewRoman" w:cs="TimesNewRoman"/>
                <w:color w:val="000000"/>
              </w:rPr>
            </w:pPr>
          </w:p>
          <w:p w14:paraId="294B295E"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През периода 2021-2027 г. усилията в областта на солидарността ще продължат. Ангажиментите се поемат въз основа на решение на Министерския съвет на Република България по предложение на Националния съвет по миграция, убежище, граници и интеграция.</w:t>
            </w:r>
          </w:p>
          <w:p w14:paraId="437ED4D6"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Оперативна подкрепа не е предвидена в рамките на специфичната цел.</w:t>
            </w:r>
          </w:p>
          <w:p w14:paraId="73B7FFD6"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Видовете интервенции 001, 002, 003, 004, 005, 006 в таблица 3 на Специфична цел 4 съответстват на очакваните нужди, свързани с прилагането на Тематичния механизъм.</w:t>
            </w:r>
          </w:p>
          <w:p w14:paraId="74DEBCBC"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В рамките на ангажимента за презаселване през 2023 г. България е поела ангажимент за 50 души. Ангажиментът е приет изцяло от ЕК съгласно писмо с реф. номер Ares(2023)2903379/25.04.2023. След това писмо в Програмата на Република България по ФУМИ 2021-2027 е добавено разпределение за половината от ангажимента на България - 25 души.</w:t>
            </w:r>
          </w:p>
          <w:p w14:paraId="1FFB6C37"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В рамките на програмата за поемане на ангажименти за презаселване за периода 2024-2025 г. България пое ангажимент за 50 души за 2024 г. и 50 души за 2025 г. Ангажиментът беше приет изцяло от ЕК съгласно писмо с реф. номер Ares(2023)8820280/21.12.2023. След това писмо в Програмата на Република България по ФУМИ 2021-2027 е добавено разпределение за половината от ангажимента за 2024 г. - 25 души.</w:t>
            </w:r>
          </w:p>
          <w:p w14:paraId="0B732D76" w14:textId="77777777" w:rsidR="00A77B3E" w:rsidRDefault="00A77B3E">
            <w:pPr>
              <w:spacing w:before="100"/>
              <w:rPr>
                <w:rFonts w:ascii="TimesNewRoman" w:eastAsia="TimesNewRoman" w:hAnsi="TimesNewRoman" w:cs="TimesNewRoman"/>
                <w:color w:val="000000"/>
                <w:sz w:val="6"/>
              </w:rPr>
            </w:pPr>
          </w:p>
          <w:p w14:paraId="5CA3B32D" w14:textId="77777777" w:rsidR="00A77B3E" w:rsidRDefault="00A77B3E">
            <w:pPr>
              <w:spacing w:before="100"/>
              <w:rPr>
                <w:rFonts w:ascii="TimesNewRoman" w:eastAsia="TimesNewRoman" w:hAnsi="TimesNewRoman" w:cs="TimesNewRoman"/>
                <w:color w:val="000000"/>
                <w:sz w:val="6"/>
              </w:rPr>
            </w:pPr>
          </w:p>
        </w:tc>
      </w:tr>
    </w:tbl>
    <w:p w14:paraId="7E5F86E2" w14:textId="77777777" w:rsidR="00A77B3E" w:rsidRDefault="00A77B3E">
      <w:pPr>
        <w:spacing w:before="100"/>
        <w:rPr>
          <w:rFonts w:ascii="TimesNewRoman" w:eastAsia="TimesNewRoman" w:hAnsi="TimesNewRoman" w:cs="TimesNewRoman"/>
          <w:color w:val="000000"/>
        </w:rPr>
        <w:sectPr w:rsidR="00A77B3E">
          <w:headerReference w:type="even" r:id="rId49"/>
          <w:headerReference w:type="default" r:id="rId50"/>
          <w:footerReference w:type="even" r:id="rId51"/>
          <w:footerReference w:type="default" r:id="rId52"/>
          <w:headerReference w:type="first" r:id="rId53"/>
          <w:footerReference w:type="first" r:id="rId54"/>
          <w:pgSz w:w="11906" w:h="16838"/>
          <w:pgMar w:top="720" w:right="936" w:bottom="864" w:left="720" w:header="0" w:footer="72" w:gutter="0"/>
          <w:cols w:space="720"/>
          <w:noEndnote/>
          <w:docGrid w:linePitch="360"/>
        </w:sectPr>
      </w:pPr>
    </w:p>
    <w:p w14:paraId="31C67E38" w14:textId="77777777" w:rsidR="00A77B3E" w:rsidRDefault="00EE0A2B">
      <w:pPr>
        <w:spacing w:before="100"/>
        <w:rPr>
          <w:color w:val="000000"/>
        </w:rPr>
      </w:pPr>
      <w:r>
        <w:rPr>
          <w:color w:val="000000"/>
        </w:rPr>
        <w:lastRenderedPageBreak/>
        <w:t>2.1. Специфична цел 4. Солидарност</w:t>
      </w:r>
    </w:p>
    <w:p w14:paraId="26E4F666" w14:textId="77777777" w:rsidR="00A77B3E" w:rsidRDefault="00EE0A2B">
      <w:pPr>
        <w:pStyle w:val="Heading3"/>
        <w:spacing w:before="100" w:after="0"/>
        <w:rPr>
          <w:rFonts w:ascii="Times New Roman" w:hAnsi="Times New Roman" w:cs="Times New Roman"/>
          <w:b w:val="0"/>
          <w:color w:val="000000"/>
          <w:sz w:val="24"/>
        </w:rPr>
      </w:pPr>
      <w:bookmarkStart w:id="25" w:name="_Toc256000088"/>
      <w:r>
        <w:rPr>
          <w:rFonts w:ascii="Times New Roman" w:hAnsi="Times New Roman" w:cs="Times New Roman"/>
          <w:b w:val="0"/>
          <w:color w:val="000000"/>
          <w:sz w:val="24"/>
        </w:rPr>
        <w:t>2.1.2. Индикатори</w:t>
      </w:r>
      <w:bookmarkEnd w:id="25"/>
    </w:p>
    <w:p w14:paraId="38CD688B" w14:textId="77777777" w:rsidR="00A77B3E" w:rsidRDefault="00EE0A2B">
      <w:pPr>
        <w:spacing w:before="100"/>
        <w:rPr>
          <w:color w:val="000000"/>
          <w:sz w:val="12"/>
        </w:rPr>
      </w:pPr>
      <w:r>
        <w:rPr>
          <w:color w:val="000000"/>
        </w:rPr>
        <w:t>Позоваване: член 22, параграф 4, буква д) от РОР</w:t>
      </w:r>
    </w:p>
    <w:p w14:paraId="3B306CE5" w14:textId="77777777" w:rsidR="00A77B3E" w:rsidRDefault="00EE0A2B">
      <w:pPr>
        <w:pStyle w:val="Heading4"/>
        <w:spacing w:before="100" w:after="0"/>
        <w:rPr>
          <w:b w:val="0"/>
          <w:color w:val="000000"/>
          <w:sz w:val="24"/>
        </w:rPr>
      </w:pPr>
      <w:bookmarkStart w:id="26" w:name="_Toc256000089"/>
      <w:r>
        <w:rPr>
          <w:b w:val="0"/>
          <w:color w:val="000000"/>
          <w:sz w:val="24"/>
        </w:rPr>
        <w:t>Таблица 1: Показатели за резултатите</w:t>
      </w:r>
      <w:bookmarkEnd w:id="26"/>
    </w:p>
    <w:p w14:paraId="4BCE6335"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3310"/>
        <w:gridCol w:w="2498"/>
        <w:gridCol w:w="1973"/>
        <w:gridCol w:w="1973"/>
      </w:tblGrid>
      <w:tr w:rsidR="00723994" w14:paraId="28B75027" w14:textId="77777777">
        <w:trPr>
          <w:tblHeader/>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7C0D62C" w14:textId="77777777" w:rsidR="00A77B3E" w:rsidRDefault="00EE0A2B">
            <w:pPr>
              <w:spacing w:before="100"/>
              <w:jc w:val="center"/>
              <w:rPr>
                <w:color w:val="000000"/>
                <w:sz w:val="20"/>
              </w:rPr>
            </w:pPr>
            <w:r>
              <w:rPr>
                <w:color w:val="000000"/>
                <w:sz w:val="20"/>
              </w:rPr>
              <w:t>Идентификационен номер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BE541BB" w14:textId="77777777" w:rsidR="00A77B3E" w:rsidRDefault="00EE0A2B">
            <w:pPr>
              <w:spacing w:before="100"/>
              <w:jc w:val="center"/>
              <w:rPr>
                <w:color w:val="000000"/>
                <w:sz w:val="20"/>
              </w:rPr>
            </w:pPr>
            <w:r>
              <w:rPr>
                <w:color w:val="000000"/>
                <w:sz w:val="20"/>
              </w:rPr>
              <w:t>Индикатор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517846B" w14:textId="77777777" w:rsidR="00A77B3E" w:rsidRDefault="00EE0A2B">
            <w:pPr>
              <w:spacing w:before="100"/>
              <w:jc w:val="center"/>
              <w:rPr>
                <w:color w:val="000000"/>
                <w:sz w:val="20"/>
              </w:rPr>
            </w:pPr>
            <w:r>
              <w:rPr>
                <w:color w:val="000000"/>
                <w:sz w:val="20"/>
              </w:rPr>
              <w:t>Мерна единица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23FBC69" w14:textId="77777777" w:rsidR="00A77B3E" w:rsidRDefault="00EE0A2B">
            <w:pPr>
              <w:spacing w:before="100"/>
              <w:jc w:val="center"/>
              <w:rPr>
                <w:color w:val="000000"/>
                <w:sz w:val="20"/>
              </w:rPr>
            </w:pPr>
            <w:r>
              <w:rPr>
                <w:color w:val="000000"/>
                <w:sz w:val="20"/>
              </w:rPr>
              <w:t>Етап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22BE32F" w14:textId="77777777" w:rsidR="00A77B3E" w:rsidRDefault="00EE0A2B">
            <w:pPr>
              <w:spacing w:before="100"/>
              <w:jc w:val="center"/>
              <w:rPr>
                <w:color w:val="000000"/>
                <w:sz w:val="20"/>
              </w:rPr>
            </w:pPr>
            <w:r>
              <w:rPr>
                <w:color w:val="000000"/>
                <w:sz w:val="20"/>
              </w:rPr>
              <w:t>Цел (2029)</w:t>
            </w:r>
          </w:p>
        </w:tc>
      </w:tr>
      <w:tr w:rsidR="00723994" w14:paraId="5D4149E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B8AA5FD" w14:textId="77777777" w:rsidR="00A77B3E" w:rsidRDefault="00EE0A2B">
            <w:pPr>
              <w:spacing w:before="100"/>
              <w:rPr>
                <w:color w:val="000000"/>
                <w:sz w:val="20"/>
              </w:rPr>
            </w:pPr>
            <w:r>
              <w:rPr>
                <w:color w:val="000000"/>
                <w:sz w:val="20"/>
              </w:rPr>
              <w:t>О.4.1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10E88C4" w14:textId="77777777" w:rsidR="00A77B3E" w:rsidRDefault="00EE0A2B">
            <w:pPr>
              <w:spacing w:before="100"/>
              <w:rPr>
                <w:color w:val="000000"/>
                <w:sz w:val="20"/>
              </w:rPr>
            </w:pPr>
            <w:r>
              <w:rPr>
                <w:color w:val="000000"/>
                <w:sz w:val="20"/>
              </w:rPr>
              <w:t>Брой обучен персонал</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5A1A757" w14:textId="77777777" w:rsidR="00A77B3E" w:rsidRDefault="00EE0A2B">
            <w:pPr>
              <w:spacing w:before="100"/>
              <w:rPr>
                <w:color w:val="000000"/>
                <w:sz w:val="20"/>
              </w:rPr>
            </w:pPr>
            <w:r>
              <w:rPr>
                <w:color w:val="000000"/>
                <w:sz w:val="20"/>
              </w:rPr>
              <w:t>номер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9D69CD" w14:textId="77777777" w:rsidR="00A77B3E" w:rsidRDefault="00EE0A2B">
            <w:pPr>
              <w:spacing w:before="100"/>
              <w:jc w:val="right"/>
              <w:rPr>
                <w:color w:val="000000"/>
                <w:sz w:val="20"/>
              </w:rPr>
            </w:pPr>
            <w:r>
              <w:rPr>
                <w:color w:val="000000"/>
                <w:sz w:val="20"/>
              </w:rPr>
              <w:t>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2F0DC54" w14:textId="77777777" w:rsidR="00A77B3E" w:rsidRDefault="00EE0A2B">
            <w:pPr>
              <w:spacing w:before="100"/>
              <w:jc w:val="right"/>
              <w:rPr>
                <w:color w:val="000000"/>
                <w:sz w:val="20"/>
              </w:rPr>
            </w:pPr>
            <w:r>
              <w:rPr>
                <w:color w:val="000000"/>
                <w:sz w:val="20"/>
              </w:rPr>
              <w:t>0</w:t>
            </w:r>
          </w:p>
        </w:tc>
      </w:tr>
      <w:tr w:rsidR="00723994" w14:paraId="1B98371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CBDC08C" w14:textId="77777777" w:rsidR="00A77B3E" w:rsidRDefault="00EE0A2B">
            <w:pPr>
              <w:spacing w:before="100"/>
              <w:rPr>
                <w:color w:val="000000"/>
                <w:sz w:val="20"/>
              </w:rPr>
            </w:pPr>
            <w:r>
              <w:rPr>
                <w:color w:val="000000"/>
                <w:sz w:val="20"/>
              </w:rPr>
              <w:t>О.4.2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6907E39" w14:textId="77777777" w:rsidR="00A77B3E" w:rsidRDefault="00EE0A2B">
            <w:pPr>
              <w:spacing w:before="100"/>
              <w:rPr>
                <w:color w:val="000000"/>
                <w:sz w:val="20"/>
              </w:rPr>
            </w:pPr>
            <w:r>
              <w:rPr>
                <w:color w:val="000000"/>
                <w:sz w:val="20"/>
              </w:rPr>
              <w:t>Брой участници, получили подкрепа преди заминаване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0470F7F" w14:textId="77777777" w:rsidR="00A77B3E" w:rsidRDefault="00EE0A2B">
            <w:pPr>
              <w:spacing w:before="100"/>
              <w:rPr>
                <w:color w:val="000000"/>
                <w:sz w:val="20"/>
              </w:rPr>
            </w:pPr>
            <w:r>
              <w:rPr>
                <w:color w:val="000000"/>
                <w:sz w:val="20"/>
              </w:rPr>
              <w:t>номер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12A5D37" w14:textId="77777777" w:rsidR="00A77B3E" w:rsidRDefault="00EE0A2B">
            <w:pPr>
              <w:spacing w:before="100"/>
              <w:jc w:val="right"/>
              <w:rPr>
                <w:color w:val="000000"/>
                <w:sz w:val="20"/>
              </w:rPr>
            </w:pPr>
            <w:r>
              <w:rPr>
                <w:color w:val="000000"/>
                <w:sz w:val="20"/>
              </w:rPr>
              <w:t>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146FE58" w14:textId="77777777" w:rsidR="00A77B3E" w:rsidRDefault="00EE0A2B">
            <w:pPr>
              <w:spacing w:before="100"/>
              <w:jc w:val="right"/>
              <w:rPr>
                <w:color w:val="000000"/>
                <w:sz w:val="20"/>
              </w:rPr>
            </w:pPr>
            <w:r>
              <w:rPr>
                <w:color w:val="000000"/>
                <w:sz w:val="20"/>
              </w:rPr>
              <w:t>0</w:t>
            </w:r>
          </w:p>
        </w:tc>
      </w:tr>
    </w:tbl>
    <w:p w14:paraId="3985F48D" w14:textId="77777777" w:rsidR="00A77B3E" w:rsidRDefault="00EE0A2B">
      <w:pPr>
        <w:spacing w:before="100"/>
        <w:rPr>
          <w:color w:val="000000"/>
        </w:rPr>
      </w:pPr>
      <w:r>
        <w:rPr>
          <w:color w:val="000000"/>
          <w:sz w:val="20"/>
        </w:rPr>
        <w:br w:type="page"/>
      </w:r>
      <w:r>
        <w:rPr>
          <w:color w:val="000000"/>
        </w:rPr>
        <w:lastRenderedPageBreak/>
        <w:t>2.1. Специфична цел 4. Солидарност</w:t>
      </w:r>
    </w:p>
    <w:p w14:paraId="630394FB" w14:textId="77777777" w:rsidR="00A77B3E" w:rsidRDefault="00EE0A2B">
      <w:pPr>
        <w:spacing w:before="100"/>
        <w:rPr>
          <w:color w:val="000000"/>
          <w:sz w:val="0"/>
        </w:rPr>
      </w:pPr>
      <w:r>
        <w:rPr>
          <w:color w:val="000000"/>
        </w:rPr>
        <w:t>2.1.2. Индикатори</w:t>
      </w:r>
    </w:p>
    <w:p w14:paraId="1B775BEB" w14:textId="77777777" w:rsidR="00A77B3E" w:rsidRDefault="00EE0A2B">
      <w:pPr>
        <w:spacing w:before="100"/>
        <w:rPr>
          <w:color w:val="000000"/>
          <w:sz w:val="12"/>
        </w:rPr>
      </w:pPr>
      <w:r>
        <w:rPr>
          <w:color w:val="000000"/>
        </w:rPr>
        <w:t>Позоваване: член 22, параграф 4, буква д) от РОР</w:t>
      </w:r>
    </w:p>
    <w:p w14:paraId="4D0E0E14" w14:textId="77777777" w:rsidR="00A77B3E" w:rsidRDefault="00EE0A2B">
      <w:pPr>
        <w:pStyle w:val="Heading4"/>
        <w:spacing w:before="100" w:after="0"/>
        <w:rPr>
          <w:b w:val="0"/>
          <w:color w:val="000000"/>
          <w:sz w:val="24"/>
        </w:rPr>
      </w:pPr>
      <w:bookmarkStart w:id="27" w:name="_Toc256000090"/>
      <w:r>
        <w:rPr>
          <w:b w:val="0"/>
          <w:color w:val="000000"/>
          <w:sz w:val="24"/>
        </w:rPr>
        <w:t>Таблица 2: Показатели за резултати</w:t>
      </w:r>
      <w:bookmarkEnd w:id="27"/>
    </w:p>
    <w:p w14:paraId="2F3EE896"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2276"/>
        <w:gridCol w:w="1517"/>
        <w:gridCol w:w="1517"/>
        <w:gridCol w:w="1517"/>
        <w:gridCol w:w="1517"/>
        <w:gridCol w:w="1517"/>
        <w:gridCol w:w="1517"/>
        <w:gridCol w:w="1517"/>
        <w:gridCol w:w="1517"/>
      </w:tblGrid>
      <w:tr w:rsidR="00723994" w14:paraId="03DA50A8" w14:textId="77777777">
        <w:trPr>
          <w:tblHeader/>
        </w:trPr>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B6D9BBC" w14:textId="77777777" w:rsidR="00A77B3E" w:rsidRDefault="00EE0A2B">
            <w:pPr>
              <w:spacing w:before="100"/>
              <w:jc w:val="center"/>
              <w:rPr>
                <w:color w:val="000000"/>
                <w:sz w:val="20"/>
              </w:rPr>
            </w:pPr>
            <w:r>
              <w:rPr>
                <w:color w:val="000000"/>
                <w:sz w:val="20"/>
              </w:rPr>
              <w:t>Идентификационен номер</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6FC3B96" w14:textId="77777777" w:rsidR="00A77B3E" w:rsidRDefault="00EE0A2B">
            <w:pPr>
              <w:spacing w:before="100"/>
              <w:jc w:val="center"/>
              <w:rPr>
                <w:color w:val="000000"/>
                <w:sz w:val="20"/>
              </w:rPr>
            </w:pPr>
            <w:r>
              <w:rPr>
                <w:color w:val="000000"/>
                <w:sz w:val="20"/>
              </w:rPr>
              <w:t>Индикатор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586BD7D" w14:textId="77777777" w:rsidR="00A77B3E" w:rsidRDefault="00EE0A2B">
            <w:pPr>
              <w:spacing w:before="100"/>
              <w:jc w:val="center"/>
              <w:rPr>
                <w:color w:val="000000"/>
                <w:sz w:val="20"/>
              </w:rPr>
            </w:pPr>
            <w:r>
              <w:rPr>
                <w:color w:val="000000"/>
                <w:sz w:val="20"/>
              </w:rPr>
              <w:t>Мерна единица</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D202FA3" w14:textId="77777777" w:rsidR="00A77B3E" w:rsidRDefault="00EE0A2B">
            <w:pPr>
              <w:spacing w:before="100"/>
              <w:jc w:val="center"/>
              <w:rPr>
                <w:color w:val="000000"/>
                <w:sz w:val="20"/>
              </w:rPr>
            </w:pPr>
            <w:r>
              <w:rPr>
                <w:color w:val="000000"/>
                <w:sz w:val="20"/>
              </w:rPr>
              <w:t>Базова линия</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6D06825" w14:textId="77777777" w:rsidR="00A77B3E" w:rsidRDefault="00EE0A2B">
            <w:pPr>
              <w:spacing w:before="100"/>
              <w:jc w:val="center"/>
              <w:rPr>
                <w:color w:val="000000"/>
                <w:sz w:val="20"/>
              </w:rPr>
            </w:pPr>
            <w:r>
              <w:rPr>
                <w:color w:val="000000"/>
                <w:sz w:val="20"/>
              </w:rPr>
              <w:t>Мерна единица за базова линия</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4380472" w14:textId="77777777" w:rsidR="00A77B3E" w:rsidRDefault="00EE0A2B">
            <w:pPr>
              <w:spacing w:before="100"/>
              <w:jc w:val="center"/>
              <w:rPr>
                <w:color w:val="000000"/>
                <w:sz w:val="20"/>
              </w:rPr>
            </w:pPr>
            <w:r>
              <w:rPr>
                <w:color w:val="000000"/>
                <w:sz w:val="20"/>
              </w:rPr>
              <w:t>Референтна(и) година(и)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40F5B51" w14:textId="77777777" w:rsidR="00A77B3E" w:rsidRDefault="00EE0A2B">
            <w:pPr>
              <w:spacing w:before="100"/>
              <w:jc w:val="center"/>
              <w:rPr>
                <w:color w:val="000000"/>
                <w:sz w:val="20"/>
              </w:rPr>
            </w:pPr>
            <w:r>
              <w:rPr>
                <w:color w:val="000000"/>
                <w:sz w:val="20"/>
              </w:rPr>
              <w:t>Цел (2029)</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C2ED3FE" w14:textId="77777777" w:rsidR="00A77B3E" w:rsidRDefault="00EE0A2B">
            <w:pPr>
              <w:spacing w:before="100"/>
              <w:jc w:val="center"/>
              <w:rPr>
                <w:color w:val="000000"/>
                <w:sz w:val="20"/>
              </w:rPr>
            </w:pPr>
            <w:r>
              <w:rPr>
                <w:color w:val="000000"/>
                <w:sz w:val="20"/>
              </w:rPr>
              <w:t>Мерна единица за цел</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B879F81" w14:textId="77777777" w:rsidR="00A77B3E" w:rsidRDefault="00EE0A2B">
            <w:pPr>
              <w:spacing w:before="100"/>
              <w:jc w:val="center"/>
              <w:rPr>
                <w:color w:val="000000"/>
                <w:sz w:val="20"/>
              </w:rPr>
            </w:pPr>
            <w:r>
              <w:rPr>
                <w:color w:val="000000"/>
                <w:sz w:val="20"/>
              </w:rPr>
              <w:t>Източник на данни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CFEBE60" w14:textId="77777777" w:rsidR="00A77B3E" w:rsidRDefault="00EE0A2B">
            <w:pPr>
              <w:spacing w:before="100"/>
              <w:rPr>
                <w:color w:val="000000"/>
                <w:sz w:val="20"/>
              </w:rPr>
            </w:pPr>
            <w:r>
              <w:rPr>
                <w:color w:val="000000"/>
                <w:sz w:val="20"/>
              </w:rPr>
              <w:t>Коментари</w:t>
            </w:r>
          </w:p>
        </w:tc>
      </w:tr>
      <w:tr w:rsidR="00723994" w14:paraId="13BC342D"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54E02C" w14:textId="77777777" w:rsidR="00A77B3E" w:rsidRDefault="00EE0A2B">
            <w:pPr>
              <w:spacing w:before="100"/>
              <w:rPr>
                <w:color w:val="000000"/>
                <w:sz w:val="20"/>
              </w:rPr>
            </w:pPr>
            <w:r>
              <w:rPr>
                <w:color w:val="000000"/>
                <w:sz w:val="20"/>
              </w:rPr>
              <w:t>Р.4.3</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28D917" w14:textId="77777777" w:rsidR="00A77B3E" w:rsidRDefault="00EE0A2B">
            <w:pPr>
              <w:spacing w:before="100"/>
              <w:rPr>
                <w:color w:val="000000"/>
                <w:sz w:val="20"/>
              </w:rPr>
            </w:pPr>
            <w:r>
              <w:rPr>
                <w:color w:val="000000"/>
                <w:sz w:val="20"/>
              </w:rPr>
              <w:t>Брой на кандидатите за международна закрила и лицата, получили международна закрила, прехвърлени от една държава членка в друга</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1D30C7" w14:textId="77777777" w:rsidR="00A77B3E" w:rsidRDefault="00EE0A2B">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E53203" w14:textId="77777777" w:rsidR="00A77B3E" w:rsidRDefault="00EE0A2B">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BC7043" w14:textId="77777777" w:rsidR="00A77B3E" w:rsidRDefault="00EE0A2B">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2B85A6" w14:textId="77777777" w:rsidR="00A77B3E" w:rsidRDefault="00EE0A2B">
            <w:pPr>
              <w:spacing w:before="100"/>
              <w:jc w:val="center"/>
              <w:rPr>
                <w:color w:val="000000"/>
                <w:sz w:val="20"/>
              </w:rPr>
            </w:pPr>
            <w:r>
              <w:rPr>
                <w:color w:val="000000"/>
                <w:sz w:val="20"/>
              </w:rPr>
              <w:t>2021 г.</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B2D379" w14:textId="77777777" w:rsidR="00A77B3E" w:rsidRDefault="00EE0A2B">
            <w:pPr>
              <w:spacing w:before="100"/>
              <w:jc w:val="center"/>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679C34" w14:textId="77777777" w:rsidR="00A77B3E" w:rsidRDefault="00EE0A2B">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E0602A" w14:textId="77777777" w:rsidR="00A77B3E" w:rsidRDefault="00EE0A2B">
            <w:pPr>
              <w:spacing w:before="100"/>
              <w:rPr>
                <w:color w:val="000000"/>
                <w:sz w:val="20"/>
              </w:rPr>
            </w:pPr>
            <w:r>
              <w:rPr>
                <w:color w:val="000000"/>
                <w:sz w:val="20"/>
              </w:rPr>
              <w:t>Отчитане на проекти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D60CF7" w14:textId="77777777" w:rsidR="00A77B3E" w:rsidRDefault="00A77B3E">
            <w:pPr>
              <w:spacing w:before="100"/>
              <w:rPr>
                <w:color w:val="000000"/>
                <w:sz w:val="20"/>
              </w:rPr>
            </w:pPr>
          </w:p>
        </w:tc>
      </w:tr>
      <w:tr w:rsidR="00723994" w14:paraId="2394BC5A"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2A7106" w14:textId="77777777" w:rsidR="00A77B3E" w:rsidRDefault="00EE0A2B">
            <w:pPr>
              <w:spacing w:before="100"/>
              <w:rPr>
                <w:color w:val="000000"/>
                <w:sz w:val="20"/>
              </w:rPr>
            </w:pPr>
            <w:r>
              <w:rPr>
                <w:color w:val="000000"/>
                <w:sz w:val="20"/>
              </w:rPr>
              <w:t>Р.4.4</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3EC262" w14:textId="77777777" w:rsidR="00A77B3E" w:rsidRDefault="00EE0A2B">
            <w:pPr>
              <w:spacing w:before="100"/>
              <w:rPr>
                <w:color w:val="000000"/>
                <w:sz w:val="20"/>
              </w:rPr>
            </w:pPr>
            <w:r>
              <w:rPr>
                <w:color w:val="000000"/>
                <w:sz w:val="20"/>
              </w:rPr>
              <w:t>Брой презаселени лица</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B3DCDB" w14:textId="77777777" w:rsidR="00A77B3E" w:rsidRDefault="00EE0A2B">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2C7A53" w14:textId="77777777" w:rsidR="00A77B3E" w:rsidRDefault="00EE0A2B">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5DA7E8" w14:textId="77777777" w:rsidR="00A77B3E" w:rsidRDefault="00EE0A2B">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FF3C62" w14:textId="77777777" w:rsidR="00A77B3E" w:rsidRDefault="00EE0A2B">
            <w:pPr>
              <w:spacing w:before="100"/>
              <w:jc w:val="center"/>
              <w:rPr>
                <w:color w:val="000000"/>
                <w:sz w:val="20"/>
              </w:rPr>
            </w:pPr>
            <w:r>
              <w:rPr>
                <w:color w:val="000000"/>
                <w:sz w:val="20"/>
              </w:rPr>
              <w:t>2021 г.</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BC51EC" w14:textId="77777777" w:rsidR="00A77B3E" w:rsidRDefault="00EE0A2B">
            <w:pPr>
              <w:spacing w:before="100"/>
              <w:jc w:val="center"/>
              <w:rPr>
                <w:color w:val="000000"/>
                <w:sz w:val="20"/>
              </w:rPr>
            </w:pPr>
            <w:r>
              <w:rPr>
                <w:color w:val="000000"/>
                <w:sz w:val="20"/>
              </w:rPr>
              <w:t>50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9F87CC" w14:textId="77777777" w:rsidR="00A77B3E" w:rsidRDefault="00EE0A2B">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299EBD" w14:textId="77777777" w:rsidR="00A77B3E" w:rsidRDefault="00EE0A2B">
            <w:pPr>
              <w:spacing w:before="100"/>
              <w:rPr>
                <w:color w:val="000000"/>
                <w:sz w:val="20"/>
              </w:rPr>
            </w:pPr>
            <w:r>
              <w:rPr>
                <w:color w:val="000000"/>
                <w:sz w:val="20"/>
              </w:rPr>
              <w:t>Отчитане на проекти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BB756E" w14:textId="77777777" w:rsidR="00A77B3E" w:rsidRDefault="00A77B3E">
            <w:pPr>
              <w:spacing w:before="100"/>
              <w:rPr>
                <w:color w:val="000000"/>
                <w:sz w:val="20"/>
              </w:rPr>
            </w:pPr>
          </w:p>
        </w:tc>
      </w:tr>
      <w:tr w:rsidR="00723994" w14:paraId="3A13B8EA"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0A95CD" w14:textId="77777777" w:rsidR="00A77B3E" w:rsidRDefault="00EE0A2B">
            <w:pPr>
              <w:spacing w:before="100"/>
              <w:rPr>
                <w:color w:val="000000"/>
                <w:sz w:val="20"/>
              </w:rPr>
            </w:pPr>
            <w:r>
              <w:rPr>
                <w:color w:val="000000"/>
                <w:sz w:val="20"/>
              </w:rPr>
              <w:t>Р.4.5</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21896D" w14:textId="77777777" w:rsidR="00A77B3E" w:rsidRDefault="00EE0A2B">
            <w:pPr>
              <w:spacing w:before="100"/>
              <w:rPr>
                <w:color w:val="000000"/>
                <w:sz w:val="20"/>
              </w:rPr>
            </w:pPr>
            <w:r>
              <w:rPr>
                <w:color w:val="000000"/>
                <w:sz w:val="20"/>
              </w:rPr>
              <w:t>Брой лица, приети чрез хуманитарен прием</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A1FE06" w14:textId="77777777" w:rsidR="00A77B3E" w:rsidRDefault="00EE0A2B">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9B2DCE" w14:textId="77777777" w:rsidR="00A77B3E" w:rsidRDefault="00EE0A2B">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391AD1" w14:textId="77777777" w:rsidR="00A77B3E" w:rsidRDefault="00EE0A2B">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C69BBE" w14:textId="77777777" w:rsidR="00A77B3E" w:rsidRDefault="00EE0A2B">
            <w:pPr>
              <w:spacing w:before="100"/>
              <w:jc w:val="center"/>
              <w:rPr>
                <w:color w:val="000000"/>
                <w:sz w:val="20"/>
              </w:rPr>
            </w:pPr>
            <w:r>
              <w:rPr>
                <w:color w:val="000000"/>
                <w:sz w:val="20"/>
              </w:rPr>
              <w:t>2021 г.</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519D5D" w14:textId="77777777" w:rsidR="00A77B3E" w:rsidRDefault="00EE0A2B">
            <w:pPr>
              <w:spacing w:before="100"/>
              <w:jc w:val="center"/>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0EF4B7" w14:textId="77777777" w:rsidR="00A77B3E" w:rsidRDefault="00EE0A2B">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CEFB1A" w14:textId="77777777" w:rsidR="00A77B3E" w:rsidRDefault="00EE0A2B">
            <w:pPr>
              <w:spacing w:before="100"/>
              <w:rPr>
                <w:color w:val="000000"/>
                <w:sz w:val="20"/>
              </w:rPr>
            </w:pPr>
            <w:r>
              <w:rPr>
                <w:color w:val="000000"/>
                <w:sz w:val="20"/>
              </w:rPr>
              <w:t>Отчитане на проекти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84007E" w14:textId="77777777" w:rsidR="00A77B3E" w:rsidRDefault="00A77B3E">
            <w:pPr>
              <w:spacing w:before="100"/>
              <w:rPr>
                <w:color w:val="000000"/>
                <w:sz w:val="20"/>
              </w:rPr>
            </w:pPr>
          </w:p>
        </w:tc>
      </w:tr>
    </w:tbl>
    <w:p w14:paraId="21A9CC5D" w14:textId="77777777" w:rsidR="00A77B3E" w:rsidRDefault="00A77B3E">
      <w:pPr>
        <w:spacing w:before="100"/>
        <w:rPr>
          <w:color w:val="000000"/>
          <w:sz w:val="20"/>
        </w:rPr>
        <w:sectPr w:rsidR="00A77B3E">
          <w:headerReference w:type="even" r:id="rId55"/>
          <w:headerReference w:type="default" r:id="rId56"/>
          <w:footerReference w:type="even" r:id="rId57"/>
          <w:footerReference w:type="default" r:id="rId58"/>
          <w:headerReference w:type="first" r:id="rId59"/>
          <w:footerReference w:type="first" r:id="rId60"/>
          <w:pgSz w:w="16838" w:h="11906" w:orient="landscape"/>
          <w:pgMar w:top="720" w:right="720" w:bottom="864" w:left="936" w:header="288" w:footer="72" w:gutter="0"/>
          <w:cols w:space="720"/>
          <w:noEndnote/>
          <w:docGrid w:linePitch="360"/>
        </w:sectPr>
      </w:pPr>
    </w:p>
    <w:p w14:paraId="0A11E015" w14:textId="77777777" w:rsidR="00A77B3E" w:rsidRDefault="00EE0A2B">
      <w:pPr>
        <w:spacing w:before="100"/>
        <w:rPr>
          <w:color w:val="000000"/>
          <w:sz w:val="0"/>
        </w:rPr>
      </w:pPr>
      <w:r>
        <w:rPr>
          <w:color w:val="000000"/>
        </w:rPr>
        <w:lastRenderedPageBreak/>
        <w:t>2.1. Специфична цел 4. Солидарност</w:t>
      </w:r>
    </w:p>
    <w:p w14:paraId="6ACE465D" w14:textId="77777777" w:rsidR="00A77B3E" w:rsidRDefault="00EE0A2B">
      <w:pPr>
        <w:pStyle w:val="Heading3"/>
        <w:spacing w:before="100" w:after="0"/>
        <w:rPr>
          <w:rFonts w:ascii="Times New Roman" w:hAnsi="Times New Roman" w:cs="Times New Roman"/>
          <w:b w:val="0"/>
          <w:color w:val="000000"/>
          <w:sz w:val="24"/>
        </w:rPr>
      </w:pPr>
      <w:bookmarkStart w:id="28" w:name="_Toc256000091"/>
      <w:r>
        <w:rPr>
          <w:rFonts w:ascii="Times New Roman" w:hAnsi="Times New Roman" w:cs="Times New Roman"/>
          <w:b w:val="0"/>
          <w:color w:val="000000"/>
          <w:sz w:val="24"/>
        </w:rPr>
        <w:t>2.1.3. Индикативно разпределение на програмните ресурси (ЕС) по вид интервенция</w:t>
      </w:r>
      <w:bookmarkEnd w:id="28"/>
    </w:p>
    <w:p w14:paraId="066E5B98" w14:textId="77777777" w:rsidR="00A77B3E" w:rsidRDefault="00EE0A2B">
      <w:pPr>
        <w:spacing w:before="100"/>
        <w:rPr>
          <w:color w:val="000000"/>
        </w:rPr>
      </w:pPr>
      <w:r>
        <w:rPr>
          <w:color w:val="000000"/>
        </w:rPr>
        <w:t xml:space="preserve">Позоваване: Член 22(5) от РОР; и член 16(12) от Регламента за ФУМИ, член 13(12) от Регламента за </w:t>
      </w:r>
      <w:r w:rsidR="0002372A">
        <w:rPr>
          <w:color w:val="000000"/>
        </w:rPr>
        <w:t>ФВС</w:t>
      </w:r>
      <w:r>
        <w:rPr>
          <w:color w:val="000000"/>
        </w:rPr>
        <w:t xml:space="preserve"> или член 13(18) от Регламента за ИУГВ</w:t>
      </w:r>
    </w:p>
    <w:p w14:paraId="52BC88CB" w14:textId="77777777" w:rsidR="00A77B3E" w:rsidRDefault="00EE0A2B">
      <w:pPr>
        <w:pStyle w:val="Heading4"/>
        <w:spacing w:before="100" w:after="0"/>
        <w:rPr>
          <w:b w:val="0"/>
          <w:color w:val="000000"/>
          <w:sz w:val="24"/>
        </w:rPr>
      </w:pPr>
      <w:bookmarkStart w:id="29" w:name="_Toc256000092"/>
      <w:r>
        <w:rPr>
          <w:b w:val="0"/>
          <w:color w:val="000000"/>
          <w:sz w:val="24"/>
        </w:rPr>
        <w:t>Таблица 3: Индикативна разбивка</w:t>
      </w:r>
      <w:bookmarkEnd w:id="29"/>
    </w:p>
    <w:p w14:paraId="25D8C4E4"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2"/>
        <w:gridCol w:w="5735"/>
        <w:gridCol w:w="5315"/>
      </w:tblGrid>
      <w:tr w:rsidR="00723994" w14:paraId="4F3703FE" w14:textId="77777777">
        <w:trPr>
          <w:tblHeader/>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061CF3" w14:textId="77777777" w:rsidR="00A77B3E" w:rsidRDefault="00EE0A2B">
            <w:pPr>
              <w:spacing w:before="100"/>
              <w:rPr>
                <w:color w:val="000000"/>
                <w:sz w:val="20"/>
              </w:rPr>
            </w:pPr>
            <w:r>
              <w:rPr>
                <w:color w:val="000000"/>
                <w:sz w:val="20"/>
              </w:rPr>
              <w:t>Вид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9139A4" w14:textId="77777777" w:rsidR="00A77B3E" w:rsidRDefault="00EE0A2B">
            <w:pPr>
              <w:spacing w:before="100"/>
              <w:rPr>
                <w:color w:val="000000"/>
                <w:sz w:val="20"/>
              </w:rPr>
            </w:pPr>
            <w:r>
              <w:rPr>
                <w:color w:val="000000"/>
                <w:sz w:val="20"/>
              </w:rPr>
              <w:t>Код</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5D3E96" w14:textId="77777777" w:rsidR="00A77B3E" w:rsidRDefault="00EE0A2B">
            <w:pPr>
              <w:spacing w:before="100"/>
              <w:jc w:val="right"/>
              <w:rPr>
                <w:color w:val="000000"/>
                <w:sz w:val="20"/>
              </w:rPr>
            </w:pPr>
            <w:r>
              <w:rPr>
                <w:color w:val="000000"/>
                <w:sz w:val="20"/>
              </w:rPr>
              <w:t>Ориентировъчна сума (евро)</w:t>
            </w:r>
          </w:p>
        </w:tc>
      </w:tr>
      <w:tr w:rsidR="00723994" w14:paraId="33B4D27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A0F8B9" w14:textId="77777777" w:rsidR="00A77B3E" w:rsidRDefault="00EE0A2B">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7295B2" w14:textId="77777777" w:rsidR="00A77B3E" w:rsidRDefault="00EE0A2B">
            <w:pPr>
              <w:spacing w:before="100"/>
              <w:rPr>
                <w:color w:val="000000"/>
                <w:sz w:val="20"/>
              </w:rPr>
            </w:pPr>
            <w:r>
              <w:rPr>
                <w:color w:val="000000"/>
                <w:sz w:val="20"/>
              </w:rPr>
              <w:t>001. Трансфери в друга държава членка (преместване)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E581E4" w14:textId="77777777" w:rsidR="00A77B3E" w:rsidRDefault="00EE0A2B">
            <w:pPr>
              <w:spacing w:before="100"/>
              <w:jc w:val="right"/>
              <w:rPr>
                <w:color w:val="000000"/>
                <w:sz w:val="20"/>
              </w:rPr>
            </w:pPr>
            <w:r>
              <w:rPr>
                <w:color w:val="000000"/>
                <w:sz w:val="20"/>
              </w:rPr>
              <w:t>0.00</w:t>
            </w:r>
          </w:p>
        </w:tc>
      </w:tr>
      <w:tr w:rsidR="00723994" w14:paraId="6F21906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FAA90C" w14:textId="77777777" w:rsidR="00A77B3E" w:rsidRDefault="00EE0A2B">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340355" w14:textId="77777777" w:rsidR="00A77B3E" w:rsidRDefault="00EE0A2B">
            <w:pPr>
              <w:spacing w:before="100"/>
              <w:rPr>
                <w:color w:val="000000"/>
                <w:sz w:val="20"/>
              </w:rPr>
            </w:pPr>
            <w:r>
              <w:rPr>
                <w:color w:val="000000"/>
                <w:sz w:val="20"/>
              </w:rPr>
              <w:t>002. Подкрепа от държава членка за друга държава членка, включително подкрепа, предоставена на EASO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70A2C8" w14:textId="77777777" w:rsidR="00A77B3E" w:rsidRDefault="00EE0A2B">
            <w:pPr>
              <w:spacing w:before="100"/>
              <w:jc w:val="right"/>
              <w:rPr>
                <w:color w:val="000000"/>
                <w:sz w:val="20"/>
              </w:rPr>
            </w:pPr>
            <w:r>
              <w:rPr>
                <w:color w:val="000000"/>
                <w:sz w:val="20"/>
              </w:rPr>
              <w:t>0.00</w:t>
            </w:r>
          </w:p>
        </w:tc>
      </w:tr>
      <w:tr w:rsidR="00723994" w14:paraId="574709C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AD664E" w14:textId="77777777" w:rsidR="00A77B3E" w:rsidRDefault="00EE0A2B">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3AA2AB" w14:textId="77777777" w:rsidR="00A77B3E" w:rsidRDefault="00EE0A2B">
            <w:pPr>
              <w:spacing w:before="100"/>
              <w:rPr>
                <w:color w:val="000000"/>
                <w:sz w:val="20"/>
              </w:rPr>
            </w:pPr>
            <w:r>
              <w:rPr>
                <w:color w:val="000000"/>
                <w:sz w:val="20"/>
              </w:rPr>
              <w:t>003. Преселване (член 19)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7F35FE" w14:textId="77777777" w:rsidR="00A77B3E" w:rsidRDefault="00EE0A2B">
            <w:pPr>
              <w:spacing w:before="100"/>
              <w:jc w:val="right"/>
              <w:rPr>
                <w:color w:val="000000"/>
                <w:sz w:val="20"/>
              </w:rPr>
            </w:pPr>
            <w:r>
              <w:rPr>
                <w:color w:val="000000"/>
                <w:sz w:val="20"/>
              </w:rPr>
              <w:t>500 000,00</w:t>
            </w:r>
          </w:p>
        </w:tc>
      </w:tr>
      <w:tr w:rsidR="00723994" w14:paraId="2850CD3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4EA2C1" w14:textId="77777777" w:rsidR="00A77B3E" w:rsidRDefault="00EE0A2B">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C6BE4C" w14:textId="77777777" w:rsidR="00A77B3E" w:rsidRDefault="00EE0A2B">
            <w:pPr>
              <w:spacing w:before="100"/>
              <w:rPr>
                <w:color w:val="000000"/>
                <w:sz w:val="20"/>
              </w:rPr>
            </w:pPr>
            <w:r>
              <w:rPr>
                <w:color w:val="000000"/>
                <w:sz w:val="20"/>
              </w:rPr>
              <w:t>004. Хуманитарен прием (член 19)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7F50EF" w14:textId="77777777" w:rsidR="00A77B3E" w:rsidRDefault="00EE0A2B">
            <w:pPr>
              <w:spacing w:before="100"/>
              <w:jc w:val="right"/>
              <w:rPr>
                <w:color w:val="000000"/>
                <w:sz w:val="20"/>
              </w:rPr>
            </w:pPr>
            <w:r>
              <w:rPr>
                <w:color w:val="000000"/>
                <w:sz w:val="20"/>
              </w:rPr>
              <w:t>0.00</w:t>
            </w:r>
          </w:p>
        </w:tc>
      </w:tr>
      <w:tr w:rsidR="00723994" w14:paraId="0B67BD0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DEBD5B" w14:textId="77777777" w:rsidR="00A77B3E" w:rsidRDefault="00EE0A2B">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13333D" w14:textId="77777777" w:rsidR="00A77B3E" w:rsidRDefault="00EE0A2B">
            <w:pPr>
              <w:spacing w:before="100"/>
              <w:rPr>
                <w:color w:val="000000"/>
                <w:sz w:val="20"/>
              </w:rPr>
            </w:pPr>
            <w:r>
              <w:rPr>
                <w:color w:val="000000"/>
                <w:sz w:val="20"/>
              </w:rPr>
              <w:t>005. Подкрепа, по отношение на инфраструктурата за приемане, за друга държава членка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A16335" w14:textId="77777777" w:rsidR="00A77B3E" w:rsidRDefault="00EE0A2B">
            <w:pPr>
              <w:spacing w:before="100"/>
              <w:jc w:val="right"/>
              <w:rPr>
                <w:color w:val="000000"/>
                <w:sz w:val="20"/>
              </w:rPr>
            </w:pPr>
            <w:r>
              <w:rPr>
                <w:color w:val="000000"/>
                <w:sz w:val="20"/>
              </w:rPr>
              <w:t>0.00</w:t>
            </w:r>
          </w:p>
        </w:tc>
      </w:tr>
      <w:tr w:rsidR="00723994" w14:paraId="6FEC657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CA8431" w14:textId="77777777" w:rsidR="00A77B3E" w:rsidRDefault="00EE0A2B">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3E0173" w14:textId="77777777" w:rsidR="00A77B3E" w:rsidRDefault="00EE0A2B">
            <w:pPr>
              <w:spacing w:before="100"/>
              <w:rPr>
                <w:color w:val="000000"/>
                <w:sz w:val="20"/>
              </w:rPr>
            </w:pPr>
            <w:r>
              <w:rPr>
                <w:color w:val="000000"/>
                <w:sz w:val="20"/>
              </w:rPr>
              <w:t>006. Оперативна поддръжка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CA74B8" w14:textId="77777777" w:rsidR="00A77B3E" w:rsidRDefault="00EE0A2B">
            <w:pPr>
              <w:spacing w:before="100"/>
              <w:jc w:val="right"/>
              <w:rPr>
                <w:color w:val="000000"/>
                <w:sz w:val="20"/>
              </w:rPr>
            </w:pPr>
            <w:r>
              <w:rPr>
                <w:color w:val="000000"/>
                <w:sz w:val="20"/>
              </w:rPr>
              <w:t>0.00</w:t>
            </w:r>
          </w:p>
        </w:tc>
      </w:tr>
    </w:tbl>
    <w:p w14:paraId="5AFCC5DE" w14:textId="77777777" w:rsidR="00A77B3E" w:rsidRDefault="00A77B3E">
      <w:pPr>
        <w:spacing w:before="100"/>
        <w:rPr>
          <w:color w:val="000000"/>
          <w:sz w:val="20"/>
        </w:rPr>
        <w:sectPr w:rsidR="00A77B3E">
          <w:pgSz w:w="16838" w:h="11906" w:orient="landscape"/>
          <w:pgMar w:top="720" w:right="720" w:bottom="864" w:left="936" w:header="288" w:footer="72" w:gutter="0"/>
          <w:cols w:space="720"/>
          <w:noEndnote/>
          <w:docGrid w:linePitch="360"/>
        </w:sectPr>
      </w:pPr>
    </w:p>
    <w:p w14:paraId="2E3FAE71" w14:textId="77777777" w:rsidR="00A77B3E" w:rsidRDefault="00EE0A2B">
      <w:pPr>
        <w:pStyle w:val="Heading2"/>
        <w:spacing w:before="100" w:after="0"/>
        <w:rPr>
          <w:rFonts w:ascii="TimesNewRoman" w:eastAsia="TimesNewRoman" w:hAnsi="TimesNewRoman" w:cs="TimesNewRoman"/>
          <w:b w:val="0"/>
          <w:i w:val="0"/>
          <w:color w:val="000000"/>
          <w:sz w:val="24"/>
        </w:rPr>
      </w:pPr>
      <w:bookmarkStart w:id="30" w:name="_Toc256000093"/>
      <w:r>
        <w:rPr>
          <w:rFonts w:ascii="TimesNewRoman" w:eastAsia="TimesNewRoman" w:hAnsi="TimesNewRoman" w:cs="TimesNewRoman"/>
          <w:b w:val="0"/>
          <w:i w:val="0"/>
          <w:color w:val="000000"/>
          <w:sz w:val="24"/>
        </w:rPr>
        <w:lastRenderedPageBreak/>
        <w:t>2.2. Техническа помощ: TA.36(5). Техническа помощ - фиксирана ставка (чл. 36(5) от CPR)</w:t>
      </w:r>
      <w:bookmarkEnd w:id="30"/>
    </w:p>
    <w:p w14:paraId="5C13E1E4" w14:textId="77777777" w:rsidR="00A77B3E" w:rsidRDefault="00A77B3E">
      <w:pPr>
        <w:spacing w:before="100"/>
        <w:rPr>
          <w:rFonts w:ascii="TimesNewRoman" w:eastAsia="TimesNewRoman" w:hAnsi="TimesNewRoman" w:cs="TimesNewRoman"/>
          <w:color w:val="000000"/>
          <w:sz w:val="0"/>
        </w:rPr>
      </w:pPr>
    </w:p>
    <w:p w14:paraId="01CDD48E" w14:textId="77777777" w:rsidR="00A77B3E" w:rsidRDefault="00EE0A2B">
      <w:pPr>
        <w:spacing w:before="100"/>
        <w:rPr>
          <w:rFonts w:ascii="TimesNewRoman" w:eastAsia="TimesNewRoman" w:hAnsi="TimesNewRoman" w:cs="TimesNewRoman"/>
          <w:color w:val="000000"/>
          <w:sz w:val="0"/>
        </w:rPr>
      </w:pPr>
      <w:r>
        <w:rPr>
          <w:rFonts w:ascii="TimesNewRoman" w:eastAsia="TimesNewRoman" w:hAnsi="TimesNewRoman" w:cs="TimesNewRoman"/>
          <w:color w:val="000000"/>
        </w:rPr>
        <w:t>Позоваване: член 22, параграф 3, буква е), член 36, параграф 5, член 37 и член 95 от РОР</w:t>
      </w:r>
    </w:p>
    <w:p w14:paraId="505FEE34" w14:textId="77777777" w:rsidR="00A77B3E" w:rsidRDefault="00EE0A2B">
      <w:pPr>
        <w:pStyle w:val="Heading3"/>
        <w:spacing w:before="100" w:after="0"/>
        <w:rPr>
          <w:rFonts w:ascii="TimesNewRoman" w:eastAsia="TimesNewRoman" w:hAnsi="TimesNewRoman" w:cs="TimesNewRoman"/>
          <w:b w:val="0"/>
          <w:color w:val="000000"/>
          <w:sz w:val="24"/>
        </w:rPr>
      </w:pPr>
      <w:bookmarkStart w:id="31" w:name="_Toc256000094"/>
      <w:r>
        <w:rPr>
          <w:rFonts w:ascii="TimesNewRoman" w:eastAsia="TimesNewRoman" w:hAnsi="TimesNewRoman" w:cs="TimesNewRoman"/>
          <w:b w:val="0"/>
          <w:color w:val="000000"/>
          <w:sz w:val="24"/>
        </w:rPr>
        <w:t>2.2.1. Описание</w:t>
      </w:r>
      <w:bookmarkEnd w:id="31"/>
    </w:p>
    <w:p w14:paraId="0B421797" w14:textId="77777777" w:rsidR="00A77B3E" w:rsidRDefault="00A77B3E">
      <w:pPr>
        <w:spacing w:before="100"/>
        <w:rPr>
          <w:rFonts w:ascii="TimesNewRoman" w:eastAsia="TimesNewRoman" w:hAnsi="TimesNewRoman" w:cs="TimesNewRoman"/>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723994" w14:paraId="7C966A85"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8FA60B" w14:textId="77777777" w:rsidR="00A77B3E" w:rsidRDefault="00A77B3E">
            <w:pPr>
              <w:spacing w:before="100"/>
              <w:rPr>
                <w:rFonts w:ascii="TimesNewRoman" w:eastAsia="TimesNewRoman" w:hAnsi="TimesNewRoman" w:cs="TimesNewRoman"/>
                <w:color w:val="000000"/>
                <w:sz w:val="0"/>
              </w:rPr>
            </w:pPr>
          </w:p>
          <w:p w14:paraId="7EE1B195"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Техническата помощ ще подкрепя действията на Управляващия орган (УО) на Фонд „Убежище, миграция и интеграция“ (ФУМИ) за ефективно и ефикасно изпълнение на целите и показателите, определени в Програмата.</w:t>
            </w:r>
          </w:p>
          <w:p w14:paraId="3366AD2C"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Дирекция „Международни проекти“ е структура в Министерството на вътрешните работи (МВР) за управление на програми и проекти, финансирани от Европейския съюз и други международни програми и договори, включително Норвежкия финансов механизъм. Функциите на дирекцията са описани в Правилника за устройството и дейността на МВР и в Системите за управление и контрол (СУК). Дирекцията се състои от три отдела с ясно определени и разграничени отговорности, което осигурява ефективното изпълнение на дейностите, свързани с управлението и контрола на европейските средства.</w:t>
            </w:r>
          </w:p>
          <w:p w14:paraId="050E42BC"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Дирекция „Международни проекти“ има значителен опит в управлението на програми и проекти от предишни програмни периоди.</w:t>
            </w:r>
          </w:p>
          <w:p w14:paraId="0F22E04B"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С Решение № 712 от 6 октомври 2020 г. на Министерския съвет на Република България, Дирекция „Международни проекти“ е определена за управляващ орган на Програмата по Фонд „Убежище, миграция и интеграция“ за програмния период 2021 – 2027 г.</w:t>
            </w:r>
          </w:p>
          <w:p w14:paraId="4803675A"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Инвестициите, предвидени по линия на техническата помощ, ще продължат да осигуряват добра работна среда и експертни и мотивирани човешки ресурси, за да се постигне висок стандарт на ефективно управление и контрол на Програмата.</w:t>
            </w:r>
          </w:p>
          <w:p w14:paraId="45A0B3D3"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Това ще се постигне чрез прилагането на следните действия:</w:t>
            </w:r>
          </w:p>
          <w:p w14:paraId="411F6E1C"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 осигуряване на необходимото техническо оборудване (хардуер и софтуер), включително офис оборудване, когато е необходимо, за да се гарантира управлението, прилагането, мониторингът, оценката и контролът на ФУМИ;</w:t>
            </w:r>
          </w:p>
          <w:p w14:paraId="6DCFF472"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 укрепване на капацитета на персонала чрез обучения, семинари, работни срещи, учебни посещения, обмен на добри практики и опит и други.</w:t>
            </w:r>
          </w:p>
          <w:p w14:paraId="5DE1B62B"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 осигуряване на служебни пътувания на персонала;</w:t>
            </w:r>
          </w:p>
          <w:p w14:paraId="37167A18"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 осигуряване на разходите за възнаграждения на персонала, включително застраховки и всички други разходи съгласно националното законодателство;</w:t>
            </w:r>
          </w:p>
          <w:p w14:paraId="7456C8D3"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 наемане на външни консултанти и експерти, ако е необходимо;</w:t>
            </w:r>
          </w:p>
          <w:p w14:paraId="40634C40"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 мерки за комуникация и видимост.</w:t>
            </w:r>
          </w:p>
          <w:p w14:paraId="3C7107FF"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Тези дейности спомагат за укрепване на капацитета и ефективността на Управителния съвет, допринасяйки за успешното прилагане на европейската политика в областта на убежището и миграцията.</w:t>
            </w:r>
          </w:p>
          <w:p w14:paraId="574C85D2"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Очаквани резултати:</w:t>
            </w:r>
          </w:p>
          <w:p w14:paraId="2DB6AE5E"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 постигане на висок стандарт на изпълнение, мониторинг, оценка и контрол на Програмата;</w:t>
            </w:r>
          </w:p>
          <w:p w14:paraId="544C2743"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 осигуряване на добра работна среда и подобрена култура на работа, насочена към постигане на резултати;</w:t>
            </w:r>
          </w:p>
          <w:p w14:paraId="088B0A63"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rPr>
              <w:t>· провеждане на засилен и активен диалог със заинтересованите страни и широката общественост с цел популяризиране на Програмата, нейните цели и резултати, както и приноса на ЕС.</w:t>
            </w:r>
          </w:p>
          <w:p w14:paraId="591A31A9" w14:textId="77777777" w:rsidR="00A77B3E" w:rsidRDefault="00A77B3E">
            <w:pPr>
              <w:spacing w:before="100"/>
              <w:rPr>
                <w:rFonts w:ascii="TimesNewRoman" w:eastAsia="TimesNewRoman" w:hAnsi="TimesNewRoman" w:cs="TimesNewRoman"/>
                <w:color w:val="000000"/>
                <w:sz w:val="6"/>
              </w:rPr>
            </w:pPr>
          </w:p>
          <w:p w14:paraId="5CEFF4FD" w14:textId="77777777" w:rsidR="00A77B3E" w:rsidRDefault="00A77B3E">
            <w:pPr>
              <w:spacing w:before="100"/>
              <w:rPr>
                <w:rFonts w:ascii="TimesNewRoman" w:eastAsia="TimesNewRoman" w:hAnsi="TimesNewRoman" w:cs="TimesNewRoman"/>
                <w:color w:val="000000"/>
                <w:sz w:val="6"/>
              </w:rPr>
            </w:pPr>
          </w:p>
        </w:tc>
      </w:tr>
    </w:tbl>
    <w:p w14:paraId="31815DA3" w14:textId="77777777" w:rsidR="00A77B3E" w:rsidRDefault="00A77B3E">
      <w:pPr>
        <w:spacing w:before="100"/>
        <w:rPr>
          <w:rFonts w:ascii="TimesNewRoman" w:eastAsia="TimesNewRoman" w:hAnsi="TimesNewRoman" w:cs="TimesNewRoman"/>
          <w:color w:val="000000"/>
        </w:rPr>
        <w:sectPr w:rsidR="00A77B3E">
          <w:headerReference w:type="even" r:id="rId61"/>
          <w:headerReference w:type="default" r:id="rId62"/>
          <w:footerReference w:type="even" r:id="rId63"/>
          <w:footerReference w:type="default" r:id="rId64"/>
          <w:headerReference w:type="first" r:id="rId65"/>
          <w:footerReference w:type="first" r:id="rId66"/>
          <w:pgSz w:w="11906" w:h="16838"/>
          <w:pgMar w:top="720" w:right="936" w:bottom="864" w:left="720" w:header="0" w:footer="72" w:gutter="0"/>
          <w:cols w:space="720"/>
          <w:noEndnote/>
          <w:docGrid w:linePitch="360"/>
        </w:sectPr>
      </w:pPr>
    </w:p>
    <w:p w14:paraId="4AF210A7" w14:textId="77777777" w:rsidR="00A77B3E" w:rsidRDefault="00EE0A2B">
      <w:pPr>
        <w:spacing w:before="100"/>
        <w:rPr>
          <w:color w:val="000000"/>
          <w:sz w:val="0"/>
        </w:rPr>
      </w:pPr>
      <w:r>
        <w:rPr>
          <w:color w:val="000000"/>
        </w:rPr>
        <w:lastRenderedPageBreak/>
        <w:t>2.2. Техническа помощ TA.36(5). Техническа помощ - фиксирана ставка (чл. 36(5) от CPR)</w:t>
      </w:r>
    </w:p>
    <w:p w14:paraId="4375B9B9" w14:textId="77777777" w:rsidR="00A77B3E" w:rsidRDefault="00EE0A2B">
      <w:pPr>
        <w:pStyle w:val="Heading3"/>
        <w:spacing w:before="100" w:after="0"/>
        <w:rPr>
          <w:rFonts w:ascii="Times New Roman" w:hAnsi="Times New Roman" w:cs="Times New Roman"/>
          <w:b w:val="0"/>
          <w:color w:val="000000"/>
          <w:sz w:val="24"/>
        </w:rPr>
      </w:pPr>
      <w:bookmarkStart w:id="32" w:name="_Toc256000095"/>
      <w:r>
        <w:rPr>
          <w:rFonts w:ascii="Times New Roman" w:hAnsi="Times New Roman" w:cs="Times New Roman"/>
          <w:b w:val="0"/>
          <w:color w:val="000000"/>
          <w:sz w:val="24"/>
        </w:rPr>
        <w:t>2.2.2. Индикативно разпределение на техническата помощ съгласно член 37 от РОР</w:t>
      </w:r>
      <w:bookmarkEnd w:id="32"/>
    </w:p>
    <w:p w14:paraId="1662CCFF" w14:textId="77777777" w:rsidR="00A77B3E" w:rsidRDefault="00EE0A2B">
      <w:pPr>
        <w:pStyle w:val="Heading4"/>
        <w:spacing w:before="100" w:after="0"/>
        <w:rPr>
          <w:b w:val="0"/>
          <w:color w:val="000000"/>
          <w:sz w:val="24"/>
        </w:rPr>
      </w:pPr>
      <w:bookmarkStart w:id="33" w:name="_Toc256000096"/>
      <w:r>
        <w:rPr>
          <w:b w:val="0"/>
          <w:color w:val="000000"/>
          <w:sz w:val="24"/>
        </w:rPr>
        <w:t>Таблица 4: Индикативно разпределение</w:t>
      </w:r>
      <w:bookmarkEnd w:id="33"/>
    </w:p>
    <w:p w14:paraId="675EFD7E"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190"/>
        <w:gridCol w:w="3970"/>
      </w:tblGrid>
      <w:tr w:rsidR="00723994" w14:paraId="503D37F0" w14:textId="77777777">
        <w:trPr>
          <w:tblHeader/>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2FC714" w14:textId="77777777" w:rsidR="00A77B3E" w:rsidRDefault="00EE0A2B">
            <w:pPr>
              <w:spacing w:before="100"/>
              <w:rPr>
                <w:color w:val="000000"/>
                <w:sz w:val="20"/>
              </w:rPr>
            </w:pPr>
            <w:r>
              <w:rPr>
                <w:color w:val="000000"/>
                <w:sz w:val="20"/>
              </w:rPr>
              <w:t>Вид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F53138" w14:textId="77777777" w:rsidR="00A77B3E" w:rsidRDefault="00EE0A2B">
            <w:pPr>
              <w:spacing w:before="100"/>
              <w:rPr>
                <w:color w:val="000000"/>
                <w:sz w:val="20"/>
              </w:rPr>
            </w:pPr>
            <w:r>
              <w:rPr>
                <w:color w:val="000000"/>
                <w:sz w:val="20"/>
              </w:rPr>
              <w:t>Код</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6DFADA" w14:textId="77777777" w:rsidR="00A77B3E" w:rsidRDefault="00EE0A2B">
            <w:pPr>
              <w:spacing w:before="100"/>
              <w:jc w:val="right"/>
              <w:rPr>
                <w:color w:val="000000"/>
                <w:sz w:val="20"/>
              </w:rPr>
            </w:pPr>
            <w:r>
              <w:rPr>
                <w:color w:val="000000"/>
                <w:sz w:val="20"/>
              </w:rPr>
              <w:t>Ориентировъчна сума (евро)</w:t>
            </w:r>
          </w:p>
        </w:tc>
      </w:tr>
      <w:tr w:rsidR="00723994" w14:paraId="0DC0D65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97DB9D" w14:textId="77777777" w:rsidR="00A77B3E" w:rsidRDefault="00EE0A2B">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D0F651" w14:textId="77777777" w:rsidR="00A77B3E" w:rsidRDefault="00EE0A2B">
            <w:pPr>
              <w:spacing w:before="100"/>
              <w:rPr>
                <w:color w:val="000000"/>
                <w:sz w:val="20"/>
              </w:rPr>
            </w:pPr>
            <w:r>
              <w:rPr>
                <w:color w:val="000000"/>
                <w:sz w:val="20"/>
              </w:rPr>
              <w:t>001. Информация и комуникация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866AED" w14:textId="77777777" w:rsidR="00A77B3E" w:rsidRDefault="00EE0A2B">
            <w:pPr>
              <w:spacing w:before="100"/>
              <w:jc w:val="right"/>
              <w:rPr>
                <w:color w:val="000000"/>
                <w:sz w:val="20"/>
              </w:rPr>
            </w:pPr>
            <w:r>
              <w:rPr>
                <w:color w:val="000000"/>
                <w:sz w:val="20"/>
              </w:rPr>
              <w:t>1 000 000,00</w:t>
            </w:r>
          </w:p>
        </w:tc>
      </w:tr>
      <w:tr w:rsidR="00723994" w14:paraId="1A79026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EBDC6A" w14:textId="77777777" w:rsidR="00A77B3E" w:rsidRDefault="00EE0A2B">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739E4F" w14:textId="77777777" w:rsidR="00A77B3E" w:rsidRDefault="00EE0A2B">
            <w:pPr>
              <w:spacing w:before="100"/>
              <w:rPr>
                <w:color w:val="000000"/>
                <w:sz w:val="20"/>
              </w:rPr>
            </w:pPr>
            <w:r>
              <w:rPr>
                <w:color w:val="000000"/>
                <w:sz w:val="20"/>
              </w:rPr>
              <w:t>002. Подготовка, изпълнение, наблюдение и контрол</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8D0155" w14:textId="77777777" w:rsidR="00A77B3E" w:rsidRDefault="00EE0A2B">
            <w:pPr>
              <w:spacing w:before="100"/>
              <w:jc w:val="right"/>
              <w:rPr>
                <w:color w:val="000000"/>
                <w:sz w:val="20"/>
              </w:rPr>
            </w:pPr>
            <w:r>
              <w:rPr>
                <w:color w:val="000000"/>
                <w:sz w:val="20"/>
              </w:rPr>
              <w:t>2 264 531,97</w:t>
            </w:r>
          </w:p>
        </w:tc>
      </w:tr>
      <w:tr w:rsidR="00723994" w14:paraId="1093847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5E123E" w14:textId="77777777" w:rsidR="00A77B3E" w:rsidRDefault="00EE0A2B">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EEB2C8" w14:textId="77777777" w:rsidR="00A77B3E" w:rsidRDefault="00EE0A2B">
            <w:pPr>
              <w:spacing w:before="100"/>
              <w:rPr>
                <w:color w:val="000000"/>
                <w:sz w:val="20"/>
              </w:rPr>
            </w:pPr>
            <w:r>
              <w:rPr>
                <w:color w:val="000000"/>
                <w:sz w:val="20"/>
              </w:rPr>
              <w:t>003. Оценка и проучвания, събиране на данни</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4D8FD4" w14:textId="77777777" w:rsidR="00A77B3E" w:rsidRDefault="00EE0A2B">
            <w:pPr>
              <w:spacing w:before="100"/>
              <w:jc w:val="right"/>
              <w:rPr>
                <w:color w:val="000000"/>
                <w:sz w:val="20"/>
              </w:rPr>
            </w:pPr>
            <w:r>
              <w:rPr>
                <w:color w:val="000000"/>
                <w:sz w:val="20"/>
              </w:rPr>
              <w:t>1 000 000,00</w:t>
            </w:r>
          </w:p>
        </w:tc>
      </w:tr>
      <w:tr w:rsidR="00723994" w14:paraId="16E6E87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4CC762" w14:textId="77777777" w:rsidR="00A77B3E" w:rsidRDefault="00EE0A2B">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89B665" w14:textId="77777777" w:rsidR="00A77B3E" w:rsidRDefault="00EE0A2B">
            <w:pPr>
              <w:spacing w:before="100"/>
              <w:rPr>
                <w:color w:val="000000"/>
                <w:sz w:val="20"/>
              </w:rPr>
            </w:pPr>
            <w:r>
              <w:rPr>
                <w:color w:val="000000"/>
                <w:sz w:val="20"/>
              </w:rPr>
              <w:t>004. Изграждане на капацитет</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271896" w14:textId="77777777" w:rsidR="00A77B3E" w:rsidRDefault="00EE0A2B">
            <w:pPr>
              <w:spacing w:before="100"/>
              <w:jc w:val="right"/>
              <w:rPr>
                <w:color w:val="000000"/>
                <w:sz w:val="20"/>
              </w:rPr>
            </w:pPr>
            <w:r>
              <w:rPr>
                <w:color w:val="000000"/>
                <w:sz w:val="20"/>
              </w:rPr>
              <w:t>2 000 000,00</w:t>
            </w:r>
          </w:p>
        </w:tc>
      </w:tr>
    </w:tbl>
    <w:p w14:paraId="33700880" w14:textId="77777777" w:rsidR="00A77B3E" w:rsidRDefault="00A77B3E">
      <w:pPr>
        <w:spacing w:before="100"/>
        <w:rPr>
          <w:color w:val="000000"/>
          <w:sz w:val="20"/>
        </w:rPr>
        <w:sectPr w:rsidR="00A77B3E">
          <w:pgSz w:w="11906" w:h="16838"/>
          <w:pgMar w:top="720" w:right="936" w:bottom="864" w:left="720" w:header="0" w:footer="72" w:gutter="0"/>
          <w:cols w:space="720"/>
          <w:noEndnote/>
          <w:docGrid w:linePitch="360"/>
        </w:sectPr>
      </w:pPr>
    </w:p>
    <w:p w14:paraId="6C02DAFB" w14:textId="77777777" w:rsidR="00A77B3E" w:rsidRDefault="00EE0A2B">
      <w:pPr>
        <w:pStyle w:val="Heading1"/>
        <w:spacing w:before="100" w:after="0"/>
        <w:rPr>
          <w:rFonts w:ascii="Times New Roman" w:hAnsi="Times New Roman" w:cs="Times New Roman"/>
          <w:b w:val="0"/>
          <w:color w:val="000000"/>
          <w:sz w:val="24"/>
        </w:rPr>
      </w:pPr>
      <w:bookmarkStart w:id="34" w:name="_Toc256000097"/>
      <w:r>
        <w:rPr>
          <w:rFonts w:ascii="Times New Roman" w:hAnsi="Times New Roman" w:cs="Times New Roman"/>
          <w:b w:val="0"/>
          <w:color w:val="000000"/>
          <w:sz w:val="24"/>
        </w:rPr>
        <w:lastRenderedPageBreak/>
        <w:t>3. План за финансиране</w:t>
      </w:r>
      <w:bookmarkEnd w:id="34"/>
    </w:p>
    <w:p w14:paraId="4497D023" w14:textId="77777777" w:rsidR="00A77B3E" w:rsidRDefault="00EE0A2B">
      <w:pPr>
        <w:spacing w:before="100"/>
        <w:rPr>
          <w:color w:val="000000"/>
          <w:sz w:val="12"/>
        </w:rPr>
      </w:pPr>
      <w:r>
        <w:rPr>
          <w:color w:val="000000"/>
        </w:rPr>
        <w:t>Позоваване: буква (ж) от член 22, параграф 3 от РОР</w:t>
      </w:r>
    </w:p>
    <w:p w14:paraId="0F18996C" w14:textId="77777777" w:rsidR="00A77B3E" w:rsidRDefault="00EE0A2B">
      <w:pPr>
        <w:pStyle w:val="Heading2"/>
        <w:spacing w:before="100" w:after="0"/>
        <w:rPr>
          <w:rFonts w:ascii="TimesNewRoman" w:eastAsia="TimesNewRoman" w:hAnsi="TimesNewRoman" w:cs="TimesNewRoman"/>
          <w:b w:val="0"/>
          <w:i w:val="0"/>
          <w:color w:val="000000"/>
          <w:sz w:val="24"/>
        </w:rPr>
      </w:pPr>
      <w:bookmarkStart w:id="35" w:name="_Toc256000098"/>
      <w:r>
        <w:rPr>
          <w:rFonts w:ascii="TimesNewRoman" w:eastAsia="TimesNewRoman" w:hAnsi="TimesNewRoman" w:cs="TimesNewRoman"/>
          <w:b w:val="0"/>
          <w:i w:val="0"/>
          <w:color w:val="000000"/>
          <w:sz w:val="24"/>
        </w:rPr>
        <w:t>3.1. Финансови бюджетни кредити по години</w:t>
      </w:r>
      <w:bookmarkEnd w:id="35"/>
    </w:p>
    <w:p w14:paraId="3DC27B62" w14:textId="77777777" w:rsidR="00A77B3E" w:rsidRDefault="00EE0A2B">
      <w:pPr>
        <w:pStyle w:val="Heading4"/>
        <w:spacing w:before="100" w:after="0"/>
        <w:rPr>
          <w:rFonts w:ascii="TimesNewRoman" w:eastAsia="TimesNewRoman" w:hAnsi="TimesNewRoman" w:cs="TimesNewRoman"/>
          <w:b w:val="0"/>
          <w:color w:val="000000"/>
          <w:sz w:val="24"/>
        </w:rPr>
      </w:pPr>
      <w:bookmarkStart w:id="36" w:name="_Toc256000099"/>
      <w:r>
        <w:rPr>
          <w:rFonts w:ascii="TimesNewRoman" w:eastAsia="TimesNewRoman" w:hAnsi="TimesNewRoman" w:cs="TimesNewRoman"/>
          <w:b w:val="0"/>
          <w:color w:val="000000"/>
          <w:sz w:val="24"/>
        </w:rPr>
        <w:t>Таблица 5: Финансови бюджетни кредити по години</w:t>
      </w:r>
      <w:bookmarkEnd w:id="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2"/>
        <w:gridCol w:w="1415"/>
        <w:gridCol w:w="1415"/>
        <w:gridCol w:w="1415"/>
        <w:gridCol w:w="1415"/>
        <w:gridCol w:w="1415"/>
        <w:gridCol w:w="1415"/>
        <w:gridCol w:w="1415"/>
        <w:gridCol w:w="1675"/>
      </w:tblGrid>
      <w:tr w:rsidR="00723994" w14:paraId="5B19DAEF" w14:textId="77777777">
        <w:trPr>
          <w:tblHeader/>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9042C73" w14:textId="77777777" w:rsidR="00A77B3E" w:rsidRDefault="00EE0A2B">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Тип разпределение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02A2D6A" w14:textId="77777777" w:rsidR="00A77B3E" w:rsidRDefault="00EE0A2B">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2021 г.</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D1D1C17" w14:textId="77777777" w:rsidR="00A77B3E" w:rsidRDefault="00EE0A2B">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2022 г.</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0CB7D5D" w14:textId="77777777" w:rsidR="00A77B3E" w:rsidRDefault="00EE0A2B">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2023 г.</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9953EEA" w14:textId="77777777" w:rsidR="00A77B3E" w:rsidRDefault="00EE0A2B">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2024 г.</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D9B60A9" w14:textId="77777777" w:rsidR="00A77B3E" w:rsidRDefault="00EE0A2B">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2025 г.</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CD82270" w14:textId="77777777" w:rsidR="00A77B3E" w:rsidRDefault="00EE0A2B">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2026 г.</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AAE0406" w14:textId="77777777" w:rsidR="00A77B3E" w:rsidRDefault="00EE0A2B">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2027 г.</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0DD0BC9" w14:textId="77777777" w:rsidR="00A77B3E" w:rsidRDefault="00EE0A2B">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Общо</w:t>
            </w:r>
          </w:p>
        </w:tc>
      </w:tr>
    </w:tbl>
    <w:p w14:paraId="09F0F684"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sz w:val="16"/>
        </w:rPr>
        <w:br w:type="page"/>
      </w:r>
    </w:p>
    <w:p w14:paraId="7C2DEACF" w14:textId="77777777" w:rsidR="00A77B3E" w:rsidRDefault="00EE0A2B">
      <w:pPr>
        <w:pStyle w:val="Heading2"/>
        <w:spacing w:before="100" w:after="0"/>
        <w:rPr>
          <w:rFonts w:ascii="TimesNewRoman" w:eastAsia="TimesNewRoman" w:hAnsi="TimesNewRoman" w:cs="TimesNewRoman"/>
          <w:b w:val="0"/>
          <w:i w:val="0"/>
          <w:color w:val="000000"/>
          <w:sz w:val="24"/>
        </w:rPr>
      </w:pPr>
      <w:bookmarkStart w:id="37" w:name="_Toc256000100"/>
      <w:r>
        <w:rPr>
          <w:rFonts w:ascii="TimesNewRoman" w:eastAsia="TimesNewRoman" w:hAnsi="TimesNewRoman" w:cs="TimesNewRoman"/>
          <w:b w:val="0"/>
          <w:i w:val="0"/>
          <w:color w:val="000000"/>
          <w:sz w:val="24"/>
        </w:rPr>
        <w:lastRenderedPageBreak/>
        <w:t>3.2. Общо финансови разпределения</w:t>
      </w:r>
      <w:bookmarkEnd w:id="37"/>
    </w:p>
    <w:p w14:paraId="089604A2" w14:textId="77777777" w:rsidR="00A77B3E" w:rsidRDefault="00EE0A2B">
      <w:pPr>
        <w:pStyle w:val="Heading4"/>
        <w:spacing w:before="100" w:after="0"/>
        <w:rPr>
          <w:rFonts w:ascii="TimesNewRoman" w:eastAsia="TimesNewRoman" w:hAnsi="TimesNewRoman" w:cs="TimesNewRoman"/>
          <w:b w:val="0"/>
          <w:color w:val="000000"/>
          <w:sz w:val="24"/>
        </w:rPr>
      </w:pPr>
      <w:bookmarkStart w:id="38" w:name="_Toc256000101"/>
      <w:r>
        <w:rPr>
          <w:rFonts w:ascii="TimesNewRoman" w:eastAsia="TimesNewRoman" w:hAnsi="TimesNewRoman" w:cs="TimesNewRoman"/>
          <w:b w:val="0"/>
          <w:color w:val="000000"/>
          <w:sz w:val="24"/>
        </w:rPr>
        <w:t>Таблица 6: Общо финансови разпределения по фондове и национален принос</w:t>
      </w:r>
      <w:bookmarkEnd w:id="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5"/>
        <w:gridCol w:w="1518"/>
        <w:gridCol w:w="1517"/>
        <w:gridCol w:w="1517"/>
        <w:gridCol w:w="1517"/>
        <w:gridCol w:w="1517"/>
        <w:gridCol w:w="1517"/>
        <w:gridCol w:w="1517"/>
        <w:gridCol w:w="1517"/>
      </w:tblGrid>
      <w:tr w:rsidR="00723994" w14:paraId="01F71B32" w14:textId="77777777">
        <w:trPr>
          <w:tblHeader/>
        </w:trPr>
        <w:tc>
          <w:tcPr>
            <w:tcW w:w="10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E3C7105" w14:textId="77777777" w:rsidR="00A77B3E" w:rsidRDefault="00EE0A2B">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Специфична цел (СЦ)</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FC8D987" w14:textId="77777777" w:rsidR="00A77B3E" w:rsidRDefault="00EE0A2B">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Вид действие</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74E150B" w14:textId="77777777" w:rsidR="00A77B3E" w:rsidRDefault="00EE0A2B">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Основа за изчисляване на подкрепата на Съюза (обща или публична)</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98A0A5B" w14:textId="77777777" w:rsidR="00A77B3E" w:rsidRDefault="00EE0A2B">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Вноска на Съюза (а)</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FBC2A37" w14:textId="77777777" w:rsidR="00A77B3E" w:rsidRDefault="00EE0A2B">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Национален принос (b)=(c)+(d)</w:t>
            </w:r>
          </w:p>
        </w:tc>
        <w:tc>
          <w:tcPr>
            <w:tcW w:w="500" w:type="pct"/>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0AC3BB4" w14:textId="77777777" w:rsidR="00A77B3E" w:rsidRDefault="00EE0A2B">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Индикативно разпределение на националния принос</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A7B12F3" w14:textId="77777777" w:rsidR="00A77B3E" w:rsidRDefault="00EE0A2B">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Общо (e)=(a)+(b)</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E92D4B6" w14:textId="77777777" w:rsidR="00A77B3E" w:rsidRDefault="00EE0A2B">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Процент на съфинансиране (f)=(a)/(e)</w:t>
            </w:r>
          </w:p>
        </w:tc>
      </w:tr>
      <w:tr w:rsidR="00723994" w14:paraId="22FEF7ED" w14:textId="77777777">
        <w:trPr>
          <w:tblHeader/>
        </w:trPr>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FDAEECE" w14:textId="77777777" w:rsidR="00A77B3E" w:rsidRDefault="00A77B3E">
            <w:pPr>
              <w:spacing w:before="100"/>
              <w:jc w:val="center"/>
              <w:rPr>
                <w:rFonts w:ascii="TimesNewRoman" w:eastAsia="TimesNewRoman" w:hAnsi="TimesNewRoman" w:cs="TimesNewRoman"/>
                <w:color w:val="000000"/>
                <w:sz w:val="16"/>
              </w:rPr>
            </w:pP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D084409" w14:textId="77777777" w:rsidR="00A77B3E" w:rsidRDefault="00A77B3E">
            <w:pPr>
              <w:spacing w:before="100"/>
              <w:jc w:val="center"/>
              <w:rPr>
                <w:rFonts w:ascii="TimesNewRoman" w:eastAsia="TimesNewRoman" w:hAnsi="TimesNewRoman" w:cs="TimesNewRoman"/>
                <w:color w:val="000000"/>
                <w:sz w:val="16"/>
              </w:rPr>
            </w:pP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126C6BE" w14:textId="77777777" w:rsidR="00A77B3E" w:rsidRDefault="00A77B3E">
            <w:pPr>
              <w:spacing w:before="100"/>
              <w:jc w:val="center"/>
              <w:rPr>
                <w:rFonts w:ascii="TimesNewRoman" w:eastAsia="TimesNewRoman" w:hAnsi="TimesNewRoman" w:cs="TimesNewRoman"/>
                <w:color w:val="000000"/>
                <w:sz w:val="16"/>
              </w:rPr>
            </w:pP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7A326B7" w14:textId="77777777" w:rsidR="00A77B3E" w:rsidRDefault="00A77B3E">
            <w:pPr>
              <w:spacing w:before="100"/>
              <w:jc w:val="center"/>
              <w:rPr>
                <w:rFonts w:ascii="TimesNewRoman" w:eastAsia="TimesNewRoman" w:hAnsi="TimesNewRoman" w:cs="TimesNewRoman"/>
                <w:color w:val="000000"/>
                <w:sz w:val="16"/>
              </w:rPr>
            </w:pP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910FD17" w14:textId="77777777" w:rsidR="00A77B3E" w:rsidRDefault="00A77B3E">
            <w:pPr>
              <w:spacing w:before="100"/>
              <w:jc w:val="center"/>
              <w:rPr>
                <w:rFonts w:ascii="TimesNewRoman" w:eastAsia="TimesNewRoman" w:hAnsi="TimesNewRoman" w:cs="TimesNewRoman"/>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BCA478D" w14:textId="77777777" w:rsidR="00A77B3E" w:rsidRDefault="00EE0A2B">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Публично (в)</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A27D127" w14:textId="77777777" w:rsidR="00A77B3E" w:rsidRDefault="00EE0A2B">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Редник (d)</w:t>
            </w: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48F9258" w14:textId="77777777" w:rsidR="00A77B3E" w:rsidRDefault="00A77B3E">
            <w:pPr>
              <w:spacing w:before="100"/>
              <w:jc w:val="center"/>
              <w:rPr>
                <w:rFonts w:ascii="TimesNewRoman" w:eastAsia="TimesNewRoman" w:hAnsi="TimesNewRoman" w:cs="TimesNewRoman"/>
                <w:color w:val="000000"/>
                <w:sz w:val="16"/>
              </w:rPr>
            </w:pP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2EE1742" w14:textId="77777777" w:rsidR="00A77B3E" w:rsidRDefault="00A77B3E">
            <w:pPr>
              <w:spacing w:before="100"/>
              <w:jc w:val="center"/>
              <w:rPr>
                <w:rFonts w:ascii="TimesNewRoman" w:eastAsia="TimesNewRoman" w:hAnsi="TimesNewRoman" w:cs="TimesNewRoman"/>
                <w:color w:val="000000"/>
                <w:sz w:val="16"/>
              </w:rPr>
            </w:pPr>
          </w:p>
        </w:tc>
      </w:tr>
      <w:tr w:rsidR="00723994" w14:paraId="45DD39DD"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79F460"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ОЕСУ</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A0BFF9"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Редовни действия</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F176AA"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Общо</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625557"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13 552 601,00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70AE90"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4 517 533,67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E5C0DA"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4 517 533,67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242C50"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C4A69E"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18 070 134,67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38E605"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74.9999999862%</w:t>
            </w:r>
          </w:p>
        </w:tc>
      </w:tr>
      <w:tr w:rsidR="00723994" w14:paraId="268FCDF2"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01AA6D"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ОЕСУ</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F3FAF5"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Конкретни действия</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EF36F0"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Общо</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1B55ED"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12 025 436,79</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BC5388"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1 336 159,66</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DD6F70"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1 336 159,66</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08C5CB" w14:textId="77777777" w:rsidR="00A77B3E" w:rsidRDefault="00A77B3E">
            <w:pPr>
              <w:spacing w:before="100"/>
              <w:jc w:val="right"/>
              <w:rPr>
                <w:rFonts w:ascii="TimesNewRoman" w:eastAsia="TimesNewRoman" w:hAnsi="TimesNewRoman" w:cs="TimesNewRoman"/>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990019"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13 361 596,45</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A58297"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89.9999998877%</w:t>
            </w:r>
          </w:p>
        </w:tc>
      </w:tr>
      <w:tr w:rsidR="00723994" w14:paraId="4D96B269"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DC96C0"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ОЕСУ</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903BC9"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Действия по приложение IV</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52678E"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Общо</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5BB51C"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3FDD32"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15A1D3"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EE139C"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734087"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7F7ACB" w14:textId="77777777" w:rsidR="00A77B3E" w:rsidRDefault="00A77B3E">
            <w:pPr>
              <w:spacing w:before="100"/>
              <w:jc w:val="right"/>
              <w:rPr>
                <w:rFonts w:ascii="TimesNewRoman" w:eastAsia="TimesNewRoman" w:hAnsi="TimesNewRoman" w:cs="TimesNewRoman"/>
                <w:color w:val="000000"/>
                <w:sz w:val="16"/>
              </w:rPr>
            </w:pPr>
          </w:p>
        </w:tc>
      </w:tr>
      <w:tr w:rsidR="00723994" w14:paraId="520ADDC6"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4738F1"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ОЕСУ</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604460"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Оперативна поддръжка</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2BF404"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Общо</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3CE877"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4 851 540,00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AEDAC0"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1 617 180,00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0AB019"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1 617 180,00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127955"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C5B24F"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6 468 720,00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564110"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75.0000000000%</w:t>
            </w:r>
          </w:p>
        </w:tc>
      </w:tr>
      <w:tr w:rsidR="00723994" w14:paraId="09555EF3"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EAE267"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ОЕСУ</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FC4B5B"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Пактът и специфичните действия за Украйна</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E3B5E7"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Общо</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C64292"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32 021 798,11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F4CB34"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3 557 977,57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2486F2"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3 557 977,57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59D1D2"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D3524E"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35 579 775,68</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09858D"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89.9999999944%</w:t>
            </w:r>
          </w:p>
        </w:tc>
      </w:tr>
      <w:tr w:rsidR="00723994" w14:paraId="7BBA177E"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2832F9"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Общо ОЕСУ</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3831C1" w14:textId="77777777" w:rsidR="00A77B3E" w:rsidRDefault="00A77B3E">
            <w:pPr>
              <w:spacing w:before="100"/>
              <w:rPr>
                <w:rFonts w:ascii="TimesNewRoman" w:eastAsia="TimesNewRoman" w:hAnsi="TimesNewRoman" w:cs="TimesNewRoman"/>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D994E6" w14:textId="77777777" w:rsidR="00A77B3E" w:rsidRDefault="00A77B3E">
            <w:pPr>
              <w:spacing w:before="100"/>
              <w:rPr>
                <w:rFonts w:ascii="TimesNewRoman" w:eastAsia="TimesNewRoman" w:hAnsi="TimesNewRoman" w:cs="TimesNewRoman"/>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3228F4"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62 451 375,90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59D39C"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11 028 850,90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17DFA4"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11 028 850,90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EB537E"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EEFC76"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73 480 226,80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582617"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84.9907228376%</w:t>
            </w:r>
          </w:p>
        </w:tc>
      </w:tr>
      <w:tr w:rsidR="00723994" w14:paraId="3B3B5639"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24467E"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Легална миграция и интеграция</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B12437"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Редовни действия</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C74705"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Общо</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FC5A05"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6 930 018,19</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162511"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2 310 006,07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98E04F"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2 310 006,07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E201B5"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682968"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9 240 024,26</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0984E0"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74.9999999459%</w:t>
            </w:r>
          </w:p>
        </w:tc>
      </w:tr>
      <w:tr w:rsidR="00723994" w14:paraId="51F1A927"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67A22B"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Легална миграция и интеграция</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C5472E"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Конкретни действия</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48776A"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Общо</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1A1730"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11 024 365,90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F88C0A"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1 224 929,55</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21425C"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1 224 929,55</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FB9E76" w14:textId="77777777" w:rsidR="00A77B3E" w:rsidRDefault="00A77B3E">
            <w:pPr>
              <w:spacing w:before="100"/>
              <w:jc w:val="right"/>
              <w:rPr>
                <w:rFonts w:ascii="TimesNewRoman" w:eastAsia="TimesNewRoman" w:hAnsi="TimesNewRoman" w:cs="TimesNewRoman"/>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FAE2F1"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12 249 295,45</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E11BBB"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89.9999999592%</w:t>
            </w:r>
          </w:p>
        </w:tc>
      </w:tr>
      <w:tr w:rsidR="00723994" w14:paraId="352ED8AA"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F31D4D"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Легална миграция и интеграция</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B7EE8A"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Действия по приложение IV</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46D643"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Общо</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968FAD"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129054"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37AE00"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1AF46A"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1F6C1B"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8353B3" w14:textId="77777777" w:rsidR="00A77B3E" w:rsidRDefault="00A77B3E">
            <w:pPr>
              <w:spacing w:before="100"/>
              <w:jc w:val="right"/>
              <w:rPr>
                <w:rFonts w:ascii="TimesNewRoman" w:eastAsia="TimesNewRoman" w:hAnsi="TimesNewRoman" w:cs="TimesNewRoman"/>
                <w:color w:val="000000"/>
                <w:sz w:val="16"/>
              </w:rPr>
            </w:pPr>
          </w:p>
        </w:tc>
      </w:tr>
      <w:tr w:rsidR="00723994" w14:paraId="6DE67B7C"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3AB50B"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Общо легална миграция и интеграция</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40452F" w14:textId="77777777" w:rsidR="00A77B3E" w:rsidRDefault="00A77B3E">
            <w:pPr>
              <w:spacing w:before="100"/>
              <w:rPr>
                <w:rFonts w:ascii="TimesNewRoman" w:eastAsia="TimesNewRoman" w:hAnsi="TimesNewRoman" w:cs="TimesNewRoman"/>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AADBEA" w14:textId="77777777" w:rsidR="00A77B3E" w:rsidRDefault="00A77B3E">
            <w:pPr>
              <w:spacing w:before="100"/>
              <w:rPr>
                <w:rFonts w:ascii="TimesNewRoman" w:eastAsia="TimesNewRoman" w:hAnsi="TimesNewRoman" w:cs="TimesNewRoman"/>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C3708E"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17 954 384,09</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C1DB8A"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3 534 935,62</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1022D0"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3 534 935,62</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144BC5"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ABA5FA"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21 489 319,71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0B2064"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83.5502674459%</w:t>
            </w:r>
          </w:p>
        </w:tc>
      </w:tr>
      <w:tr w:rsidR="00723994" w14:paraId="107728B6"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1C381C"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Връщане</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A171F2"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Редовни действия</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9D40B5"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Общо</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C839E5"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9 378 036,32</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61CD60"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3 126 012,11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10A4C7"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3 126 012,11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8E5C62"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7AD945"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12 504 048,43</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EDF25A"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74.9999999800%</w:t>
            </w:r>
          </w:p>
        </w:tc>
      </w:tr>
      <w:tr w:rsidR="00723994" w14:paraId="3AEDF1BA"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618291"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Връщане</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DAD436"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Конкретни действия</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0BE5CC"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Общо</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7B9634"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3 123 972,00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3E3396"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347 108,00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4DF481"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347 108,00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A9F218"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B97F07"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3 471 080,00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4AF035"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90.0000000000%</w:t>
            </w:r>
          </w:p>
        </w:tc>
      </w:tr>
      <w:tr w:rsidR="00723994" w14:paraId="0E657149"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5F498E"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Връщане</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95B663"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Действия по приложение IV</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82B9B9"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Общо</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1BCC2A"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745EEC"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6A3A5B"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4D9EDB"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D423AF"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69A82C" w14:textId="77777777" w:rsidR="00A77B3E" w:rsidRDefault="00A77B3E">
            <w:pPr>
              <w:spacing w:before="100"/>
              <w:jc w:val="right"/>
              <w:rPr>
                <w:rFonts w:ascii="TimesNewRoman" w:eastAsia="TimesNewRoman" w:hAnsi="TimesNewRoman" w:cs="TimesNewRoman"/>
                <w:color w:val="000000"/>
                <w:sz w:val="16"/>
              </w:rPr>
            </w:pPr>
          </w:p>
        </w:tc>
      </w:tr>
      <w:tr w:rsidR="00723994" w14:paraId="45EBE149"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B7B411"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Връщане</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83D301"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Оперативна поддръжка</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42BD9B"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Общо</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70C10C"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6 591 097,90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AAA5C0"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2 197 032,64</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A5A007"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2 197 032,64</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F8E7E3"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E4C3EA"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8 788 130,54</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3CA753"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74.9999999431%</w:t>
            </w:r>
          </w:p>
        </w:tc>
      </w:tr>
      <w:tr w:rsidR="00723994" w14:paraId="057B4CB6"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2E87F6"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Връщане</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22A50F"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Пактът и специфичните действия за Украйна</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230F3B"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Общо</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0C4205"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4 410 000,00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4D8FC3"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490 000,00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90EC6D"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490 000,00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CB0177"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042A57"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4 900 000,00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D92C09"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90.0000000000%</w:t>
            </w:r>
          </w:p>
        </w:tc>
      </w:tr>
      <w:tr w:rsidR="00723994" w14:paraId="2214B3A3"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3A83E8"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Обща възвръщаемост</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E35869" w14:textId="77777777" w:rsidR="00A77B3E" w:rsidRDefault="00A77B3E">
            <w:pPr>
              <w:spacing w:before="100"/>
              <w:rPr>
                <w:rFonts w:ascii="TimesNewRoman" w:eastAsia="TimesNewRoman" w:hAnsi="TimesNewRoman" w:cs="TimesNewRoman"/>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C39B05" w14:textId="77777777" w:rsidR="00A77B3E" w:rsidRDefault="00A77B3E">
            <w:pPr>
              <w:spacing w:before="100"/>
              <w:rPr>
                <w:rFonts w:ascii="TimesNewRoman" w:eastAsia="TimesNewRoman" w:hAnsi="TimesNewRoman" w:cs="TimesNewRoman"/>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1EF7CA"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23 503 106,22</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14EC94"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6 160 152,75</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C4CEB1"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6 160 152,75</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3A4FD8"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15C88A"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29 663 258,97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BB4360"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79.2330547489%</w:t>
            </w:r>
          </w:p>
        </w:tc>
      </w:tr>
      <w:tr w:rsidR="00723994" w14:paraId="2064B284"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3C2E10"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Солидарност</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BFD7FC"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Редовни действия</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CD8C8D"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Общо</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95EB4B"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706F91"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74E6EB"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CB85AA"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D37864"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BE5F8F" w14:textId="77777777" w:rsidR="00A77B3E" w:rsidRDefault="00A77B3E">
            <w:pPr>
              <w:spacing w:before="100"/>
              <w:jc w:val="right"/>
              <w:rPr>
                <w:rFonts w:ascii="TimesNewRoman" w:eastAsia="TimesNewRoman" w:hAnsi="TimesNewRoman" w:cs="TimesNewRoman"/>
                <w:color w:val="000000"/>
                <w:sz w:val="16"/>
              </w:rPr>
            </w:pPr>
          </w:p>
        </w:tc>
      </w:tr>
      <w:tr w:rsidR="00723994" w14:paraId="10AD3E70"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2122F5"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lastRenderedPageBreak/>
              <w:t>Солидарност</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46E2E6"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Действия по приложение IV</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7B7FDA"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Общо</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E4900E"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775C53"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1DC414"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F80AA1"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BCBABF"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551FAE" w14:textId="77777777" w:rsidR="00A77B3E" w:rsidRDefault="00A77B3E">
            <w:pPr>
              <w:spacing w:before="100"/>
              <w:jc w:val="right"/>
              <w:rPr>
                <w:rFonts w:ascii="TimesNewRoman" w:eastAsia="TimesNewRoman" w:hAnsi="TimesNewRoman" w:cs="TimesNewRoman"/>
                <w:color w:val="000000"/>
                <w:sz w:val="16"/>
              </w:rPr>
            </w:pPr>
          </w:p>
        </w:tc>
      </w:tr>
      <w:tr w:rsidR="00723994" w14:paraId="51831859"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411B90"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Солидарност</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CB4B17"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Презаселване и хуманитарен прием</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0C7AC9" w14:textId="77777777" w:rsidR="00A77B3E" w:rsidRDefault="00A77B3E">
            <w:pPr>
              <w:spacing w:before="100"/>
              <w:rPr>
                <w:rFonts w:ascii="TimesNewRoman" w:eastAsia="TimesNewRoman" w:hAnsi="TimesNewRoman" w:cs="TimesNewRoman"/>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CF4B29"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500 000,00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832B14" w14:textId="77777777" w:rsidR="00A77B3E" w:rsidRDefault="00A77B3E">
            <w:pPr>
              <w:spacing w:before="100"/>
              <w:jc w:val="right"/>
              <w:rPr>
                <w:rFonts w:ascii="TimesNewRoman" w:eastAsia="TimesNewRoman" w:hAnsi="TimesNewRoman" w:cs="TimesNewRoman"/>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18672C" w14:textId="77777777" w:rsidR="00A77B3E" w:rsidRDefault="00A77B3E">
            <w:pPr>
              <w:spacing w:before="100"/>
              <w:jc w:val="right"/>
              <w:rPr>
                <w:rFonts w:ascii="TimesNewRoman" w:eastAsia="TimesNewRoman" w:hAnsi="TimesNewRoman" w:cs="TimesNewRoman"/>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3AD2B6" w14:textId="77777777" w:rsidR="00A77B3E" w:rsidRDefault="00A77B3E">
            <w:pPr>
              <w:spacing w:before="100"/>
              <w:jc w:val="right"/>
              <w:rPr>
                <w:rFonts w:ascii="TimesNewRoman" w:eastAsia="TimesNewRoman" w:hAnsi="TimesNewRoman" w:cs="TimesNewRoman"/>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B24DC9"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500 000,00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5EDE4E"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100.0000000000%</w:t>
            </w:r>
          </w:p>
        </w:tc>
      </w:tr>
      <w:tr w:rsidR="00723994" w14:paraId="661C3457"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49E926"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Пълна солидарност</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820FFB" w14:textId="77777777" w:rsidR="00A77B3E" w:rsidRDefault="00A77B3E">
            <w:pPr>
              <w:spacing w:before="100"/>
              <w:rPr>
                <w:rFonts w:ascii="TimesNewRoman" w:eastAsia="TimesNewRoman" w:hAnsi="TimesNewRoman" w:cs="TimesNewRoman"/>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ABB400" w14:textId="77777777" w:rsidR="00A77B3E" w:rsidRDefault="00A77B3E">
            <w:pPr>
              <w:spacing w:before="100"/>
              <w:rPr>
                <w:rFonts w:ascii="TimesNewRoman" w:eastAsia="TimesNewRoman" w:hAnsi="TimesNewRoman" w:cs="TimesNewRoman"/>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253719"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500 000,00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BF7E6A"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619B86"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98368E"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719504"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500 000,00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6E9379"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100.0000000000%</w:t>
            </w:r>
          </w:p>
        </w:tc>
      </w:tr>
      <w:tr w:rsidR="00723994" w14:paraId="3328A348"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10CDF6"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Техническа помощ - фиксирана ставка (чл. 36(5) от РОР)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BA46D6" w14:textId="77777777" w:rsidR="00A77B3E" w:rsidRDefault="00A77B3E">
            <w:pPr>
              <w:spacing w:before="100"/>
              <w:rPr>
                <w:rFonts w:ascii="TimesNewRoman" w:eastAsia="TimesNewRoman" w:hAnsi="TimesNewRoman" w:cs="TimesNewRoman"/>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3C4BE0" w14:textId="77777777" w:rsidR="00A77B3E" w:rsidRDefault="00A77B3E">
            <w:pPr>
              <w:spacing w:before="100"/>
              <w:rPr>
                <w:rFonts w:ascii="TimesNewRoman" w:eastAsia="TimesNewRoman" w:hAnsi="TimesNewRoman" w:cs="TimesNewRoman"/>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377278"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6 264 531,97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2F31DF" w14:textId="77777777" w:rsidR="00A77B3E" w:rsidRDefault="00A77B3E">
            <w:pPr>
              <w:spacing w:before="100"/>
              <w:jc w:val="right"/>
              <w:rPr>
                <w:rFonts w:ascii="TimesNewRoman" w:eastAsia="TimesNewRoman" w:hAnsi="TimesNewRoman" w:cs="TimesNewRoman"/>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992569" w14:textId="77777777" w:rsidR="00A77B3E" w:rsidRDefault="00A77B3E">
            <w:pPr>
              <w:spacing w:before="100"/>
              <w:jc w:val="right"/>
              <w:rPr>
                <w:rFonts w:ascii="TimesNewRoman" w:eastAsia="TimesNewRoman" w:hAnsi="TimesNewRoman" w:cs="TimesNewRoman"/>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3CE81D" w14:textId="77777777" w:rsidR="00A77B3E" w:rsidRDefault="00A77B3E">
            <w:pPr>
              <w:spacing w:before="100"/>
              <w:jc w:val="right"/>
              <w:rPr>
                <w:rFonts w:ascii="TimesNewRoman" w:eastAsia="TimesNewRoman" w:hAnsi="TimesNewRoman" w:cs="TimesNewRoman"/>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A17880"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6 264 531,97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98C0C8"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100.0000000000%</w:t>
            </w:r>
          </w:p>
        </w:tc>
      </w:tr>
      <w:tr w:rsidR="00723994" w14:paraId="79ED7E09"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0CC6D7"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Крайна сума</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34FD19" w14:textId="77777777" w:rsidR="00A77B3E" w:rsidRDefault="00A77B3E">
            <w:pPr>
              <w:spacing w:before="100"/>
              <w:rPr>
                <w:rFonts w:ascii="TimesNewRoman" w:eastAsia="TimesNewRoman" w:hAnsi="TimesNewRoman" w:cs="TimesNewRoman"/>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DE7D81" w14:textId="77777777" w:rsidR="00A77B3E" w:rsidRDefault="00A77B3E">
            <w:pPr>
              <w:spacing w:before="100"/>
              <w:rPr>
                <w:rFonts w:ascii="TimesNewRoman" w:eastAsia="TimesNewRoman" w:hAnsi="TimesNewRoman" w:cs="TimesNewRoman"/>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817408"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110 673 398,18</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4D639F"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20 723 939,27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F3A966"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20 723 939,27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B67157"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26F4CA"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131 397 337,45</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89CF96"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84.2280371336%</w:t>
            </w:r>
          </w:p>
        </w:tc>
      </w:tr>
    </w:tbl>
    <w:p w14:paraId="27092997" w14:textId="77777777" w:rsidR="00A77B3E" w:rsidRDefault="00EE0A2B">
      <w:pPr>
        <w:pStyle w:val="Heading4"/>
        <w:spacing w:before="100" w:after="0"/>
        <w:rPr>
          <w:rFonts w:ascii="TimesNewRoman" w:eastAsia="TimesNewRoman" w:hAnsi="TimesNewRoman" w:cs="TimesNewRoman"/>
          <w:b w:val="0"/>
          <w:color w:val="000000"/>
          <w:sz w:val="24"/>
        </w:rPr>
      </w:pPr>
      <w:r>
        <w:rPr>
          <w:rFonts w:ascii="TimesNewRoman" w:eastAsia="TimesNewRoman" w:hAnsi="TimesNewRoman" w:cs="TimesNewRoman"/>
          <w:b w:val="0"/>
          <w:color w:val="000000"/>
          <w:sz w:val="16"/>
        </w:rPr>
        <w:br w:type="page"/>
      </w:r>
      <w:bookmarkStart w:id="39" w:name="_Toc256000102"/>
      <w:r>
        <w:rPr>
          <w:rFonts w:ascii="TimesNewRoman" w:eastAsia="TimesNewRoman" w:hAnsi="TimesNewRoman" w:cs="TimesNewRoman"/>
          <w:b w:val="0"/>
          <w:color w:val="000000"/>
          <w:sz w:val="24"/>
        </w:rPr>
        <w:lastRenderedPageBreak/>
        <w:t>Таблица 6А: План за обещания</w:t>
      </w:r>
      <w:bookmarkEnd w:id="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6"/>
        <w:gridCol w:w="1618"/>
        <w:gridCol w:w="1618"/>
        <w:gridCol w:w="1618"/>
        <w:gridCol w:w="1618"/>
        <w:gridCol w:w="1618"/>
        <w:gridCol w:w="1618"/>
        <w:gridCol w:w="1618"/>
      </w:tblGrid>
      <w:tr w:rsidR="00723994" w14:paraId="7077801E" w14:textId="77777777">
        <w:trPr>
          <w:tblHeader/>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58D4552" w14:textId="77777777" w:rsidR="00A77B3E" w:rsidRDefault="00A77B3E">
            <w:pPr>
              <w:spacing w:before="100"/>
              <w:rPr>
                <w:rFonts w:ascii="TimesNewRoman" w:eastAsia="TimesNewRoman" w:hAnsi="TimesNewRoman" w:cs="TimesNewRoman"/>
                <w:color w:val="000000"/>
                <w:sz w:val="16"/>
              </w:rPr>
            </w:pPr>
          </w:p>
        </w:tc>
        <w:tc>
          <w:tcPr>
            <w:tcW w:w="0" w:type="dxa"/>
            <w:gridSpan w:val="7"/>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7A92EDC" w14:textId="77777777" w:rsidR="00A77B3E" w:rsidRDefault="00EE0A2B">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Брой лица годишно</w:t>
            </w:r>
          </w:p>
        </w:tc>
      </w:tr>
      <w:tr w:rsidR="00723994" w14:paraId="5A24EE66" w14:textId="77777777">
        <w:trPr>
          <w:tblHeader/>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37AE2B4" w14:textId="77777777" w:rsidR="00A77B3E" w:rsidRDefault="00EE0A2B">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Категория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C57EB23" w14:textId="77777777" w:rsidR="00A77B3E" w:rsidRDefault="00EE0A2B">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2021 г.</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3E445BB" w14:textId="77777777" w:rsidR="00A77B3E" w:rsidRDefault="00EE0A2B">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2022 г.</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753CA43" w14:textId="77777777" w:rsidR="00A77B3E" w:rsidRDefault="00EE0A2B">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2023 г.</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4833013" w14:textId="77777777" w:rsidR="00A77B3E" w:rsidRDefault="00EE0A2B">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2024 г.</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7D82A89" w14:textId="77777777" w:rsidR="00A77B3E" w:rsidRDefault="00EE0A2B">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2025 г.</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AE4973F" w14:textId="77777777" w:rsidR="00A77B3E" w:rsidRDefault="00EE0A2B">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2026 г.</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E8B1EAF" w14:textId="77777777" w:rsidR="00A77B3E" w:rsidRDefault="00EE0A2B">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2027 г.</w:t>
            </w:r>
          </w:p>
        </w:tc>
      </w:tr>
      <w:tr w:rsidR="00723994" w14:paraId="701AA38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DA9C31"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Преселване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A6D52C" w14:textId="77777777" w:rsidR="00A77B3E" w:rsidRDefault="00A77B3E">
            <w:pPr>
              <w:spacing w:before="100"/>
              <w:jc w:val="right"/>
              <w:rPr>
                <w:rFonts w:ascii="TimesNewRoman" w:eastAsia="TimesNewRoman" w:hAnsi="TimesNewRoman" w:cs="TimesNewRoman"/>
                <w:color w:val="000000"/>
                <w:sz w:val="16"/>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4CDCDE" w14:textId="77777777" w:rsidR="00A77B3E" w:rsidRDefault="00A77B3E">
            <w:pPr>
              <w:spacing w:before="100"/>
              <w:jc w:val="right"/>
              <w:rPr>
                <w:rFonts w:ascii="TimesNewRoman" w:eastAsia="TimesNewRoman" w:hAnsi="TimesNewRoman" w:cs="TimesNewRoman"/>
                <w:color w:val="000000"/>
                <w:sz w:val="16"/>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C1E8FF"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25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1448E4"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25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3D2CE4" w14:textId="77777777" w:rsidR="00A77B3E" w:rsidRDefault="00A77B3E">
            <w:pPr>
              <w:spacing w:before="100"/>
              <w:jc w:val="right"/>
              <w:rPr>
                <w:rFonts w:ascii="TimesNewRoman" w:eastAsia="TimesNewRoman" w:hAnsi="TimesNewRoman" w:cs="TimesNewRoman"/>
                <w:color w:val="000000"/>
                <w:sz w:val="16"/>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F00D68" w14:textId="77777777" w:rsidR="00A77B3E" w:rsidRDefault="00A77B3E">
            <w:pPr>
              <w:spacing w:before="100"/>
              <w:jc w:val="right"/>
              <w:rPr>
                <w:rFonts w:ascii="TimesNewRoman" w:eastAsia="TimesNewRoman" w:hAnsi="TimesNewRoman" w:cs="TimesNewRoman"/>
                <w:color w:val="000000"/>
                <w:sz w:val="16"/>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3F1BCE" w14:textId="77777777" w:rsidR="00A77B3E" w:rsidRDefault="00A77B3E">
            <w:pPr>
              <w:spacing w:before="100"/>
              <w:jc w:val="right"/>
              <w:rPr>
                <w:rFonts w:ascii="TimesNewRoman" w:eastAsia="TimesNewRoman" w:hAnsi="TimesNewRoman" w:cs="TimesNewRoman"/>
                <w:color w:val="000000"/>
                <w:sz w:val="16"/>
              </w:rPr>
            </w:pPr>
          </w:p>
        </w:tc>
      </w:tr>
      <w:tr w:rsidR="00723994" w14:paraId="00B32A2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011969"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Хуманитарно приемане в съответствие с член 19, параграф 2 от Регламента за ФУМИ</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38AC2F" w14:textId="77777777" w:rsidR="00A77B3E" w:rsidRDefault="00A77B3E">
            <w:pPr>
              <w:spacing w:before="100"/>
              <w:jc w:val="right"/>
              <w:rPr>
                <w:rFonts w:ascii="TimesNewRoman" w:eastAsia="TimesNewRoman" w:hAnsi="TimesNewRoman" w:cs="TimesNewRoman"/>
                <w:color w:val="000000"/>
                <w:sz w:val="16"/>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325525" w14:textId="77777777" w:rsidR="00A77B3E" w:rsidRDefault="00A77B3E">
            <w:pPr>
              <w:spacing w:before="100"/>
              <w:jc w:val="right"/>
              <w:rPr>
                <w:rFonts w:ascii="TimesNewRoman" w:eastAsia="TimesNewRoman" w:hAnsi="TimesNewRoman" w:cs="TimesNewRoman"/>
                <w:color w:val="000000"/>
                <w:sz w:val="16"/>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F976FC" w14:textId="77777777" w:rsidR="00A77B3E" w:rsidRDefault="00A77B3E">
            <w:pPr>
              <w:spacing w:before="100"/>
              <w:jc w:val="right"/>
              <w:rPr>
                <w:rFonts w:ascii="TimesNewRoman" w:eastAsia="TimesNewRoman" w:hAnsi="TimesNewRoman" w:cs="TimesNewRoman"/>
                <w:color w:val="000000"/>
                <w:sz w:val="16"/>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5675D8" w14:textId="77777777" w:rsidR="00A77B3E" w:rsidRDefault="00A77B3E">
            <w:pPr>
              <w:spacing w:before="100"/>
              <w:jc w:val="right"/>
              <w:rPr>
                <w:rFonts w:ascii="TimesNewRoman" w:eastAsia="TimesNewRoman" w:hAnsi="TimesNewRoman" w:cs="TimesNewRoman"/>
                <w:color w:val="000000"/>
                <w:sz w:val="16"/>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F3A034" w14:textId="77777777" w:rsidR="00A77B3E" w:rsidRDefault="00A77B3E">
            <w:pPr>
              <w:spacing w:before="100"/>
              <w:jc w:val="right"/>
              <w:rPr>
                <w:rFonts w:ascii="TimesNewRoman" w:eastAsia="TimesNewRoman" w:hAnsi="TimesNewRoman" w:cs="TimesNewRoman"/>
                <w:color w:val="000000"/>
                <w:sz w:val="16"/>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55E8B2" w14:textId="77777777" w:rsidR="00A77B3E" w:rsidRDefault="00A77B3E">
            <w:pPr>
              <w:spacing w:before="100"/>
              <w:jc w:val="right"/>
              <w:rPr>
                <w:rFonts w:ascii="TimesNewRoman" w:eastAsia="TimesNewRoman" w:hAnsi="TimesNewRoman" w:cs="TimesNewRoman"/>
                <w:color w:val="000000"/>
                <w:sz w:val="16"/>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CCD924" w14:textId="77777777" w:rsidR="00A77B3E" w:rsidRDefault="00A77B3E">
            <w:pPr>
              <w:spacing w:before="100"/>
              <w:jc w:val="right"/>
              <w:rPr>
                <w:rFonts w:ascii="TimesNewRoman" w:eastAsia="TimesNewRoman" w:hAnsi="TimesNewRoman" w:cs="TimesNewRoman"/>
                <w:color w:val="000000"/>
                <w:sz w:val="16"/>
              </w:rPr>
            </w:pPr>
          </w:p>
        </w:tc>
      </w:tr>
      <w:tr w:rsidR="00723994" w14:paraId="6B364AB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65A9A1"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Хуманитарно приемане на уязвими лица в съответствие с член 19, параграф 3 от Регламента за ФУМИ</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2988E9" w14:textId="77777777" w:rsidR="00A77B3E" w:rsidRDefault="00A77B3E">
            <w:pPr>
              <w:spacing w:before="100"/>
              <w:jc w:val="right"/>
              <w:rPr>
                <w:rFonts w:ascii="TimesNewRoman" w:eastAsia="TimesNewRoman" w:hAnsi="TimesNewRoman" w:cs="TimesNewRoman"/>
                <w:color w:val="000000"/>
                <w:sz w:val="16"/>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764EF4" w14:textId="77777777" w:rsidR="00A77B3E" w:rsidRDefault="00A77B3E">
            <w:pPr>
              <w:spacing w:before="100"/>
              <w:jc w:val="right"/>
              <w:rPr>
                <w:rFonts w:ascii="TimesNewRoman" w:eastAsia="TimesNewRoman" w:hAnsi="TimesNewRoman" w:cs="TimesNewRoman"/>
                <w:color w:val="000000"/>
                <w:sz w:val="16"/>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BFA74D" w14:textId="77777777" w:rsidR="00A77B3E" w:rsidRDefault="00A77B3E">
            <w:pPr>
              <w:spacing w:before="100"/>
              <w:jc w:val="right"/>
              <w:rPr>
                <w:rFonts w:ascii="TimesNewRoman" w:eastAsia="TimesNewRoman" w:hAnsi="TimesNewRoman" w:cs="TimesNewRoman"/>
                <w:color w:val="000000"/>
                <w:sz w:val="16"/>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822BD0" w14:textId="77777777" w:rsidR="00A77B3E" w:rsidRDefault="00A77B3E">
            <w:pPr>
              <w:spacing w:before="100"/>
              <w:jc w:val="right"/>
              <w:rPr>
                <w:rFonts w:ascii="TimesNewRoman" w:eastAsia="TimesNewRoman" w:hAnsi="TimesNewRoman" w:cs="TimesNewRoman"/>
                <w:color w:val="000000"/>
                <w:sz w:val="16"/>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D78157" w14:textId="77777777" w:rsidR="00A77B3E" w:rsidRDefault="00A77B3E">
            <w:pPr>
              <w:spacing w:before="100"/>
              <w:jc w:val="right"/>
              <w:rPr>
                <w:rFonts w:ascii="TimesNewRoman" w:eastAsia="TimesNewRoman" w:hAnsi="TimesNewRoman" w:cs="TimesNewRoman"/>
                <w:color w:val="000000"/>
                <w:sz w:val="16"/>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89919D" w14:textId="77777777" w:rsidR="00A77B3E" w:rsidRDefault="00A77B3E">
            <w:pPr>
              <w:spacing w:before="100"/>
              <w:jc w:val="right"/>
              <w:rPr>
                <w:rFonts w:ascii="TimesNewRoman" w:eastAsia="TimesNewRoman" w:hAnsi="TimesNewRoman" w:cs="TimesNewRoman"/>
                <w:color w:val="000000"/>
                <w:sz w:val="16"/>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A417EB" w14:textId="77777777" w:rsidR="00A77B3E" w:rsidRDefault="00A77B3E">
            <w:pPr>
              <w:spacing w:before="100"/>
              <w:jc w:val="right"/>
              <w:rPr>
                <w:rFonts w:ascii="TimesNewRoman" w:eastAsia="TimesNewRoman" w:hAnsi="TimesNewRoman" w:cs="TimesNewRoman"/>
                <w:color w:val="000000"/>
                <w:sz w:val="16"/>
              </w:rPr>
            </w:pPr>
          </w:p>
        </w:tc>
      </w:tr>
    </w:tbl>
    <w:p w14:paraId="1CDD3F1A"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sz w:val="16"/>
        </w:rPr>
        <w:br w:type="page"/>
      </w:r>
    </w:p>
    <w:p w14:paraId="6ECA7C38" w14:textId="77777777" w:rsidR="00A77B3E" w:rsidRDefault="00EE0A2B">
      <w:pPr>
        <w:pStyle w:val="Heading2"/>
        <w:spacing w:before="100" w:after="0"/>
        <w:rPr>
          <w:rFonts w:ascii="TimesNewRoman" w:eastAsia="TimesNewRoman" w:hAnsi="TimesNewRoman" w:cs="TimesNewRoman"/>
          <w:b w:val="0"/>
          <w:i w:val="0"/>
          <w:color w:val="000000"/>
          <w:sz w:val="24"/>
        </w:rPr>
      </w:pPr>
      <w:bookmarkStart w:id="40" w:name="_Toc256000103"/>
      <w:r>
        <w:rPr>
          <w:rFonts w:ascii="TimesNewRoman" w:eastAsia="TimesNewRoman" w:hAnsi="TimesNewRoman" w:cs="TimesNewRoman"/>
          <w:b w:val="0"/>
          <w:i w:val="0"/>
          <w:color w:val="000000"/>
          <w:sz w:val="24"/>
        </w:rPr>
        <w:lastRenderedPageBreak/>
        <w:t>3.3. Трансфери</w:t>
      </w:r>
      <w:bookmarkEnd w:id="40"/>
    </w:p>
    <w:p w14:paraId="690C5DE3" w14:textId="77777777" w:rsidR="00A77B3E" w:rsidRDefault="00EE0A2B">
      <w:pPr>
        <w:spacing w:before="100"/>
        <w:rPr>
          <w:rFonts w:ascii="TimesNewRoman" w:eastAsia="TimesNewRoman" w:hAnsi="TimesNewRoman" w:cs="TimesNewRoman"/>
          <w:color w:val="000000"/>
          <w:sz w:val="0"/>
        </w:rPr>
      </w:pPr>
      <w:r>
        <w:rPr>
          <w:rFonts w:ascii="TimesNewRoman" w:eastAsia="TimesNewRoman" w:hAnsi="TimesNewRoman" w:cs="TimesNewRoman"/>
          <w:color w:val="000000"/>
        </w:rPr>
        <w:t xml:space="preserve">Таблица 7: Трансфери между фондове със споделено управление </w:t>
      </w:r>
      <w:r>
        <w:rPr>
          <w:rFonts w:ascii="TimesNewRoman" w:eastAsia="TimesNewRoman" w:hAnsi="TimesNewRoman" w:cs="TimesNewRoman"/>
          <w:color w:val="000000"/>
          <w:vertAlign w:val="superscript"/>
        </w:rPr>
        <w:t>1</w:t>
      </w:r>
    </w:p>
    <w:p w14:paraId="1A7ABCE3" w14:textId="77777777" w:rsidR="00A77B3E" w:rsidRDefault="00A77B3E">
      <w:pPr>
        <w:spacing w:before="100"/>
        <w:rPr>
          <w:rFonts w:ascii="TimesNewRoman" w:eastAsia="TimesNewRoman" w:hAnsi="TimesNewRoman" w:cs="TimesNewRoman"/>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393"/>
        <w:gridCol w:w="2506"/>
        <w:gridCol w:w="1601"/>
        <w:gridCol w:w="1663"/>
        <w:gridCol w:w="916"/>
        <w:gridCol w:w="2263"/>
        <w:gridCol w:w="1595"/>
      </w:tblGrid>
      <w:tr w:rsidR="00723994" w14:paraId="706BAA98" w14:textId="77777777">
        <w:trPr>
          <w:trHeight w:val="160"/>
          <w:tblHeader/>
        </w:trPr>
        <w:tc>
          <w:tcPr>
            <w:tcW w:w="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1AD07C2" w14:textId="77777777" w:rsidR="00A77B3E" w:rsidRDefault="00EE0A2B">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Прехвърляне на фонд</w:t>
            </w:r>
          </w:p>
        </w:tc>
        <w:tc>
          <w:tcPr>
            <w:tcW w:w="0" w:type="dxa"/>
            <w:gridSpan w:val="7"/>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60F9FA1" w14:textId="77777777" w:rsidR="00A77B3E" w:rsidRDefault="00EE0A2B">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Получаващ фонд</w:t>
            </w:r>
          </w:p>
        </w:tc>
      </w:tr>
      <w:tr w:rsidR="0002372A" w14:paraId="67BCB6EF" w14:textId="77777777">
        <w:trPr>
          <w:trHeight w:val="160"/>
          <w:tblHeader/>
        </w:trPr>
        <w:tc>
          <w:tcPr>
            <w:tcW w:w="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D7C7184" w14:textId="77777777" w:rsidR="00A77B3E" w:rsidRDefault="00A77B3E">
            <w:pPr>
              <w:spacing w:before="100"/>
              <w:jc w:val="center"/>
              <w:rPr>
                <w:rFonts w:ascii="TimesNewRoman" w:eastAsia="TimesNewRoman" w:hAnsi="TimesNewRoman" w:cs="TimesNewRoman"/>
                <w:color w:val="00000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A1BCF29" w14:textId="77777777" w:rsidR="00A77B3E" w:rsidRPr="0002372A" w:rsidRDefault="0002372A">
            <w:pPr>
              <w:spacing w:before="100"/>
              <w:jc w:val="center"/>
              <w:rPr>
                <w:rFonts w:ascii="TimesNewRoman" w:eastAsia="TimesNewRoman" w:hAnsi="TimesNewRoman" w:cs="TimesNewRoman"/>
                <w:color w:val="000000"/>
                <w:lang w:val="bg-BG"/>
              </w:rPr>
            </w:pPr>
            <w:r>
              <w:rPr>
                <w:rFonts w:ascii="TimesNewRoman" w:eastAsia="TimesNewRoman" w:hAnsi="TimesNewRoman" w:cs="TimesNewRoman"/>
                <w:color w:val="000000"/>
                <w:lang w:val="bg-BG"/>
              </w:rPr>
              <w:t>ФВС</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7E73B9F" w14:textId="77777777" w:rsidR="00A77B3E" w:rsidRDefault="0002372A">
            <w:pPr>
              <w:spacing w:before="100"/>
              <w:jc w:val="center"/>
              <w:rPr>
                <w:rFonts w:ascii="TimesNewRoman" w:eastAsia="TimesNewRoman" w:hAnsi="TimesNewRoman" w:cs="TimesNewRoman"/>
                <w:color w:val="000000"/>
              </w:rPr>
            </w:pPr>
            <w:r>
              <w:rPr>
                <w:rFonts w:ascii="TimesNewRoman" w:eastAsia="TimesNewRoman" w:hAnsi="TimesNewRoman" w:cs="TimesNewRoman"/>
                <w:color w:val="000000"/>
                <w:lang w:val="bg-BG"/>
              </w:rPr>
              <w:t>ИУГВП</w:t>
            </w:r>
            <w:r w:rsidR="00EE0A2B">
              <w:rPr>
                <w:rFonts w:ascii="TimesNewRoman" w:eastAsia="TimesNewRoman" w:hAnsi="TimesNewRoman" w:cs="TimesNewRoman"/>
                <w:color w:val="000000"/>
              </w:rPr>
              <w:t xml:space="preserve"> (Индекс на телесните клетки)</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CE739E5" w14:textId="77777777" w:rsidR="00A77B3E" w:rsidRDefault="00EE0A2B">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ЕФРР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DA4FF33" w14:textId="77777777" w:rsidR="00A77B3E" w:rsidRDefault="00EE0A2B">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ЕСФ+</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DDF2EDA" w14:textId="77777777" w:rsidR="00A77B3E" w:rsidRDefault="00EE0A2B">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CF</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6154D8C" w14:textId="77777777" w:rsidR="00A77B3E" w:rsidRDefault="00EE0A2B">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ЕФМДФ</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A4C99FF" w14:textId="77777777" w:rsidR="00A77B3E" w:rsidRDefault="00EE0A2B">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Общо</w:t>
            </w:r>
          </w:p>
        </w:tc>
      </w:tr>
      <w:tr w:rsidR="0002372A" w14:paraId="5C46AC0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DC2CCDC" w14:textId="77777777" w:rsidR="00A77B3E" w:rsidRDefault="00EE0A2B">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ФУМИ</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539EC30" w14:textId="77777777" w:rsidR="00A77B3E" w:rsidRDefault="00A77B3E">
            <w:pPr>
              <w:spacing w:before="100"/>
              <w:jc w:val="right"/>
              <w:rPr>
                <w:rFonts w:ascii="TimesNewRoman" w:eastAsia="TimesNewRoman" w:hAnsi="TimesNewRoman" w:cs="TimesNewRoman"/>
                <w:color w:val="00000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A26C63A" w14:textId="77777777" w:rsidR="00A77B3E" w:rsidRDefault="00A77B3E">
            <w:pPr>
              <w:spacing w:before="100"/>
              <w:jc w:val="right"/>
              <w:rPr>
                <w:rFonts w:ascii="TimesNewRoman" w:eastAsia="TimesNewRoman" w:hAnsi="TimesNewRoman" w:cs="TimesNewRoman"/>
                <w:color w:val="00000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C8F8247" w14:textId="77777777" w:rsidR="00A77B3E" w:rsidRDefault="00A77B3E">
            <w:pPr>
              <w:spacing w:before="100"/>
              <w:jc w:val="right"/>
              <w:rPr>
                <w:rFonts w:ascii="TimesNewRoman" w:eastAsia="TimesNewRoman" w:hAnsi="TimesNewRoman" w:cs="TimesNewRoman"/>
                <w:color w:val="00000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885A427" w14:textId="77777777" w:rsidR="00A77B3E" w:rsidRDefault="00A77B3E">
            <w:pPr>
              <w:spacing w:before="100"/>
              <w:jc w:val="right"/>
              <w:rPr>
                <w:rFonts w:ascii="TimesNewRoman" w:eastAsia="TimesNewRoman" w:hAnsi="TimesNewRoman" w:cs="TimesNewRoman"/>
                <w:color w:val="00000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9F73526" w14:textId="77777777" w:rsidR="00A77B3E" w:rsidRDefault="00A77B3E">
            <w:pPr>
              <w:spacing w:before="100"/>
              <w:jc w:val="right"/>
              <w:rPr>
                <w:rFonts w:ascii="TimesNewRoman" w:eastAsia="TimesNewRoman" w:hAnsi="TimesNewRoman" w:cs="TimesNewRoman"/>
                <w:color w:val="00000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BBEC980" w14:textId="77777777" w:rsidR="00A77B3E" w:rsidRDefault="00A77B3E">
            <w:pPr>
              <w:spacing w:before="100"/>
              <w:jc w:val="right"/>
              <w:rPr>
                <w:rFonts w:ascii="TimesNewRoman" w:eastAsia="TimesNewRoman" w:hAnsi="TimesNewRoman" w:cs="TimesNewRoman"/>
                <w:color w:val="00000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144ED0B" w14:textId="77777777" w:rsidR="00A77B3E" w:rsidRDefault="00A77B3E">
            <w:pPr>
              <w:spacing w:before="100"/>
              <w:jc w:val="right"/>
              <w:rPr>
                <w:rFonts w:ascii="TimesNewRoman" w:eastAsia="TimesNewRoman" w:hAnsi="TimesNewRoman" w:cs="TimesNewRoman"/>
                <w:color w:val="000000"/>
              </w:rPr>
            </w:pPr>
          </w:p>
        </w:tc>
      </w:tr>
    </w:tbl>
    <w:p w14:paraId="1E41FA4F" w14:textId="77777777" w:rsidR="00A77B3E" w:rsidRDefault="00EE0A2B">
      <w:pPr>
        <w:spacing w:before="100"/>
        <w:rPr>
          <w:rFonts w:ascii="TimesNewRoman" w:eastAsia="TimesNewRoman" w:hAnsi="TimesNewRoman" w:cs="TimesNewRoman"/>
          <w:color w:val="000000"/>
        </w:rPr>
      </w:pPr>
      <w:r>
        <w:rPr>
          <w:rFonts w:ascii="TimesNewRoman" w:eastAsia="TimesNewRoman" w:hAnsi="TimesNewRoman" w:cs="TimesNewRoman"/>
          <w:color w:val="000000"/>
          <w:vertAlign w:val="superscript"/>
        </w:rPr>
        <w:t xml:space="preserve">1 </w:t>
      </w:r>
      <w:r>
        <w:rPr>
          <w:rFonts w:ascii="TimesNewRoman" w:eastAsia="TimesNewRoman" w:hAnsi="TimesNewRoman" w:cs="TimesNewRoman"/>
          <w:color w:val="000000"/>
        </w:rPr>
        <w:t>Кумулативни суми за всички трансфери по време на програмния период.</w:t>
      </w:r>
    </w:p>
    <w:p w14:paraId="642C6EE8" w14:textId="77777777" w:rsidR="00A77B3E" w:rsidRDefault="00EE0A2B">
      <w:pPr>
        <w:spacing w:before="100"/>
        <w:rPr>
          <w:rFonts w:ascii="TimesNewRoman" w:eastAsia="TimesNewRoman" w:hAnsi="TimesNewRoman" w:cs="TimesNewRoman"/>
          <w:color w:val="000000"/>
          <w:sz w:val="0"/>
        </w:rPr>
      </w:pPr>
      <w:r>
        <w:rPr>
          <w:rFonts w:ascii="TimesNewRoman" w:eastAsia="TimesNewRoman" w:hAnsi="TimesNewRoman" w:cs="TimesNewRoman"/>
          <w:color w:val="000000"/>
        </w:rPr>
        <w:br w:type="page"/>
      </w:r>
      <w:r>
        <w:rPr>
          <w:rFonts w:ascii="TimesNewRoman" w:eastAsia="TimesNewRoman" w:hAnsi="TimesNewRoman" w:cs="TimesNewRoman"/>
          <w:color w:val="000000"/>
        </w:rPr>
        <w:lastRenderedPageBreak/>
        <w:t xml:space="preserve">Таблица 8: Трансфери към инструменти под пряко или непряко управление </w:t>
      </w:r>
      <w:r>
        <w:rPr>
          <w:rFonts w:ascii="TimesNewRoman" w:eastAsia="TimesNewRoman" w:hAnsi="TimesNewRoman" w:cs="TimesNewRoman"/>
          <w:color w:val="000000"/>
          <w:vertAlign w:val="superscript"/>
        </w:rPr>
        <w:t>1</w:t>
      </w:r>
    </w:p>
    <w:p w14:paraId="17A79BB1" w14:textId="77777777" w:rsidR="00A77B3E" w:rsidRDefault="00A77B3E">
      <w:pPr>
        <w:spacing w:before="100"/>
        <w:rPr>
          <w:rFonts w:ascii="TimesNewRoman" w:eastAsia="TimesNewRoman" w:hAnsi="TimesNewRoman" w:cs="TimesNewRoman"/>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3"/>
        <w:gridCol w:w="6299"/>
      </w:tblGrid>
      <w:tr w:rsidR="00723994" w14:paraId="0ED3FCB0" w14:textId="77777777">
        <w:trPr>
          <w:tblHeader/>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40C8DE0" w14:textId="77777777" w:rsidR="00A77B3E" w:rsidRDefault="00EE0A2B">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инструмент</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0AB832C" w14:textId="77777777" w:rsidR="00A77B3E" w:rsidRDefault="00EE0A2B">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Сума на превода</w:t>
            </w:r>
          </w:p>
        </w:tc>
      </w:tr>
      <w:tr w:rsidR="00723994" w14:paraId="5AD47EF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91AD46" w14:textId="77777777" w:rsidR="00A77B3E" w:rsidRDefault="00A77B3E">
            <w:pPr>
              <w:spacing w:before="100"/>
              <w:jc w:val="center"/>
              <w:rPr>
                <w:rFonts w:ascii="TimesNewRoman" w:eastAsia="TimesNewRoman" w:hAnsi="TimesNewRoman" w:cs="TimesNewRoman"/>
                <w:color w:val="00000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0B13F40" w14:textId="77777777" w:rsidR="00A77B3E" w:rsidRDefault="00EE0A2B">
            <w:pPr>
              <w:spacing w:before="100"/>
              <w:jc w:val="right"/>
              <w:rPr>
                <w:rFonts w:ascii="TimesNewRoman" w:eastAsia="TimesNewRoman" w:hAnsi="TimesNewRoman" w:cs="TimesNewRoman"/>
                <w:color w:val="000000"/>
              </w:rPr>
            </w:pPr>
            <w:r>
              <w:rPr>
                <w:rFonts w:ascii="TimesNewRoman" w:eastAsia="TimesNewRoman" w:hAnsi="TimesNewRoman" w:cs="TimesNewRoman"/>
                <w:color w:val="000000"/>
              </w:rPr>
              <w:t>0.00</w:t>
            </w:r>
          </w:p>
        </w:tc>
      </w:tr>
    </w:tbl>
    <w:p w14:paraId="2516FE21" w14:textId="77777777" w:rsidR="00A77B3E" w:rsidRDefault="00EE0A2B">
      <w:pPr>
        <w:spacing w:before="100"/>
        <w:rPr>
          <w:rFonts w:ascii="TimesNewRoman" w:eastAsia="TimesNewRoman" w:hAnsi="TimesNewRoman" w:cs="TimesNewRoman"/>
          <w:color w:val="000000"/>
        </w:rPr>
        <w:sectPr w:rsidR="00A77B3E">
          <w:headerReference w:type="even" r:id="rId67"/>
          <w:headerReference w:type="default" r:id="rId68"/>
          <w:footerReference w:type="even" r:id="rId69"/>
          <w:footerReference w:type="default" r:id="rId70"/>
          <w:headerReference w:type="first" r:id="rId71"/>
          <w:footerReference w:type="first" r:id="rId72"/>
          <w:pgSz w:w="16838" w:h="11906" w:orient="landscape"/>
          <w:pgMar w:top="720" w:right="720" w:bottom="864" w:left="936" w:header="288" w:footer="72" w:gutter="0"/>
          <w:cols w:space="720"/>
          <w:noEndnote/>
          <w:docGrid w:linePitch="360"/>
        </w:sectPr>
      </w:pPr>
      <w:r>
        <w:rPr>
          <w:rFonts w:ascii="TimesNewRoman" w:eastAsia="TimesNewRoman" w:hAnsi="TimesNewRoman" w:cs="TimesNewRoman"/>
          <w:color w:val="000000"/>
          <w:vertAlign w:val="superscript"/>
        </w:rPr>
        <w:t xml:space="preserve">1 </w:t>
      </w:r>
      <w:r>
        <w:rPr>
          <w:rFonts w:ascii="TimesNewRoman" w:eastAsia="TimesNewRoman" w:hAnsi="TimesNewRoman" w:cs="TimesNewRoman"/>
          <w:color w:val="000000"/>
        </w:rPr>
        <w:t>Кумулативни суми за всички трансфери по време на програмния период.</w:t>
      </w:r>
    </w:p>
    <w:p w14:paraId="7E200742" w14:textId="77777777" w:rsidR="00A77B3E" w:rsidRDefault="00EE0A2B">
      <w:pPr>
        <w:pStyle w:val="Heading1"/>
        <w:spacing w:before="100" w:after="0"/>
        <w:rPr>
          <w:rFonts w:ascii="Times New Roman" w:hAnsi="Times New Roman" w:cs="Times New Roman"/>
          <w:b w:val="0"/>
          <w:color w:val="000000"/>
          <w:sz w:val="24"/>
        </w:rPr>
      </w:pPr>
      <w:bookmarkStart w:id="41" w:name="_Toc256000104"/>
      <w:r>
        <w:rPr>
          <w:rFonts w:ascii="Times New Roman" w:hAnsi="Times New Roman" w:cs="Times New Roman"/>
          <w:b w:val="0"/>
          <w:color w:val="000000"/>
          <w:sz w:val="24"/>
        </w:rPr>
        <w:lastRenderedPageBreak/>
        <w:t>4. Благоприятстващи условия</w:t>
      </w:r>
      <w:bookmarkEnd w:id="41"/>
    </w:p>
    <w:p w14:paraId="2DC375ED" w14:textId="77777777" w:rsidR="00A77B3E" w:rsidRDefault="00EE0A2B">
      <w:pPr>
        <w:spacing w:before="100"/>
        <w:rPr>
          <w:color w:val="000000"/>
        </w:rPr>
      </w:pPr>
      <w:r>
        <w:rPr>
          <w:color w:val="000000"/>
        </w:rPr>
        <w:t>Позоваване: член 22, параграф 3, точка (i) от РОР</w:t>
      </w:r>
    </w:p>
    <w:p w14:paraId="3E8FBDD2" w14:textId="77777777" w:rsidR="00A77B3E" w:rsidRDefault="00EE0A2B">
      <w:pPr>
        <w:pStyle w:val="Heading2"/>
        <w:spacing w:before="100" w:after="0"/>
        <w:rPr>
          <w:rFonts w:ascii="Times New Roman" w:hAnsi="Times New Roman" w:cs="Times New Roman"/>
          <w:b w:val="0"/>
          <w:i w:val="0"/>
          <w:color w:val="000000"/>
          <w:sz w:val="24"/>
        </w:rPr>
      </w:pPr>
      <w:bookmarkStart w:id="42" w:name="_Toc256000105"/>
      <w:r>
        <w:rPr>
          <w:rFonts w:ascii="Times New Roman" w:hAnsi="Times New Roman" w:cs="Times New Roman"/>
          <w:b w:val="0"/>
          <w:i w:val="0"/>
          <w:color w:val="000000"/>
          <w:sz w:val="24"/>
        </w:rPr>
        <w:t>Таблица 9: Хоризонтални благоприятстващи условия</w:t>
      </w:r>
      <w:bookmarkEnd w:id="42"/>
    </w:p>
    <w:p w14:paraId="2B71E806" w14:textId="77777777" w:rsidR="00A77B3E" w:rsidRDefault="00A77B3E">
      <w:pPr>
        <w:spacing w:before="100"/>
        <w:rPr>
          <w:color w:val="000000"/>
          <w:sz w:val="0"/>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1600"/>
        <w:gridCol w:w="3600"/>
        <w:gridCol w:w="1600"/>
        <w:gridCol w:w="3600"/>
        <w:gridCol w:w="3600"/>
      </w:tblGrid>
      <w:tr w:rsidR="00723994" w14:paraId="2BABB6B9" w14:textId="77777777">
        <w:trPr>
          <w:tblHeader/>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BDEF3A3" w14:textId="77777777" w:rsidR="00A77B3E" w:rsidRDefault="00EE0A2B">
            <w:pPr>
              <w:spacing w:before="100"/>
              <w:jc w:val="center"/>
              <w:rPr>
                <w:color w:val="000000"/>
                <w:sz w:val="20"/>
              </w:rPr>
            </w:pPr>
            <w:r>
              <w:rPr>
                <w:color w:val="000000"/>
                <w:sz w:val="20"/>
              </w:rPr>
              <w:t>Активиращо условие</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3359CAA" w14:textId="77777777" w:rsidR="00A77B3E" w:rsidRDefault="00EE0A2B">
            <w:pPr>
              <w:spacing w:before="100"/>
              <w:jc w:val="center"/>
              <w:rPr>
                <w:color w:val="000000"/>
                <w:sz w:val="20"/>
              </w:rPr>
            </w:pPr>
            <w:r>
              <w:rPr>
                <w:color w:val="000000"/>
                <w:sz w:val="20"/>
              </w:rPr>
              <w:t>Изпълнение на благоприятстващото условие</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AC80789" w14:textId="77777777" w:rsidR="00A77B3E" w:rsidRDefault="00EE0A2B">
            <w:pPr>
              <w:spacing w:before="100"/>
              <w:jc w:val="center"/>
              <w:rPr>
                <w:color w:val="000000"/>
                <w:sz w:val="20"/>
              </w:rPr>
            </w:pPr>
            <w:r>
              <w:rPr>
                <w:color w:val="000000"/>
                <w:sz w:val="20"/>
              </w:rPr>
              <w:t>Критерии</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6D6148B" w14:textId="77777777" w:rsidR="00A77B3E" w:rsidRDefault="00EE0A2B">
            <w:pPr>
              <w:spacing w:before="100"/>
              <w:jc w:val="center"/>
              <w:rPr>
                <w:color w:val="000000"/>
                <w:sz w:val="20"/>
              </w:rPr>
            </w:pPr>
            <w:r>
              <w:rPr>
                <w:color w:val="000000"/>
                <w:sz w:val="20"/>
              </w:rPr>
              <w:t>Изпълнение на критериите</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DDF096A" w14:textId="77777777" w:rsidR="00A77B3E" w:rsidRDefault="00EE0A2B">
            <w:pPr>
              <w:spacing w:before="100"/>
              <w:jc w:val="center"/>
              <w:rPr>
                <w:color w:val="000000"/>
                <w:sz w:val="20"/>
              </w:rPr>
            </w:pPr>
            <w:r>
              <w:rPr>
                <w:color w:val="000000"/>
                <w:sz w:val="20"/>
              </w:rPr>
              <w:t>Препратка към съответните документи</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078F715" w14:textId="77777777" w:rsidR="00A77B3E" w:rsidRDefault="00EE0A2B">
            <w:pPr>
              <w:spacing w:before="100"/>
              <w:jc w:val="center"/>
              <w:rPr>
                <w:color w:val="000000"/>
                <w:sz w:val="20"/>
              </w:rPr>
            </w:pPr>
            <w:r>
              <w:rPr>
                <w:color w:val="000000"/>
                <w:sz w:val="20"/>
              </w:rPr>
              <w:t>Обосновка</w:t>
            </w:r>
          </w:p>
        </w:tc>
      </w:tr>
      <w:tr w:rsidR="00723994" w14:paraId="02119E1F" w14:textId="77777777">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8DA5BB" w14:textId="77777777" w:rsidR="00A77B3E" w:rsidRDefault="00EE0A2B">
            <w:pPr>
              <w:spacing w:before="100"/>
              <w:rPr>
                <w:color w:val="000000"/>
                <w:sz w:val="20"/>
              </w:rPr>
            </w:pPr>
            <w:r>
              <w:rPr>
                <w:color w:val="000000"/>
                <w:sz w:val="20"/>
              </w:rPr>
              <w:t>1. Ефективни механизми за мониторинг на пазара на обществени поръчки</w:t>
            </w: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1BDE8F" w14:textId="77777777" w:rsidR="00A77B3E" w:rsidRDefault="00EE0A2B">
            <w:pPr>
              <w:spacing w:before="100"/>
              <w:jc w:val="center"/>
              <w:rPr>
                <w:color w:val="000000"/>
                <w:sz w:val="20"/>
              </w:rPr>
            </w:pPr>
            <w:r>
              <w:rPr>
                <w:color w:val="000000"/>
                <w:sz w:val="20"/>
              </w:rPr>
              <w:t>Да</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35F5E2" w14:textId="77777777" w:rsidR="00A77B3E" w:rsidRDefault="00EE0A2B">
            <w:pPr>
              <w:spacing w:before="100"/>
              <w:rPr>
                <w:color w:val="000000"/>
                <w:sz w:val="20"/>
              </w:rPr>
            </w:pPr>
            <w:r>
              <w:rPr>
                <w:color w:val="000000"/>
                <w:sz w:val="20"/>
              </w:rPr>
              <w:t>Въведени са механизми за мониторинг, които обхващат всички обществени поръчки и техните поръчки по фондовете в съответствие със законодателството на Съюза в областта на обществените поръчки. Това изискване включва:</w:t>
            </w:r>
          </w:p>
          <w:p w14:paraId="5F26A216" w14:textId="77777777" w:rsidR="00A77B3E" w:rsidRDefault="00EE0A2B">
            <w:pPr>
              <w:spacing w:before="100"/>
              <w:rPr>
                <w:color w:val="000000"/>
                <w:sz w:val="20"/>
              </w:rPr>
            </w:pPr>
            <w:r>
              <w:rPr>
                <w:color w:val="000000"/>
                <w:sz w:val="20"/>
              </w:rPr>
              <w:t>1. Условия за осигуряване на събирането на ефективни и надеждни данни за процедурите за обществени поръчки над праговете на Съюза в съответствие със задълженията за докладване по членове 83 и 84 от Директива 2014/24/ЕС и членове 99 и 100 от Директива 2014/25/ЕС.</w:t>
            </w:r>
          </w:p>
          <w:p w14:paraId="68250EAA" w14:textId="77777777" w:rsidR="00A77B3E" w:rsidRDefault="00A77B3E">
            <w:pPr>
              <w:spacing w:before="100"/>
              <w:rPr>
                <w:color w:val="000000"/>
                <w:sz w:val="2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B08671" w14:textId="77777777" w:rsidR="00A77B3E" w:rsidRDefault="00EE0A2B">
            <w:pPr>
              <w:spacing w:before="100"/>
              <w:jc w:val="center"/>
              <w:rPr>
                <w:color w:val="000000"/>
                <w:sz w:val="20"/>
              </w:rPr>
            </w:pPr>
            <w:r>
              <w:rPr>
                <w:color w:val="000000"/>
                <w:sz w:val="20"/>
              </w:rPr>
              <w:t>Да</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229277" w14:textId="77777777" w:rsidR="00A77B3E" w:rsidRDefault="00EE0A2B">
            <w:pPr>
              <w:spacing w:before="100"/>
              <w:rPr>
                <w:color w:val="000000"/>
                <w:sz w:val="20"/>
              </w:rPr>
            </w:pPr>
            <w:r>
              <w:rPr>
                <w:color w:val="000000"/>
                <w:sz w:val="20"/>
              </w:rPr>
              <w:t>Закон за изменение и допълнение на Закона за обществените поръчки - обн. - ДВ, бр. 102 от 2019 г., в сила от 01.01.2020 г.</w:t>
            </w:r>
          </w:p>
          <w:p w14:paraId="2C59AAFC" w14:textId="77777777" w:rsidR="00A77B3E" w:rsidRDefault="00EE0A2B">
            <w:pPr>
              <w:spacing w:before="100"/>
              <w:rPr>
                <w:color w:val="000000"/>
                <w:sz w:val="20"/>
              </w:rPr>
            </w:pPr>
            <w:r>
              <w:rPr>
                <w:color w:val="000000"/>
                <w:sz w:val="20"/>
              </w:rPr>
              <w:t>https://www.eufunds.bg/sites/default/files/uploads/eip/docs/2021-09.pdf</w:t>
            </w:r>
          </w:p>
          <w:p w14:paraId="07015187" w14:textId="77777777" w:rsidR="00A77B3E" w:rsidRDefault="00EE0A2B">
            <w:pPr>
              <w:spacing w:before="100"/>
              <w:rPr>
                <w:color w:val="000000"/>
                <w:sz w:val="20"/>
              </w:rPr>
            </w:pPr>
            <w:r>
              <w:rPr>
                <w:color w:val="000000"/>
                <w:sz w:val="20"/>
              </w:rPr>
              <w:t>(Информацията продължава по-долу поради нейния обем и релевантност към всеки от критериите по точки 1-4)</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A16290" w14:textId="77777777" w:rsidR="00A77B3E" w:rsidRDefault="00EE0A2B">
            <w:pPr>
              <w:spacing w:before="100"/>
              <w:rPr>
                <w:color w:val="000000"/>
                <w:sz w:val="20"/>
              </w:rPr>
            </w:pPr>
            <w:r>
              <w:rPr>
                <w:color w:val="000000"/>
                <w:sz w:val="20"/>
              </w:rPr>
              <w:t>Законодателството относно мониторинга на обществените поръчки е подробно регламентирано чрез:</w:t>
            </w:r>
          </w:p>
          <w:p w14:paraId="424F02D5" w14:textId="77777777" w:rsidR="00A77B3E" w:rsidRDefault="00EE0A2B">
            <w:pPr>
              <w:spacing w:before="100"/>
              <w:rPr>
                <w:color w:val="000000"/>
                <w:sz w:val="20"/>
              </w:rPr>
            </w:pPr>
            <w:r>
              <w:rPr>
                <w:color w:val="000000"/>
                <w:sz w:val="20"/>
              </w:rPr>
              <w:t xml:space="preserve">- </w:t>
            </w:r>
            <w:r>
              <w:rPr>
                <w:color w:val="000000"/>
                <w:sz w:val="20"/>
              </w:rPr>
              <w:tab/>
              <w:t>прие в края на 2019 г. измененията на чл. 229 от ЗОП, част от които засягат правомощията на изпълнителната дирекция на Агенцията по обществени поръчки по отношение на провеждането на мониторинг на обществените поръчки (т. 14 и т. 24 в (1) се изменят, (4) и (9) се допълват);</w:t>
            </w:r>
          </w:p>
          <w:p w14:paraId="6C2C7B05" w14:textId="77777777" w:rsidR="00A77B3E" w:rsidRDefault="00EE0A2B">
            <w:pPr>
              <w:spacing w:before="100"/>
              <w:rPr>
                <w:color w:val="000000"/>
                <w:sz w:val="20"/>
              </w:rPr>
            </w:pPr>
            <w:r>
              <w:rPr>
                <w:color w:val="000000"/>
                <w:sz w:val="20"/>
              </w:rPr>
              <w:t xml:space="preserve">- </w:t>
            </w:r>
            <w:r>
              <w:rPr>
                <w:color w:val="000000"/>
                <w:sz w:val="20"/>
              </w:rPr>
              <w:tab/>
              <w:t>изменение на чл. 114 от ЗАПОП и новосъздаденото Приложение 3 към същия член (в приложението е включена информация, която различните органи с функции в областта на обществените поръчки следва да предоставят ежегодно на Агенцията по обществени поръчки за нуждите на мониторинга.)</w:t>
            </w:r>
          </w:p>
          <w:p w14:paraId="01786043" w14:textId="77777777" w:rsidR="00A77B3E" w:rsidRDefault="00EE0A2B">
            <w:pPr>
              <w:spacing w:before="100"/>
              <w:rPr>
                <w:color w:val="000000"/>
                <w:sz w:val="20"/>
              </w:rPr>
            </w:pPr>
            <w:r>
              <w:rPr>
                <w:color w:val="000000"/>
                <w:sz w:val="20"/>
              </w:rPr>
              <w:t>(Информацията продължава по-долу поради нейния обем и релевантност към всеки от критериите по точки 1-4)</w:t>
            </w:r>
          </w:p>
        </w:tc>
      </w:tr>
      <w:tr w:rsidR="00723994" w14:paraId="20E508F9"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EBAC14"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35760A" w14:textId="77777777"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FDFEAE" w14:textId="77777777" w:rsidR="00A77B3E" w:rsidRDefault="00EE0A2B">
            <w:pPr>
              <w:spacing w:before="100"/>
              <w:rPr>
                <w:color w:val="000000"/>
                <w:sz w:val="20"/>
              </w:rPr>
            </w:pPr>
            <w:r>
              <w:rPr>
                <w:color w:val="000000"/>
                <w:sz w:val="20"/>
              </w:rPr>
              <w:t>2. Мерки, гарантиращи, че данните обхващат поне следните елементи:</w:t>
            </w:r>
          </w:p>
          <w:p w14:paraId="582010A8" w14:textId="77777777" w:rsidR="00A77B3E" w:rsidRDefault="00EE0A2B">
            <w:pPr>
              <w:spacing w:before="100"/>
              <w:rPr>
                <w:color w:val="000000"/>
                <w:sz w:val="20"/>
              </w:rPr>
            </w:pPr>
            <w:r>
              <w:rPr>
                <w:color w:val="000000"/>
                <w:sz w:val="20"/>
              </w:rPr>
              <w:t>а. Качество и интензивност на конкуренцията: имена на спечелилия търг, брой на първоначалните оференти и договорна стойност;</w:t>
            </w:r>
          </w:p>
          <w:p w14:paraId="612BE6C1" w14:textId="77777777" w:rsidR="00A77B3E" w:rsidRDefault="00EE0A2B">
            <w:pPr>
              <w:spacing w:before="100"/>
              <w:rPr>
                <w:color w:val="000000"/>
                <w:sz w:val="20"/>
              </w:rPr>
            </w:pPr>
            <w:r>
              <w:rPr>
                <w:color w:val="000000"/>
                <w:sz w:val="20"/>
              </w:rPr>
              <w:t xml:space="preserve">б. Информация за крайната цена след завършване и за участието на МСП като </w:t>
            </w:r>
            <w:r>
              <w:rPr>
                <w:color w:val="000000"/>
                <w:sz w:val="20"/>
              </w:rPr>
              <w:lastRenderedPageBreak/>
              <w:t>директни оференти, когато националните системи предоставят такава информация.</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405F44" w14:textId="77777777" w:rsidR="00A77B3E" w:rsidRDefault="00EE0A2B">
            <w:pPr>
              <w:spacing w:before="100"/>
              <w:jc w:val="center"/>
              <w:rPr>
                <w:color w:val="000000"/>
                <w:sz w:val="20"/>
              </w:rPr>
            </w:pPr>
            <w:r>
              <w:rPr>
                <w:color w:val="000000"/>
                <w:sz w:val="20"/>
              </w:rPr>
              <w:lastRenderedPageBreak/>
              <w:t>Да</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9395C8" w14:textId="77777777" w:rsidR="00A77B3E" w:rsidRDefault="00EE0A2B">
            <w:pPr>
              <w:spacing w:before="100"/>
              <w:rPr>
                <w:color w:val="000000"/>
                <w:sz w:val="20"/>
              </w:rPr>
            </w:pPr>
            <w:r>
              <w:rPr>
                <w:color w:val="000000"/>
                <w:sz w:val="20"/>
              </w:rPr>
              <w:t>Постановление № 49/23 март 2020 г. за изменение и допълнение на Правилника за прилагане на Закона за обществените поръчки, приет с Постановление на Министерския съвет № 73/2016 г. (ДВ, 28/2016 г.) – обн., ДВ, бр. 29/2020 г., в сила от 1 април 2020 г.</w:t>
            </w:r>
          </w:p>
          <w:p w14:paraId="44E61104" w14:textId="77777777" w:rsidR="00A77B3E" w:rsidRDefault="00A77B3E">
            <w:pPr>
              <w:spacing w:before="100"/>
              <w:rPr>
                <w:color w:val="000000"/>
                <w:sz w:val="20"/>
              </w:rPr>
            </w:pPr>
          </w:p>
          <w:p w14:paraId="4927ADEE" w14:textId="77777777" w:rsidR="00A77B3E" w:rsidRDefault="00EE0A2B">
            <w:pPr>
              <w:spacing w:before="100"/>
              <w:rPr>
                <w:color w:val="000000"/>
                <w:sz w:val="20"/>
              </w:rPr>
            </w:pPr>
            <w:r>
              <w:rPr>
                <w:color w:val="000000"/>
                <w:sz w:val="20"/>
              </w:rPr>
              <w:lastRenderedPageBreak/>
              <w:t>https://www.eufunds.bg/sites/default/files/uploads/eip/docs/2021-HEC1.pdf</w:t>
            </w:r>
          </w:p>
          <w:p w14:paraId="12485762" w14:textId="77777777"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4D0EDC" w14:textId="77777777" w:rsidR="00A77B3E" w:rsidRDefault="00EE0A2B">
            <w:pPr>
              <w:spacing w:before="100"/>
              <w:rPr>
                <w:color w:val="000000"/>
                <w:sz w:val="20"/>
              </w:rPr>
            </w:pPr>
            <w:r>
              <w:rPr>
                <w:color w:val="000000"/>
                <w:sz w:val="20"/>
              </w:rPr>
              <w:lastRenderedPageBreak/>
              <w:t>Изградена е и функционира централизирана електронна система – CAIS EEP.</w:t>
            </w:r>
          </w:p>
          <w:p w14:paraId="333FF9F8" w14:textId="77777777" w:rsidR="00A77B3E" w:rsidRDefault="00EE0A2B">
            <w:pPr>
              <w:spacing w:before="100"/>
              <w:rPr>
                <w:color w:val="000000"/>
                <w:sz w:val="20"/>
              </w:rPr>
            </w:pPr>
            <w:r>
              <w:rPr>
                <w:color w:val="000000"/>
                <w:sz w:val="20"/>
              </w:rPr>
              <w:t xml:space="preserve">Съгласно чл. 39а от ЗОП, той се използва при възлагане на обществени поръчки, включително чрез динамична система за покупка, рамково споразумение и система за </w:t>
            </w:r>
            <w:r>
              <w:rPr>
                <w:color w:val="000000"/>
                <w:sz w:val="20"/>
              </w:rPr>
              <w:lastRenderedPageBreak/>
              <w:t>квалификация, както и при конкурс за проект.</w:t>
            </w:r>
          </w:p>
          <w:p w14:paraId="3865763C" w14:textId="77777777" w:rsidR="00A77B3E" w:rsidRDefault="00EE0A2B">
            <w:pPr>
              <w:spacing w:before="100"/>
              <w:rPr>
                <w:color w:val="000000"/>
                <w:sz w:val="20"/>
              </w:rPr>
            </w:pPr>
            <w:r>
              <w:rPr>
                <w:color w:val="000000"/>
                <w:sz w:val="20"/>
              </w:rPr>
              <w:t>От 1 януари 2020 г. използването на CAIS EPP е задължително за някои групи възлагащи органи, а от 14 юни 2020 г. - за всички възлагащи органи.</w:t>
            </w:r>
          </w:p>
          <w:p w14:paraId="2775BF27" w14:textId="77777777" w:rsidR="00A77B3E" w:rsidRDefault="00EE0A2B">
            <w:pPr>
              <w:spacing w:before="100"/>
              <w:rPr>
                <w:color w:val="000000"/>
                <w:sz w:val="20"/>
              </w:rPr>
            </w:pPr>
            <w:r>
              <w:rPr>
                <w:color w:val="000000"/>
                <w:sz w:val="20"/>
              </w:rPr>
              <w:t>Системата се състои от 32 модула, част от които са задължителни за използване от възложителите: Те включват: електронна регистрация, електронно уведомление, електронен подател, електронен достъп, еЕДОП, обмен на информация, електронно подаване, електронно отваряне, динамична система за покупки, система за квалификация, мини конкурс по рамково споразумение, електронен каталог, електронно фактуриране и др.</w:t>
            </w:r>
          </w:p>
          <w:p w14:paraId="6B330F76" w14:textId="77777777" w:rsidR="00A77B3E" w:rsidRDefault="00EE0A2B">
            <w:pPr>
              <w:spacing w:before="100"/>
              <w:rPr>
                <w:color w:val="000000"/>
                <w:sz w:val="20"/>
              </w:rPr>
            </w:pPr>
            <w:r>
              <w:rPr>
                <w:color w:val="000000"/>
                <w:sz w:val="20"/>
              </w:rPr>
              <w:t>Проведени са обучения за работа с CAIS EPP, насочени към различни целеви групи. Осигурено е и предоставяне на практическа помощ на потребителите на системата, включително чрез Центъра за обслужване на потребители, създаден през 2019 г.</w:t>
            </w:r>
          </w:p>
        </w:tc>
      </w:tr>
      <w:tr w:rsidR="00723994" w14:paraId="7C10E65D"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95E98A"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2D05A2" w14:textId="77777777"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3E0207" w14:textId="77777777" w:rsidR="00A77B3E" w:rsidRDefault="00EE0A2B">
            <w:pPr>
              <w:spacing w:before="100"/>
              <w:rPr>
                <w:color w:val="000000"/>
                <w:sz w:val="20"/>
              </w:rPr>
            </w:pPr>
            <w:r>
              <w:rPr>
                <w:color w:val="000000"/>
                <w:sz w:val="20"/>
              </w:rPr>
              <w:t>3. Организация за осигуряване на мониторинг и анализ на данните от компетентните национални органи в съответствие с член 83 (2) от Директива 2014/24/ЕС и член 99 (2) от Директива 2014/25/ЕС.</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E088C7" w14:textId="77777777" w:rsidR="00A77B3E" w:rsidRDefault="00EE0A2B">
            <w:pPr>
              <w:spacing w:before="100"/>
              <w:jc w:val="center"/>
              <w:rPr>
                <w:color w:val="000000"/>
                <w:sz w:val="20"/>
              </w:rPr>
            </w:pPr>
            <w:r>
              <w:rPr>
                <w:color w:val="000000"/>
                <w:sz w:val="20"/>
              </w:rPr>
              <w:t>Да</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EC2A04" w14:textId="77777777" w:rsidR="00A77B3E" w:rsidRDefault="00EE0A2B">
            <w:pPr>
              <w:spacing w:before="100"/>
              <w:rPr>
                <w:color w:val="000000"/>
                <w:sz w:val="20"/>
              </w:rPr>
            </w:pPr>
            <w:r>
              <w:rPr>
                <w:color w:val="000000"/>
                <w:sz w:val="20"/>
              </w:rPr>
              <w:t>Централизирана автоматизирана информационна система „Електронни обществени поръчки“ (ЦАИС ОПП)</w:t>
            </w:r>
          </w:p>
          <w:p w14:paraId="09148857" w14:textId="77777777" w:rsidR="00A77B3E" w:rsidRDefault="00A77B3E">
            <w:pPr>
              <w:spacing w:before="100"/>
              <w:rPr>
                <w:color w:val="000000"/>
                <w:sz w:val="20"/>
              </w:rPr>
            </w:pPr>
          </w:p>
          <w:p w14:paraId="73BF1D83" w14:textId="77777777" w:rsidR="00A77B3E" w:rsidRDefault="00EE0A2B">
            <w:pPr>
              <w:spacing w:before="100"/>
              <w:rPr>
                <w:color w:val="000000"/>
                <w:sz w:val="20"/>
              </w:rPr>
            </w:pPr>
            <w:r>
              <w:rPr>
                <w:color w:val="000000"/>
                <w:sz w:val="20"/>
              </w:rPr>
              <w:t>https://www.eop.bg</w:t>
            </w:r>
          </w:p>
          <w:p w14:paraId="05DC155E" w14:textId="77777777" w:rsidR="00A77B3E" w:rsidRDefault="00EE0A2B">
            <w:pPr>
              <w:spacing w:before="100"/>
              <w:rPr>
                <w:color w:val="000000"/>
                <w:sz w:val="20"/>
              </w:rPr>
            </w:pPr>
            <w:r>
              <w:rPr>
                <w:color w:val="000000"/>
                <w:sz w:val="20"/>
              </w:rPr>
              <w:t xml:space="preserve">• </w:t>
            </w:r>
            <w:r>
              <w:rPr>
                <w:color w:val="000000"/>
                <w:sz w:val="20"/>
              </w:rPr>
              <w:tab/>
              <w:t>CAIS EPP – електронна регистрация:</w:t>
            </w:r>
          </w:p>
          <w:p w14:paraId="672C647A" w14:textId="77777777" w:rsidR="00A77B3E" w:rsidRDefault="00EE0A2B">
            <w:pPr>
              <w:spacing w:before="100"/>
              <w:rPr>
                <w:color w:val="000000"/>
                <w:sz w:val="20"/>
              </w:rPr>
            </w:pPr>
            <w:r>
              <w:rPr>
                <w:color w:val="000000"/>
                <w:sz w:val="20"/>
              </w:rPr>
              <w:t>https://app.eop.bg/today</w:t>
            </w:r>
          </w:p>
          <w:p w14:paraId="2D179867" w14:textId="77777777" w:rsidR="00A77B3E" w:rsidRDefault="00EE0A2B">
            <w:pPr>
              <w:spacing w:before="100"/>
              <w:rPr>
                <w:color w:val="000000"/>
                <w:sz w:val="20"/>
              </w:rPr>
            </w:pPr>
            <w:r>
              <w:rPr>
                <w:color w:val="000000"/>
                <w:sz w:val="20"/>
              </w:rPr>
              <w:t xml:space="preserve">• </w:t>
            </w:r>
            <w:r>
              <w:rPr>
                <w:color w:val="000000"/>
                <w:sz w:val="20"/>
              </w:rPr>
              <w:tab/>
              <w:t>CAIS EPP – Бюлетин:</w:t>
            </w:r>
          </w:p>
          <w:p w14:paraId="7D3E7976" w14:textId="77777777" w:rsidR="00A77B3E" w:rsidRDefault="00EE0A2B">
            <w:pPr>
              <w:spacing w:before="100"/>
              <w:rPr>
                <w:color w:val="000000"/>
                <w:sz w:val="20"/>
              </w:rPr>
            </w:pPr>
            <w:r>
              <w:rPr>
                <w:color w:val="000000"/>
                <w:sz w:val="20"/>
              </w:rPr>
              <w:lastRenderedPageBreak/>
              <w:t>https://app.eop.bg/today/reporting/bulletin</w:t>
            </w:r>
          </w:p>
          <w:p w14:paraId="60C6A019" w14:textId="77777777" w:rsidR="00A77B3E" w:rsidRDefault="00EE0A2B">
            <w:pPr>
              <w:spacing w:before="100"/>
              <w:rPr>
                <w:color w:val="000000"/>
                <w:sz w:val="20"/>
              </w:rPr>
            </w:pPr>
            <w:r>
              <w:rPr>
                <w:color w:val="000000"/>
                <w:sz w:val="20"/>
              </w:rPr>
              <w:t xml:space="preserve">• </w:t>
            </w:r>
            <w:r>
              <w:rPr>
                <w:color w:val="000000"/>
                <w:sz w:val="20"/>
              </w:rPr>
              <w:tab/>
              <w:t>CAIS EPP – Статистика:</w:t>
            </w:r>
          </w:p>
          <w:p w14:paraId="3EF8BF37" w14:textId="77777777" w:rsidR="00A77B3E" w:rsidRDefault="00EE0A2B">
            <w:pPr>
              <w:spacing w:before="100"/>
              <w:rPr>
                <w:color w:val="000000"/>
                <w:sz w:val="20"/>
              </w:rPr>
            </w:pPr>
            <w:r>
              <w:rPr>
                <w:color w:val="000000"/>
                <w:sz w:val="20"/>
              </w:rPr>
              <w:t>https://app.eop.bg/today/reporting/statistics</w:t>
            </w:r>
          </w:p>
          <w:p w14:paraId="67CC7C8A" w14:textId="77777777"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D2B8FD" w14:textId="77777777" w:rsidR="00A77B3E" w:rsidRDefault="00EE0A2B">
            <w:pPr>
              <w:spacing w:before="100"/>
              <w:rPr>
                <w:color w:val="000000"/>
                <w:sz w:val="20"/>
              </w:rPr>
            </w:pPr>
            <w:r>
              <w:rPr>
                <w:color w:val="000000"/>
                <w:sz w:val="20"/>
              </w:rPr>
              <w:lastRenderedPageBreak/>
              <w:t>Системата се състои от 32 модула, част от които са задължителни за използване от възложителите: Те включват: електронна регистрация, електронно уведомление, електронен подател, електронен достъп, еЕДОП, обмен на информация, електронно подаване, електронно отваряне, динамична система за покупки, система за квалификация, мини конкурс по рамково споразумение, електронен каталог, електронно фактуриране и др.</w:t>
            </w:r>
          </w:p>
          <w:p w14:paraId="710F893D" w14:textId="77777777" w:rsidR="00A77B3E" w:rsidRDefault="00EE0A2B">
            <w:pPr>
              <w:spacing w:before="100"/>
              <w:rPr>
                <w:color w:val="000000"/>
                <w:sz w:val="20"/>
              </w:rPr>
            </w:pPr>
            <w:r>
              <w:rPr>
                <w:color w:val="000000"/>
                <w:sz w:val="20"/>
              </w:rPr>
              <w:lastRenderedPageBreak/>
              <w:t>Проведени са обучения за работа с CAIS EPP, насочени към различни целеви групи. Осигурено е и предоставяне на практическа помощ на потребителите на системата, включително чрез Центъра за обслужване на потребители, създаден през 2019 г.</w:t>
            </w:r>
          </w:p>
        </w:tc>
      </w:tr>
      <w:tr w:rsidR="00723994" w14:paraId="69AA9351"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626BB5"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CAC436" w14:textId="77777777"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D63412" w14:textId="77777777" w:rsidR="00A77B3E" w:rsidRDefault="00EE0A2B">
            <w:pPr>
              <w:spacing w:before="100"/>
              <w:rPr>
                <w:color w:val="000000"/>
                <w:sz w:val="20"/>
              </w:rPr>
            </w:pPr>
            <w:r>
              <w:rPr>
                <w:color w:val="000000"/>
                <w:sz w:val="20"/>
              </w:rPr>
              <w:t>4. Организация за предоставяне на резултатите от анализа на обществеността в съответствие с член 83 (3) от Директива 2014/24/ЕС и член 99 (3) от Директива 2014/25/ЕС.</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98521C" w14:textId="77777777" w:rsidR="00A77B3E" w:rsidRDefault="00EE0A2B">
            <w:pPr>
              <w:spacing w:before="100"/>
              <w:jc w:val="center"/>
              <w:rPr>
                <w:color w:val="000000"/>
                <w:sz w:val="20"/>
              </w:rPr>
            </w:pPr>
            <w:r>
              <w:rPr>
                <w:color w:val="000000"/>
                <w:sz w:val="20"/>
              </w:rPr>
              <w:t>Да</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92BF29" w14:textId="77777777" w:rsidR="00A77B3E" w:rsidRDefault="00EE0A2B">
            <w:pPr>
              <w:spacing w:before="100"/>
              <w:rPr>
                <w:color w:val="000000"/>
                <w:sz w:val="20"/>
              </w:rPr>
            </w:pPr>
            <w:r>
              <w:rPr>
                <w:color w:val="000000"/>
                <w:sz w:val="20"/>
              </w:rPr>
              <w:t>Регистър на обществените поръчки, проведени преди задължителното използване на CAIS EPP:</w:t>
            </w:r>
          </w:p>
          <w:p w14:paraId="50BC4A35" w14:textId="77777777" w:rsidR="00A77B3E" w:rsidRDefault="00EE0A2B">
            <w:pPr>
              <w:spacing w:before="100"/>
              <w:rPr>
                <w:color w:val="000000"/>
                <w:sz w:val="20"/>
              </w:rPr>
            </w:pPr>
            <w:r>
              <w:rPr>
                <w:color w:val="000000"/>
                <w:sz w:val="20"/>
              </w:rPr>
              <w:t>https://www.aop.bg</w:t>
            </w:r>
          </w:p>
          <w:p w14:paraId="6277A393" w14:textId="77777777"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CB33D1" w14:textId="77777777" w:rsidR="00A77B3E" w:rsidRDefault="00EE0A2B">
            <w:pPr>
              <w:spacing w:before="100"/>
              <w:rPr>
                <w:color w:val="000000"/>
                <w:sz w:val="20"/>
              </w:rPr>
            </w:pPr>
            <w:r>
              <w:rPr>
                <w:color w:val="000000"/>
                <w:sz w:val="20"/>
              </w:rPr>
              <w:t>Вижте информацията за критерии 1-4.</w:t>
            </w:r>
          </w:p>
          <w:p w14:paraId="688FA49A" w14:textId="77777777" w:rsidR="00A77B3E" w:rsidRDefault="00EE0A2B">
            <w:pPr>
              <w:spacing w:before="100"/>
              <w:rPr>
                <w:color w:val="000000"/>
                <w:sz w:val="20"/>
              </w:rPr>
            </w:pPr>
            <w:r>
              <w:rPr>
                <w:color w:val="000000"/>
                <w:sz w:val="20"/>
              </w:rPr>
              <w:t>В допълнение, чл. 229 (2), т. 14 и 24 и (9) от Закона за опашките и чл. 114 (5) от Правилника за прилагане на Закона за опашките.</w:t>
            </w:r>
          </w:p>
        </w:tc>
      </w:tr>
      <w:tr w:rsidR="00723994" w14:paraId="0EA09153"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E26F6E"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D9A31B" w14:textId="77777777"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531BFA" w14:textId="77777777" w:rsidR="00A77B3E" w:rsidRDefault="00EE0A2B">
            <w:pPr>
              <w:spacing w:before="100"/>
              <w:rPr>
                <w:color w:val="000000"/>
                <w:sz w:val="20"/>
              </w:rPr>
            </w:pPr>
            <w:r>
              <w:rPr>
                <w:color w:val="000000"/>
                <w:sz w:val="20"/>
              </w:rPr>
              <w:t>5. Мерки, гарантиращи, че цялата информация, сочеща към предполагаеми ситуации на тръжни манипулации, се съобщава на компетентните национални органи в съответствие с член 83, параграф 2 от Директива 2014/24/ЕС и член 99, параграф 2 от Директива 2014/25/ЕС.</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64FF25" w14:textId="77777777" w:rsidR="00A77B3E" w:rsidRDefault="00EE0A2B">
            <w:pPr>
              <w:spacing w:before="100"/>
              <w:jc w:val="center"/>
              <w:rPr>
                <w:color w:val="000000"/>
                <w:sz w:val="20"/>
              </w:rPr>
            </w:pPr>
            <w:r>
              <w:rPr>
                <w:color w:val="000000"/>
                <w:sz w:val="20"/>
              </w:rPr>
              <w:t>Да</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9CE031" w14:textId="77777777" w:rsidR="00A77B3E" w:rsidRDefault="00EE0A2B">
            <w:pPr>
              <w:spacing w:before="100"/>
              <w:rPr>
                <w:color w:val="000000"/>
                <w:sz w:val="20"/>
              </w:rPr>
            </w:pPr>
            <w:r>
              <w:rPr>
                <w:color w:val="000000"/>
                <w:sz w:val="20"/>
              </w:rPr>
              <w:t>Закон за обществените поръчки (ЗОП) – чл. 106, (2) и (7),</w:t>
            </w:r>
          </w:p>
          <w:p w14:paraId="2151A905" w14:textId="77777777" w:rsidR="00A77B3E" w:rsidRDefault="00EE0A2B">
            <w:pPr>
              <w:spacing w:before="100"/>
              <w:rPr>
                <w:color w:val="000000"/>
                <w:sz w:val="20"/>
              </w:rPr>
            </w:pPr>
            <w:r>
              <w:rPr>
                <w:color w:val="000000"/>
                <w:sz w:val="20"/>
              </w:rPr>
              <w:t>Правилник за прилагане на Закона за обществените поръчки (ПЗОП) – Приложение 3 към чл. 114, ал. 2 (нов ДВ, бр. 29/2020 г., в сила от 1 април 2020 г.), част Б, т. 17</w:t>
            </w:r>
          </w:p>
          <w:p w14:paraId="54CDE9E6" w14:textId="77777777" w:rsidR="00A77B3E" w:rsidRDefault="00EE0A2B">
            <w:pPr>
              <w:spacing w:before="100"/>
              <w:rPr>
                <w:color w:val="000000"/>
                <w:sz w:val="20"/>
              </w:rPr>
            </w:pPr>
            <w:r>
              <w:rPr>
                <w:color w:val="000000"/>
                <w:sz w:val="20"/>
              </w:rPr>
              <w:t>Закон за защита на конкуренцията</w:t>
            </w:r>
          </w:p>
          <w:p w14:paraId="7A930886" w14:textId="77777777" w:rsidR="00A77B3E" w:rsidRDefault="00EE0A2B">
            <w:pPr>
              <w:spacing w:before="100"/>
              <w:rPr>
                <w:color w:val="000000"/>
                <w:sz w:val="20"/>
              </w:rPr>
            </w:pPr>
            <w:r>
              <w:rPr>
                <w:color w:val="000000"/>
                <w:sz w:val="20"/>
              </w:rPr>
              <w:t>https://www.cpc.bg/General/Legislation.aspx</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BAF310" w14:textId="77777777" w:rsidR="00A77B3E" w:rsidRDefault="00EE0A2B">
            <w:pPr>
              <w:spacing w:before="100"/>
              <w:rPr>
                <w:color w:val="000000"/>
                <w:sz w:val="20"/>
              </w:rPr>
            </w:pPr>
            <w:r>
              <w:rPr>
                <w:color w:val="000000"/>
                <w:sz w:val="20"/>
              </w:rPr>
              <w:t>Вижте чл. 106 (2) и (7) от ЗОП и Приложение 3 към чл. 114 (2) от Правилника за прилагане на ЗОП (нов – ДВ, бр. 29 от 2020 г., в сила от 01.04.2020 г.), част Б, стр. 17.</w:t>
            </w:r>
          </w:p>
          <w:p w14:paraId="200BACB8" w14:textId="77777777" w:rsidR="00A77B3E" w:rsidRDefault="00EE0A2B">
            <w:pPr>
              <w:spacing w:before="100"/>
              <w:rPr>
                <w:color w:val="000000"/>
                <w:sz w:val="20"/>
              </w:rPr>
            </w:pPr>
            <w:r>
              <w:rPr>
                <w:color w:val="000000"/>
                <w:sz w:val="20"/>
              </w:rPr>
              <w:t>Чл. 15 и други относими текстове от Закона за защита на конкуренцията.</w:t>
            </w:r>
          </w:p>
          <w:p w14:paraId="7AEDC4B7" w14:textId="77777777" w:rsidR="00A77B3E" w:rsidRDefault="00A77B3E">
            <w:pPr>
              <w:spacing w:before="100"/>
              <w:rPr>
                <w:color w:val="000000"/>
                <w:sz w:val="20"/>
              </w:rPr>
            </w:pPr>
          </w:p>
        </w:tc>
      </w:tr>
      <w:tr w:rsidR="00723994" w14:paraId="79E913B9" w14:textId="77777777">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F3E5E8" w14:textId="77777777" w:rsidR="00A77B3E" w:rsidRDefault="00EE0A2B">
            <w:pPr>
              <w:spacing w:before="100"/>
              <w:rPr>
                <w:color w:val="000000"/>
                <w:sz w:val="20"/>
              </w:rPr>
            </w:pPr>
            <w:r>
              <w:rPr>
                <w:color w:val="000000"/>
                <w:sz w:val="20"/>
              </w:rPr>
              <w:t>3. Ефективно прилагане и изпълнение на Хартата на основните права</w:t>
            </w: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C7DD6E" w14:textId="77777777" w:rsidR="00A77B3E" w:rsidRDefault="00EE0A2B">
            <w:pPr>
              <w:spacing w:before="100"/>
              <w:jc w:val="center"/>
              <w:rPr>
                <w:color w:val="000000"/>
                <w:sz w:val="20"/>
              </w:rPr>
            </w:pPr>
            <w:r>
              <w:rPr>
                <w:color w:val="000000"/>
                <w:sz w:val="20"/>
              </w:rPr>
              <w:t>Да</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86B13B" w14:textId="77777777" w:rsidR="00A77B3E" w:rsidRDefault="00EE0A2B">
            <w:pPr>
              <w:spacing w:before="100"/>
              <w:rPr>
                <w:color w:val="000000"/>
                <w:sz w:val="20"/>
              </w:rPr>
            </w:pPr>
            <w:r>
              <w:rPr>
                <w:color w:val="000000"/>
                <w:sz w:val="20"/>
              </w:rPr>
              <w:t>Въведени са ефективни механизми за осигуряване на спазването на Хартата на основните права на Европейския съюз („Хартата“), които включват:</w:t>
            </w:r>
          </w:p>
          <w:p w14:paraId="3F4A1055" w14:textId="77777777" w:rsidR="00A77B3E" w:rsidRDefault="00EE0A2B">
            <w:pPr>
              <w:spacing w:before="100"/>
              <w:rPr>
                <w:color w:val="000000"/>
                <w:sz w:val="20"/>
              </w:rPr>
            </w:pPr>
            <w:r>
              <w:rPr>
                <w:color w:val="000000"/>
                <w:sz w:val="20"/>
              </w:rPr>
              <w:t>1. Мерки за осигуряване на съответствието на програмите, подкрепяни от фондовете, и тяхното изпълнение със съответните разпоредби на Хартата.</w:t>
            </w:r>
          </w:p>
          <w:p w14:paraId="176155F0" w14:textId="77777777" w:rsidR="00A77B3E" w:rsidRDefault="00A77B3E">
            <w:pPr>
              <w:spacing w:before="100"/>
              <w:rPr>
                <w:color w:val="000000"/>
                <w:sz w:val="2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2A8F7D" w14:textId="77777777" w:rsidR="00A77B3E" w:rsidRDefault="00EE0A2B">
            <w:pPr>
              <w:spacing w:before="100"/>
              <w:jc w:val="center"/>
              <w:rPr>
                <w:color w:val="000000"/>
                <w:sz w:val="20"/>
              </w:rPr>
            </w:pPr>
            <w:r>
              <w:rPr>
                <w:color w:val="000000"/>
                <w:sz w:val="20"/>
              </w:rPr>
              <w:t>Да</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CF63D5" w14:textId="77777777" w:rsidR="00A77B3E" w:rsidRDefault="00EE0A2B">
            <w:pPr>
              <w:spacing w:before="100"/>
              <w:rPr>
                <w:color w:val="000000"/>
                <w:sz w:val="20"/>
              </w:rPr>
            </w:pPr>
            <w:r>
              <w:rPr>
                <w:color w:val="000000"/>
                <w:sz w:val="20"/>
              </w:rPr>
              <w:t xml:space="preserve">Насоки за прилагане на Хартата на основните права на ЕС от управляващите, контролиращите и одитните органи по програмите, финансирани от ЕС, съфинансирани по ЕФРР, ЕФР+, КФ, ФТФ, ЕЗФРСР, ФУМИ, </w:t>
            </w:r>
            <w:r w:rsidR="0002372A">
              <w:rPr>
                <w:color w:val="000000"/>
                <w:sz w:val="20"/>
              </w:rPr>
              <w:t>ФВС</w:t>
            </w:r>
            <w:r>
              <w:rPr>
                <w:color w:val="000000"/>
                <w:sz w:val="20"/>
              </w:rPr>
              <w:t>, ИУГВП за програмния период 2021 – 2027 г., приети със Заповед на заместник министър-председателя, отговарящ за европейските фондове, и министър на финансите № В-105/19.07.2022 г.:</w:t>
            </w:r>
          </w:p>
          <w:p w14:paraId="4A35CFC6" w14:textId="77777777" w:rsidR="00A77B3E" w:rsidRDefault="00EE0A2B">
            <w:pPr>
              <w:spacing w:before="100"/>
              <w:rPr>
                <w:color w:val="000000"/>
                <w:sz w:val="20"/>
              </w:rPr>
            </w:pPr>
            <w:r>
              <w:rPr>
                <w:color w:val="000000"/>
                <w:sz w:val="20"/>
              </w:rPr>
              <w:lastRenderedPageBreak/>
              <w:t>https://www.eufunds.bg/bg/node/8223</w:t>
            </w:r>
          </w:p>
          <w:p w14:paraId="0D70C044" w14:textId="77777777"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8CA24E" w14:textId="77777777" w:rsidR="00A77B3E" w:rsidRDefault="00EE0A2B">
            <w:pPr>
              <w:spacing w:before="100"/>
              <w:rPr>
                <w:color w:val="000000"/>
                <w:sz w:val="20"/>
              </w:rPr>
            </w:pPr>
            <w:r>
              <w:rPr>
                <w:color w:val="000000"/>
                <w:sz w:val="20"/>
              </w:rPr>
              <w:lastRenderedPageBreak/>
              <w:t xml:space="preserve">Приети са национални насоки за прилагане на Хартата. Целта е да се подпомогнат управляващите, контролиращите и одитиращите органи по програмите на ЕС, финансирани по ЕФРР, ЕФР+, КФ, ФТФ, ЕЗФРСР, ФУМИ, ФВС, ИУГВ, при практическото прилагане и спазване на Хартата. Националните органи следва да разработят и включат в работните си процедури правила за проверка на правата от Хартата и да докладват на </w:t>
            </w:r>
            <w:r>
              <w:rPr>
                <w:color w:val="000000"/>
                <w:sz w:val="20"/>
              </w:rPr>
              <w:lastRenderedPageBreak/>
              <w:t>Комитета за наблюдение (КМ) случаите на неспазване и жалбите в контекста на усвояването на средствата.</w:t>
            </w:r>
          </w:p>
          <w:p w14:paraId="633B6D9D" w14:textId="77777777" w:rsidR="00A77B3E" w:rsidRDefault="00EE0A2B">
            <w:pPr>
              <w:spacing w:before="100"/>
              <w:rPr>
                <w:color w:val="000000"/>
                <w:sz w:val="20"/>
              </w:rPr>
            </w:pPr>
            <w:r>
              <w:rPr>
                <w:color w:val="000000"/>
                <w:sz w:val="20"/>
              </w:rPr>
              <w:t>Насоките включват: Приложение 1, което очертава 3-те етапа на усвояване на средствата, отговорните национални органи, както и приложимия набор от права по Хартата, които трябва да бъдат гарантирани; Приложение 2, чрез което се извършва проверка за потенциално нарушение на основните права по Хартата при изпълнение на действията и/или подготовката на документите, и Приложение 3, в което са посочени компетентните органи на национално ниво за основните права на ЕС. Изискванията на Насоките и техните приложения ще бъдат включени в описанието на системите за управление и контрол на програмата.</w:t>
            </w:r>
          </w:p>
        </w:tc>
      </w:tr>
      <w:tr w:rsidR="00723994" w14:paraId="42B4B827"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A68B6D"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3FD219" w14:textId="77777777"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6C12E1" w14:textId="77777777" w:rsidR="00A77B3E" w:rsidRDefault="00EE0A2B">
            <w:pPr>
              <w:spacing w:before="100"/>
              <w:rPr>
                <w:color w:val="000000"/>
                <w:sz w:val="20"/>
              </w:rPr>
            </w:pPr>
            <w:r>
              <w:rPr>
                <w:color w:val="000000"/>
                <w:sz w:val="20"/>
              </w:rPr>
              <w:t>2. Докладване пред мониторинговия комитет относно случаи на несъответствие на операции, подкрепяни от фондовете, с Хартата и жалби относно Хартата, подадени в съответствие с договореностите, сключени съгласно член 69(7).</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1CF6B6" w14:textId="77777777" w:rsidR="00A77B3E" w:rsidRDefault="00EE0A2B">
            <w:pPr>
              <w:spacing w:before="100"/>
              <w:jc w:val="center"/>
              <w:rPr>
                <w:color w:val="000000"/>
                <w:sz w:val="20"/>
              </w:rPr>
            </w:pPr>
            <w:r>
              <w:rPr>
                <w:color w:val="000000"/>
                <w:sz w:val="20"/>
              </w:rPr>
              <w:t>Да</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318E12" w14:textId="77777777" w:rsidR="00A77B3E" w:rsidRDefault="00EE0A2B">
            <w:pPr>
              <w:spacing w:before="100"/>
              <w:rPr>
                <w:color w:val="000000"/>
                <w:sz w:val="20"/>
              </w:rPr>
            </w:pPr>
            <w:r>
              <w:rPr>
                <w:color w:val="000000"/>
                <w:sz w:val="20"/>
              </w:rPr>
              <w:t>Проект на постановление на Министерския съвет (МС) за създаване на УК на Споразумението за партньорство (СП) на Република България (Р България) и програмите, финансирани от ЕМФС за програмния период 2021 – 2027 г.</w:t>
            </w:r>
          </w:p>
          <w:p w14:paraId="0723F606" w14:textId="77777777" w:rsidR="00A77B3E" w:rsidRDefault="00EE0A2B">
            <w:pPr>
              <w:spacing w:before="100"/>
              <w:rPr>
                <w:color w:val="000000"/>
                <w:sz w:val="20"/>
              </w:rPr>
            </w:pPr>
            <w:r>
              <w:rPr>
                <w:color w:val="000000"/>
                <w:sz w:val="20"/>
              </w:rPr>
              <w:t xml:space="preserve">Насоки за прилагане на Хартата от управляващите, контролиращите и одитиращите органи по програмите, финансирани от ЕС - ЕФРР, ЕФР+, КФ, ФТФ, ЕЗФРСР, ФУМИ, </w:t>
            </w:r>
            <w:r w:rsidR="0002372A">
              <w:rPr>
                <w:color w:val="000000"/>
                <w:sz w:val="20"/>
              </w:rPr>
              <w:t>ФВС</w:t>
            </w:r>
            <w:r>
              <w:rPr>
                <w:color w:val="000000"/>
                <w:sz w:val="20"/>
              </w:rPr>
              <w:t>, ИУГВП за програмния период 2021 – 2027 г., приети със Заповед на заместник министър-председателя, отговарящ за европейските фондове, и министър на финансите № В-105/19.07.2022 г.</w:t>
            </w:r>
          </w:p>
          <w:p w14:paraId="09A2017A" w14:textId="77777777" w:rsidR="00A77B3E" w:rsidRDefault="00EE0A2B">
            <w:pPr>
              <w:spacing w:before="100"/>
              <w:rPr>
                <w:color w:val="000000"/>
                <w:sz w:val="20"/>
              </w:rPr>
            </w:pPr>
            <w:r>
              <w:rPr>
                <w:color w:val="000000"/>
                <w:sz w:val="20"/>
              </w:rPr>
              <w:t>https://www.eufunds.bg/bg/node/8223</w:t>
            </w:r>
          </w:p>
          <w:p w14:paraId="271F48C3" w14:textId="77777777"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373774" w14:textId="77777777" w:rsidR="00A77B3E" w:rsidRDefault="00EE0A2B">
            <w:pPr>
              <w:spacing w:before="100"/>
              <w:rPr>
                <w:color w:val="000000"/>
                <w:sz w:val="20"/>
              </w:rPr>
            </w:pPr>
            <w:r>
              <w:rPr>
                <w:color w:val="000000"/>
                <w:sz w:val="20"/>
              </w:rPr>
              <w:lastRenderedPageBreak/>
              <w:t>Докладването на жалби по Хартата и на случаи на несъответствие на операции, подкрепяни от фондовете, с Хартата до КМ ще бъде регламентирано с постановление на МС за създаване на КМ на АП на Р България и програмите, финансирани от ЕМФС за програмния период 2021-2027 г. Към 20.07.2022 г. проектът на постановление е във финален етап и предстои започване на обществени обсъждания и процедури за междуведомствено съгласуване.</w:t>
            </w:r>
          </w:p>
          <w:p w14:paraId="3F575C72" w14:textId="77777777" w:rsidR="00A77B3E" w:rsidRDefault="00EE0A2B">
            <w:pPr>
              <w:spacing w:before="100"/>
              <w:rPr>
                <w:color w:val="000000"/>
                <w:sz w:val="20"/>
              </w:rPr>
            </w:pPr>
            <w:r>
              <w:rPr>
                <w:color w:val="000000"/>
                <w:sz w:val="20"/>
              </w:rPr>
              <w:t>Установените случаи на неспазване на Хартата в контекста на средствата от ЕС ще бъдат докладвани от съответния УО, който следва да поддържа актуална систематизирана информация по случаите.</w:t>
            </w:r>
          </w:p>
          <w:p w14:paraId="15824C45" w14:textId="77777777" w:rsidR="00A77B3E" w:rsidRDefault="00EE0A2B">
            <w:pPr>
              <w:spacing w:before="100"/>
              <w:rPr>
                <w:color w:val="000000"/>
                <w:sz w:val="20"/>
              </w:rPr>
            </w:pPr>
            <w:r>
              <w:rPr>
                <w:color w:val="000000"/>
                <w:sz w:val="20"/>
              </w:rPr>
              <w:lastRenderedPageBreak/>
              <w:t>Жалбите, получени от граждани или други външни източници/заинтересовани страни относно нарушения на правата по Хартата в процеса на изпълнение на програмите, ще бъдат разглеждани от съответния компетентен орган на национално ниво и ще бъдат докладвани на Управителния съвет (УО) въз основа на информацията, предоставена на компетентните органи, разгледали жалбите, в съответствие с Приложение 3. Компетентните органи ще поддържат информация за получените жалби и резултатите от тяхното разглеждане в съответствие със своите вътрешни правила и процедури.</w:t>
            </w:r>
          </w:p>
        </w:tc>
      </w:tr>
      <w:tr w:rsidR="00723994" w14:paraId="76BA1DD1" w14:textId="77777777">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0975C7" w14:textId="77777777" w:rsidR="00A77B3E" w:rsidRDefault="00EE0A2B">
            <w:pPr>
              <w:spacing w:before="100"/>
              <w:rPr>
                <w:color w:val="000000"/>
                <w:sz w:val="20"/>
              </w:rPr>
            </w:pPr>
            <w:r>
              <w:rPr>
                <w:color w:val="000000"/>
                <w:sz w:val="20"/>
              </w:rPr>
              <w:lastRenderedPageBreak/>
              <w:t>4. Прилагане и изпълнение на Конвенцията на Организацията на обединените нации за правата на хората с увреждания (UNCRPD) в съответствие с Решение 2010/48/ЕО на Съвета</w:t>
            </w: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F82351" w14:textId="77777777" w:rsidR="00A77B3E" w:rsidRDefault="00EE0A2B">
            <w:pPr>
              <w:spacing w:before="100"/>
              <w:jc w:val="center"/>
              <w:rPr>
                <w:color w:val="000000"/>
                <w:sz w:val="20"/>
              </w:rPr>
            </w:pPr>
            <w:r>
              <w:rPr>
                <w:color w:val="000000"/>
                <w:sz w:val="20"/>
              </w:rPr>
              <w:t>Да</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6FB3F8" w14:textId="77777777" w:rsidR="00A77B3E" w:rsidRDefault="00EE0A2B">
            <w:pPr>
              <w:spacing w:before="100"/>
              <w:rPr>
                <w:color w:val="000000"/>
                <w:sz w:val="20"/>
              </w:rPr>
            </w:pPr>
            <w:r>
              <w:rPr>
                <w:color w:val="000000"/>
                <w:sz w:val="20"/>
              </w:rPr>
              <w:t>Въведена е национална рамка за осигуряване на прилагането на Конвенцията на ООН за правата на хората с увреждания, която включва:</w:t>
            </w:r>
          </w:p>
          <w:p w14:paraId="7957E6E4" w14:textId="77777777" w:rsidR="00A77B3E" w:rsidRDefault="00EE0A2B">
            <w:pPr>
              <w:spacing w:before="100"/>
              <w:rPr>
                <w:color w:val="000000"/>
                <w:sz w:val="20"/>
              </w:rPr>
            </w:pPr>
            <w:r>
              <w:rPr>
                <w:color w:val="000000"/>
                <w:sz w:val="20"/>
              </w:rPr>
              <w:t>1. Цели с измерими цели, събиране на данни и механизми за мониторинг.</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41A2B4" w14:textId="77777777" w:rsidR="00A77B3E" w:rsidRDefault="00EE0A2B">
            <w:pPr>
              <w:spacing w:before="100"/>
              <w:jc w:val="center"/>
              <w:rPr>
                <w:color w:val="000000"/>
                <w:sz w:val="20"/>
              </w:rPr>
            </w:pPr>
            <w:r>
              <w:rPr>
                <w:color w:val="000000"/>
                <w:sz w:val="20"/>
              </w:rPr>
              <w:t>Да</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0BA031" w14:textId="77777777" w:rsidR="00A77B3E" w:rsidRDefault="00EE0A2B">
            <w:pPr>
              <w:spacing w:before="100"/>
              <w:rPr>
                <w:color w:val="000000"/>
                <w:sz w:val="20"/>
              </w:rPr>
            </w:pPr>
            <w:r>
              <w:rPr>
                <w:color w:val="000000"/>
                <w:sz w:val="20"/>
              </w:rPr>
              <w:t>Закон за хората с увреждания и Правилникът за прилагането му - https://www.mlsp.government.bg/normativni-aktove-</w:t>
            </w:r>
          </w:p>
          <w:p w14:paraId="020D589D" w14:textId="77777777" w:rsidR="00A77B3E" w:rsidRDefault="00EE0A2B">
            <w:pPr>
              <w:spacing w:before="100"/>
              <w:rPr>
                <w:color w:val="000000"/>
                <w:sz w:val="20"/>
              </w:rPr>
            </w:pPr>
            <w:r>
              <w:rPr>
                <w:color w:val="000000"/>
                <w:sz w:val="20"/>
              </w:rPr>
              <w:t>Информация за Националния съвет за хората с увреждания и всички документи за неговото функциониране и PDA - https://saveti.government.bg/web/cc_11/1</w:t>
            </w:r>
          </w:p>
          <w:p w14:paraId="550D2639" w14:textId="77777777" w:rsidR="00A77B3E" w:rsidRDefault="00EE0A2B">
            <w:pPr>
              <w:spacing w:before="100"/>
              <w:rPr>
                <w:color w:val="000000"/>
                <w:sz w:val="20"/>
              </w:rPr>
            </w:pPr>
            <w:r>
              <w:rPr>
                <w:color w:val="000000"/>
                <w:sz w:val="20"/>
              </w:rPr>
              <w:t>Информация за Комитета за наблюдение -</w:t>
            </w:r>
          </w:p>
          <w:p w14:paraId="74803278" w14:textId="77777777" w:rsidR="00A77B3E" w:rsidRDefault="00EE0A2B">
            <w:pPr>
              <w:spacing w:before="100"/>
              <w:rPr>
                <w:color w:val="000000"/>
                <w:sz w:val="20"/>
              </w:rPr>
            </w:pPr>
            <w:r>
              <w:rPr>
                <w:color w:val="000000"/>
                <w:sz w:val="20"/>
              </w:rPr>
              <w:t>https://www.ombudsman.bg/pictures/Протокол%201.pdf</w:t>
            </w:r>
          </w:p>
          <w:p w14:paraId="751D2DA9" w14:textId="77777777" w:rsidR="00A77B3E" w:rsidRDefault="00EE0A2B">
            <w:pPr>
              <w:spacing w:before="100"/>
              <w:rPr>
                <w:color w:val="000000"/>
                <w:sz w:val="20"/>
              </w:rPr>
            </w:pPr>
            <w:r>
              <w:rPr>
                <w:color w:val="000000"/>
                <w:sz w:val="20"/>
              </w:rPr>
              <w:t>https://mlsp.government.bg/uploads/38/khu/rms-6-11-2019-ap-2019-2020.pdf</w:t>
            </w:r>
          </w:p>
          <w:p w14:paraId="7B6DA733" w14:textId="77777777" w:rsidR="00A77B3E" w:rsidRDefault="00EE0A2B">
            <w:pPr>
              <w:spacing w:before="100"/>
              <w:rPr>
                <w:color w:val="000000"/>
                <w:sz w:val="20"/>
              </w:rPr>
            </w:pPr>
            <w:r>
              <w:rPr>
                <w:color w:val="000000"/>
                <w:sz w:val="20"/>
              </w:rPr>
              <w:t>https://mlsp.government.bg/strategicheski-dokumenti</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B444A4" w14:textId="77777777" w:rsidR="00A77B3E" w:rsidRDefault="00EE0A2B">
            <w:pPr>
              <w:spacing w:before="100"/>
              <w:rPr>
                <w:color w:val="000000"/>
                <w:sz w:val="20"/>
              </w:rPr>
            </w:pPr>
            <w:r>
              <w:rPr>
                <w:color w:val="000000"/>
                <w:sz w:val="20"/>
              </w:rPr>
              <w:t xml:space="preserve">Националната рамка, която гарантира прилагането на Конвенцията, включва PDA и ZRIDU, Правилник за дейността и организацията на работата на Националния съвет за хората с увреждания. Съветът е консултативен орган към МС с представители на правителството, национално представителни организации на и за хората с увреждания, национално представителни организации на работниците и служителите, както и представители на национално ниво на организациите на работодателите и Националното сдружение на общините в Република България. Създадена е информационна система за хората с увреждания, съдържаща данни за здраве, квалификация, образование, възможности за социално включване, професионална реализация, социално-икономически статус, демография и др. </w:t>
            </w:r>
            <w:r>
              <w:rPr>
                <w:color w:val="000000"/>
                <w:sz w:val="20"/>
              </w:rPr>
              <w:lastRenderedPageBreak/>
              <w:t>Данните се използват за наблюдение и анализ на социално-икономическия статус на хората с увреждания, за планиране на дейности за разработване на секторни политики. Наличен е профил на услугата, позволяващ индивидуален достъп до информация за допустимите услуги според специфичното увреждане на лицето. Приети са Национална стратегия за хората с увреждания 2021-2030 г. и план за действие по стратегията.</w:t>
            </w:r>
          </w:p>
        </w:tc>
      </w:tr>
      <w:tr w:rsidR="00723994" w14:paraId="49F4E10E"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16DDC0"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45EE48" w14:textId="77777777"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D330B4" w14:textId="77777777" w:rsidR="00A77B3E" w:rsidRDefault="00EE0A2B">
            <w:pPr>
              <w:spacing w:before="100"/>
              <w:rPr>
                <w:color w:val="000000"/>
                <w:sz w:val="20"/>
              </w:rPr>
            </w:pPr>
            <w:r>
              <w:rPr>
                <w:color w:val="000000"/>
                <w:sz w:val="20"/>
              </w:rPr>
              <w:t>2. Мерки за гарантиране, че политиката, законодателството и стандартите за достъпност са правилно отразени в подготовката и изпълнението на програмите.</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00161F" w14:textId="77777777" w:rsidR="00A77B3E" w:rsidRDefault="00EE0A2B">
            <w:pPr>
              <w:spacing w:before="100"/>
              <w:jc w:val="center"/>
              <w:rPr>
                <w:color w:val="000000"/>
                <w:sz w:val="20"/>
              </w:rPr>
            </w:pPr>
            <w:r>
              <w:rPr>
                <w:color w:val="000000"/>
                <w:sz w:val="20"/>
              </w:rPr>
              <w:t>Да</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5D8DF6" w14:textId="77777777" w:rsidR="00A77B3E" w:rsidRDefault="00EE0A2B">
            <w:pPr>
              <w:spacing w:before="100"/>
              <w:rPr>
                <w:color w:val="000000"/>
                <w:sz w:val="20"/>
              </w:rPr>
            </w:pPr>
            <w:r>
              <w:rPr>
                <w:color w:val="000000"/>
                <w:sz w:val="20"/>
              </w:rPr>
              <w:t xml:space="preserve">Насоки за осигуряване на спазването на Конвенцията на ООН за правата на хората с увреждания от страна на управляващите, контролиращите и одитните органи по програмите, финансирани от ЕС, съфинансирани по ЕФРР, ЕФР+, КФ, ФТФ, ЕЗФРСР, ФУМИ, </w:t>
            </w:r>
            <w:r w:rsidR="0002372A">
              <w:rPr>
                <w:color w:val="000000"/>
                <w:sz w:val="20"/>
              </w:rPr>
              <w:t>ФВС</w:t>
            </w:r>
            <w:r>
              <w:rPr>
                <w:color w:val="000000"/>
                <w:sz w:val="20"/>
              </w:rPr>
              <w:t>, ИУГВП за програмния период 2021 – 2027 г., приети със Заповед на заместник министър-председателя, отговарящ за европейските фондове, и министър на финансите № В-105/19.07.2022 г.</w:t>
            </w:r>
          </w:p>
          <w:p w14:paraId="191BFA19" w14:textId="77777777" w:rsidR="00A77B3E" w:rsidRDefault="00EE0A2B">
            <w:pPr>
              <w:spacing w:before="100"/>
              <w:rPr>
                <w:color w:val="000000"/>
                <w:sz w:val="20"/>
              </w:rPr>
            </w:pPr>
            <w:r>
              <w:rPr>
                <w:color w:val="000000"/>
                <w:sz w:val="20"/>
              </w:rPr>
              <w:t>https://www.eufunds.bg/bg/node/8224</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5661DA" w14:textId="77777777" w:rsidR="00A77B3E" w:rsidRDefault="00EE0A2B">
            <w:pPr>
              <w:spacing w:before="100"/>
              <w:rPr>
                <w:color w:val="000000"/>
                <w:sz w:val="20"/>
              </w:rPr>
            </w:pPr>
            <w:r>
              <w:rPr>
                <w:color w:val="000000"/>
                <w:sz w:val="20"/>
              </w:rPr>
              <w:t>Одобрени са Национални насоки за осигуряване на спазването на Конвенцията по време на изпълнението на програмите. Под формата на приложение към насоките са разработени контролни списъци за правата по Конвенцията на ООН за правата на хората с увреждания, приложими за различните етапи и документи в рамките на процеса на програмиране, управление, мониторинг и контрол на средствата, както и за проверка на потенциални нарушения на Конвенцията на ООН за правата на хората с увреждания, които да се прилагат от властите в системата за управление и контрол. Изискванията на Насоките и техните приложения ще бъдат включени в описанието на системите за управление и контрол на програмата.</w:t>
            </w:r>
          </w:p>
        </w:tc>
      </w:tr>
      <w:tr w:rsidR="00723994" w14:paraId="3CB3FB13"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6AAF66"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D7C9AC" w14:textId="77777777"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60C1B9" w14:textId="77777777" w:rsidR="00A77B3E" w:rsidRDefault="00EE0A2B">
            <w:pPr>
              <w:spacing w:before="100"/>
              <w:rPr>
                <w:color w:val="000000"/>
                <w:sz w:val="20"/>
              </w:rPr>
            </w:pPr>
            <w:r>
              <w:rPr>
                <w:color w:val="000000"/>
                <w:sz w:val="20"/>
              </w:rPr>
              <w:t xml:space="preserve">3. Докладване до мониторинговия комитет относно случаи на несъответствие на операции, подкрепяни от фондовете, с КПХУ на ООН и жалби относно КПХУ на ООН, </w:t>
            </w:r>
            <w:r>
              <w:rPr>
                <w:color w:val="000000"/>
                <w:sz w:val="20"/>
              </w:rPr>
              <w:lastRenderedPageBreak/>
              <w:t>подадени в съответствие с договореностите, сключени съгласно член 69(7).</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F4A1CF" w14:textId="77777777" w:rsidR="00A77B3E" w:rsidRDefault="00EE0A2B">
            <w:pPr>
              <w:spacing w:before="100"/>
              <w:jc w:val="center"/>
              <w:rPr>
                <w:color w:val="000000"/>
                <w:sz w:val="20"/>
              </w:rPr>
            </w:pPr>
            <w:r>
              <w:rPr>
                <w:color w:val="000000"/>
                <w:sz w:val="20"/>
              </w:rPr>
              <w:lastRenderedPageBreak/>
              <w:t>Да</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F0669A" w14:textId="77777777" w:rsidR="00A77B3E" w:rsidRDefault="00EE0A2B">
            <w:pPr>
              <w:spacing w:before="100"/>
              <w:rPr>
                <w:color w:val="000000"/>
                <w:sz w:val="20"/>
              </w:rPr>
            </w:pPr>
            <w:r>
              <w:rPr>
                <w:color w:val="000000"/>
                <w:sz w:val="20"/>
              </w:rPr>
              <w:t>Проект на постановление на МС за създаване на УК на ПА на Република България и програмите, финансирани от ЕМФС за програмния период 2021 – 2027 г.</w:t>
            </w:r>
          </w:p>
          <w:p w14:paraId="489D0B12" w14:textId="77777777" w:rsidR="00A77B3E" w:rsidRDefault="00EE0A2B">
            <w:pPr>
              <w:spacing w:before="100"/>
              <w:rPr>
                <w:color w:val="000000"/>
                <w:sz w:val="20"/>
              </w:rPr>
            </w:pPr>
            <w:r>
              <w:rPr>
                <w:color w:val="000000"/>
                <w:sz w:val="20"/>
              </w:rPr>
              <w:lastRenderedPageBreak/>
              <w:t xml:space="preserve">Насоки за осигуряване на спазването на Конвенцията на ООН за правата на хората с увреждания от страна на управляващите, контролиращите и одитните органи по програмите, финансирани от ЕС, съфинансирани по ЕФРР, ЕФР+, КФ, ФТФ, ЕЗФРСР, ФУМИ, </w:t>
            </w:r>
            <w:r w:rsidR="0002372A">
              <w:rPr>
                <w:color w:val="000000"/>
                <w:sz w:val="20"/>
              </w:rPr>
              <w:t>ФВС</w:t>
            </w:r>
            <w:r>
              <w:rPr>
                <w:color w:val="000000"/>
                <w:sz w:val="20"/>
              </w:rPr>
              <w:t>, ИУГВП за програмния период 2021 – 2027 г., приети със Заповед на заместник министър-председателя, отговарящ за европейските фондове, и министър на финансите № В-105/19.07.2022 г.</w:t>
            </w:r>
          </w:p>
          <w:p w14:paraId="4BBE854F" w14:textId="77777777" w:rsidR="00A77B3E" w:rsidRDefault="00EE0A2B">
            <w:pPr>
              <w:spacing w:before="100"/>
              <w:rPr>
                <w:color w:val="000000"/>
                <w:sz w:val="20"/>
              </w:rPr>
            </w:pPr>
            <w:r>
              <w:rPr>
                <w:color w:val="000000"/>
                <w:sz w:val="20"/>
              </w:rPr>
              <w:t>https://www.eufunds.bg/bg/node/8224</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0D0462" w14:textId="77777777" w:rsidR="00A77B3E" w:rsidRDefault="00EE0A2B">
            <w:pPr>
              <w:spacing w:before="100"/>
              <w:rPr>
                <w:color w:val="000000"/>
                <w:sz w:val="20"/>
              </w:rPr>
            </w:pPr>
            <w:r>
              <w:rPr>
                <w:color w:val="000000"/>
                <w:sz w:val="20"/>
              </w:rPr>
              <w:lastRenderedPageBreak/>
              <w:t xml:space="preserve">Докладването на жалби по Конвенцията на ООН за правата на хората с увреждания и на случаи на несъответствие на операции, подкрепяни от средствата, с </w:t>
            </w:r>
            <w:r>
              <w:rPr>
                <w:color w:val="000000"/>
                <w:sz w:val="20"/>
              </w:rPr>
              <w:lastRenderedPageBreak/>
              <w:t>Конвенцията на ООН за правата на хората с увреждания, до КМ ще бъде регламентирано с постановление на МС за създаване на КМ на ПА на Република България и програмите, финансирани от ЕМФС за програмния период 2021-2027 г. Към 20.07.2022 г. проектът на постановление е във финален етап и предстои започване на обществени обсъждания и процедури за междуведомствено съгласуване.</w:t>
            </w:r>
          </w:p>
          <w:p w14:paraId="796E17E3" w14:textId="77777777" w:rsidR="00A77B3E" w:rsidRDefault="00EE0A2B">
            <w:pPr>
              <w:spacing w:before="100"/>
              <w:rPr>
                <w:color w:val="000000"/>
                <w:sz w:val="20"/>
              </w:rPr>
            </w:pPr>
            <w:r>
              <w:rPr>
                <w:color w:val="000000"/>
                <w:sz w:val="20"/>
              </w:rPr>
              <w:t>Идентифицираните случаи на неспазване на Конвенцията на ООН за правата на хората с увреждания в контекста на средствата от ЕС ще бъдат докладвани от съответния Управляващ орган, който следва да поддържа актуална систематизирана информация за тези случаи.</w:t>
            </w:r>
          </w:p>
          <w:p w14:paraId="0F975C13" w14:textId="77777777" w:rsidR="00A77B3E" w:rsidRDefault="00EE0A2B">
            <w:pPr>
              <w:spacing w:before="100"/>
              <w:rPr>
                <w:color w:val="000000"/>
                <w:sz w:val="20"/>
              </w:rPr>
            </w:pPr>
            <w:r>
              <w:rPr>
                <w:color w:val="000000"/>
                <w:sz w:val="20"/>
              </w:rPr>
              <w:t>Жалбите, получени от граждани или други външни източници/заинтересовани страни относно нарушения на правата по Конвенцията на ООН за правата на хората с увреждания в процеса на изпълнение на програмите, ще бъдат разглеждани от съответните компетентни органи на национално ниво и ще бъдат докладвани на Управителния съвет (УО) въз основа на информацията, предоставена от компетентните органи, разгледали жалбите, в съответствие с Приложение 3. Компетентните органи ще поддържат информация за получените жалби и резултатите от тяхното разглеждане в съответствие със своите вътрешни правила и процедури.</w:t>
            </w:r>
          </w:p>
        </w:tc>
      </w:tr>
    </w:tbl>
    <w:p w14:paraId="5FB3EE41" w14:textId="77777777" w:rsidR="00A77B3E" w:rsidRDefault="00EE0A2B">
      <w:pPr>
        <w:pStyle w:val="Heading1"/>
        <w:spacing w:before="100" w:after="0"/>
        <w:rPr>
          <w:rFonts w:ascii="Times New Roman" w:hAnsi="Times New Roman" w:cs="Times New Roman"/>
          <w:b w:val="0"/>
          <w:color w:val="000000"/>
          <w:sz w:val="24"/>
        </w:rPr>
      </w:pPr>
      <w:r>
        <w:rPr>
          <w:rFonts w:ascii="Times New Roman" w:hAnsi="Times New Roman" w:cs="Times New Roman"/>
          <w:b w:val="0"/>
          <w:color w:val="000000"/>
          <w:sz w:val="20"/>
        </w:rPr>
        <w:lastRenderedPageBreak/>
        <w:br w:type="page"/>
      </w:r>
      <w:bookmarkStart w:id="43" w:name="_Toc256000106"/>
      <w:r>
        <w:rPr>
          <w:rFonts w:ascii="Times New Roman" w:hAnsi="Times New Roman" w:cs="Times New Roman"/>
          <w:b w:val="0"/>
          <w:color w:val="000000"/>
          <w:sz w:val="24"/>
        </w:rPr>
        <w:lastRenderedPageBreak/>
        <w:t>5. Програмни органи</w:t>
      </w:r>
      <w:bookmarkEnd w:id="43"/>
    </w:p>
    <w:p w14:paraId="14C8121A" w14:textId="77777777" w:rsidR="00A77B3E" w:rsidRDefault="00EE0A2B">
      <w:pPr>
        <w:spacing w:before="100"/>
        <w:rPr>
          <w:color w:val="000000"/>
        </w:rPr>
      </w:pPr>
      <w:r>
        <w:rPr>
          <w:color w:val="000000"/>
        </w:rPr>
        <w:t>Позоваване: член 22, параграф 3, буква к) и членове 71 и 84 от РОР</w:t>
      </w:r>
    </w:p>
    <w:p w14:paraId="5A6B24CB" w14:textId="77777777" w:rsidR="00A77B3E" w:rsidRDefault="00EE0A2B">
      <w:pPr>
        <w:pStyle w:val="Heading2"/>
        <w:spacing w:before="100" w:after="0"/>
        <w:rPr>
          <w:rFonts w:ascii="Times New Roman" w:hAnsi="Times New Roman" w:cs="Times New Roman"/>
          <w:b w:val="0"/>
          <w:i w:val="0"/>
          <w:color w:val="000000"/>
          <w:sz w:val="24"/>
        </w:rPr>
      </w:pPr>
      <w:bookmarkStart w:id="44" w:name="_Toc256000107"/>
      <w:r>
        <w:rPr>
          <w:rFonts w:ascii="Times New Roman" w:hAnsi="Times New Roman" w:cs="Times New Roman"/>
          <w:b w:val="0"/>
          <w:i w:val="0"/>
          <w:color w:val="000000"/>
          <w:sz w:val="24"/>
        </w:rPr>
        <w:t>Таблица 10: Органи, отговарящи за програмата</w:t>
      </w:r>
      <w:bookmarkEnd w:id="44"/>
    </w:p>
    <w:p w14:paraId="5B6F662C"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3531"/>
        <w:gridCol w:w="2500"/>
        <w:gridCol w:w="3099"/>
        <w:gridCol w:w="3311"/>
      </w:tblGrid>
      <w:tr w:rsidR="00723994" w14:paraId="6B08C1FE" w14:textId="77777777">
        <w:trPr>
          <w:tblHeader/>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BAF8B70" w14:textId="77777777" w:rsidR="00A77B3E" w:rsidRDefault="00EE0A2B">
            <w:pPr>
              <w:spacing w:before="100"/>
              <w:jc w:val="center"/>
              <w:rPr>
                <w:color w:val="000000"/>
                <w:sz w:val="20"/>
              </w:rPr>
            </w:pPr>
            <w:r>
              <w:rPr>
                <w:color w:val="000000"/>
                <w:sz w:val="20"/>
              </w:rPr>
              <w:t>Програмен орган</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8851F47" w14:textId="77777777" w:rsidR="00A77B3E" w:rsidRDefault="00EE0A2B">
            <w:pPr>
              <w:spacing w:before="100"/>
              <w:jc w:val="center"/>
              <w:rPr>
                <w:color w:val="000000"/>
                <w:sz w:val="20"/>
              </w:rPr>
            </w:pPr>
            <w:r>
              <w:rPr>
                <w:color w:val="000000"/>
                <w:sz w:val="20"/>
              </w:rPr>
              <w:t>Име на институцията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60DCD99" w14:textId="77777777" w:rsidR="00A77B3E" w:rsidRDefault="00EE0A2B">
            <w:pPr>
              <w:spacing w:before="100"/>
              <w:jc w:val="center"/>
              <w:rPr>
                <w:color w:val="000000"/>
                <w:sz w:val="20"/>
              </w:rPr>
            </w:pPr>
            <w:r>
              <w:rPr>
                <w:color w:val="000000"/>
                <w:sz w:val="20"/>
              </w:rPr>
              <w:t>Име за контакт</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A952226" w14:textId="77777777" w:rsidR="00A77B3E" w:rsidRDefault="00EE0A2B">
            <w:pPr>
              <w:spacing w:before="100"/>
              <w:jc w:val="center"/>
              <w:rPr>
                <w:color w:val="000000"/>
                <w:sz w:val="20"/>
              </w:rPr>
            </w:pPr>
            <w:r>
              <w:rPr>
                <w:color w:val="000000"/>
                <w:sz w:val="20"/>
              </w:rPr>
              <w:t>Позиция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64BF527" w14:textId="77777777" w:rsidR="00A77B3E" w:rsidRDefault="00EE0A2B">
            <w:pPr>
              <w:spacing w:before="100"/>
              <w:jc w:val="center"/>
              <w:rPr>
                <w:color w:val="000000"/>
                <w:sz w:val="20"/>
              </w:rPr>
            </w:pPr>
            <w:r>
              <w:rPr>
                <w:color w:val="000000"/>
                <w:sz w:val="20"/>
              </w:rPr>
              <w:t>Имейл</w:t>
            </w:r>
          </w:p>
        </w:tc>
      </w:tr>
      <w:tr w:rsidR="00723994" w14:paraId="7EA2D0F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070B88" w14:textId="77777777" w:rsidR="00A77B3E" w:rsidRDefault="00EE0A2B">
            <w:pPr>
              <w:spacing w:before="100"/>
              <w:rPr>
                <w:color w:val="000000"/>
                <w:sz w:val="20"/>
              </w:rPr>
            </w:pPr>
            <w:r>
              <w:rPr>
                <w:color w:val="000000"/>
                <w:sz w:val="20"/>
              </w:rPr>
              <w:t>Управляващ орган</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524DBB" w14:textId="77777777" w:rsidR="00A77B3E" w:rsidRDefault="00EE0A2B">
            <w:pPr>
              <w:spacing w:before="100"/>
              <w:rPr>
                <w:color w:val="000000"/>
                <w:sz w:val="20"/>
              </w:rPr>
            </w:pPr>
            <w:r>
              <w:rPr>
                <w:color w:val="000000"/>
                <w:sz w:val="20"/>
              </w:rPr>
              <w:t>Дирекция „Международни проекти“ – Министерство на вътрешните работи</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7CB2EE" w14:textId="77777777" w:rsidR="00A77B3E" w:rsidRDefault="00EE0A2B">
            <w:pPr>
              <w:spacing w:before="100"/>
              <w:rPr>
                <w:color w:val="000000"/>
                <w:sz w:val="20"/>
              </w:rPr>
            </w:pPr>
            <w:r>
              <w:rPr>
                <w:color w:val="000000"/>
                <w:sz w:val="20"/>
              </w:rPr>
              <w:t>Мая Петкова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E956EA" w14:textId="77777777" w:rsidR="00A77B3E" w:rsidRDefault="00EE0A2B">
            <w:pPr>
              <w:spacing w:before="100"/>
              <w:rPr>
                <w:color w:val="000000"/>
                <w:sz w:val="20"/>
              </w:rPr>
            </w:pPr>
            <w:r>
              <w:rPr>
                <w:color w:val="000000"/>
                <w:sz w:val="20"/>
              </w:rPr>
              <w:t>Директор на дирекция и ръководител на управляващ орган</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B80BA1" w14:textId="77777777" w:rsidR="00A77B3E" w:rsidRDefault="00EE0A2B">
            <w:pPr>
              <w:spacing w:before="100"/>
              <w:rPr>
                <w:color w:val="000000"/>
                <w:sz w:val="20"/>
              </w:rPr>
            </w:pPr>
            <w:r>
              <w:rPr>
                <w:color w:val="000000"/>
                <w:sz w:val="20"/>
              </w:rPr>
              <w:t>dmp@mvr.bg</w:t>
            </w:r>
          </w:p>
        </w:tc>
      </w:tr>
      <w:tr w:rsidR="00723994" w14:paraId="4EE5E59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3682E5" w14:textId="77777777" w:rsidR="00A77B3E" w:rsidRDefault="00EE0A2B">
            <w:pPr>
              <w:spacing w:before="100"/>
              <w:rPr>
                <w:color w:val="000000"/>
                <w:sz w:val="20"/>
              </w:rPr>
            </w:pPr>
            <w:r>
              <w:rPr>
                <w:color w:val="000000"/>
                <w:sz w:val="20"/>
              </w:rPr>
              <w:t>Одитен орган</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4860D6" w14:textId="77777777" w:rsidR="00A77B3E" w:rsidRDefault="00EE0A2B">
            <w:pPr>
              <w:spacing w:before="100"/>
              <w:rPr>
                <w:color w:val="000000"/>
                <w:sz w:val="20"/>
              </w:rPr>
            </w:pPr>
            <w:r>
              <w:rPr>
                <w:color w:val="000000"/>
                <w:sz w:val="20"/>
              </w:rPr>
              <w:t>Изпълнителна агенция за одит на средствата на Европейския съюз - Министерство на финансите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B7BCD3" w14:textId="77777777" w:rsidR="00A77B3E" w:rsidRDefault="00EE0A2B">
            <w:pPr>
              <w:spacing w:before="100"/>
              <w:rPr>
                <w:color w:val="000000"/>
                <w:sz w:val="20"/>
              </w:rPr>
            </w:pPr>
            <w:r>
              <w:rPr>
                <w:color w:val="000000"/>
                <w:sz w:val="20"/>
              </w:rPr>
              <w:t>Людмила Рангуелова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D39E47" w14:textId="77777777" w:rsidR="00A77B3E" w:rsidRDefault="00EE0A2B">
            <w:pPr>
              <w:spacing w:before="100"/>
              <w:rPr>
                <w:color w:val="000000"/>
                <w:sz w:val="20"/>
              </w:rPr>
            </w:pPr>
            <w:r>
              <w:rPr>
                <w:color w:val="000000"/>
                <w:sz w:val="20"/>
              </w:rPr>
              <w:t>Изпълнителен директор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6BE967" w14:textId="77777777" w:rsidR="00A77B3E" w:rsidRDefault="00EE0A2B">
            <w:pPr>
              <w:spacing w:before="100"/>
              <w:rPr>
                <w:color w:val="000000"/>
                <w:sz w:val="20"/>
              </w:rPr>
            </w:pPr>
            <w:r>
              <w:rPr>
                <w:color w:val="000000"/>
                <w:sz w:val="20"/>
              </w:rPr>
              <w:t>aeuf@minfin.bg</w:t>
            </w:r>
          </w:p>
        </w:tc>
      </w:tr>
      <w:tr w:rsidR="00723994" w14:paraId="4CC2BAA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A4BAA6" w14:textId="77777777" w:rsidR="00A77B3E" w:rsidRDefault="00EE0A2B">
            <w:pPr>
              <w:spacing w:before="100"/>
              <w:rPr>
                <w:color w:val="000000"/>
                <w:sz w:val="20"/>
              </w:rPr>
            </w:pPr>
            <w:r>
              <w:rPr>
                <w:color w:val="000000"/>
                <w:sz w:val="20"/>
              </w:rPr>
              <w:t>Орган, който получава плащания от Комисията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995D61" w14:textId="77777777" w:rsidR="00A77B3E" w:rsidRDefault="00EE0A2B">
            <w:pPr>
              <w:spacing w:before="100"/>
              <w:rPr>
                <w:color w:val="000000"/>
                <w:sz w:val="20"/>
              </w:rPr>
            </w:pPr>
            <w:r>
              <w:rPr>
                <w:color w:val="000000"/>
                <w:sz w:val="20"/>
              </w:rPr>
              <w:t>Дирекция „Международни проекти“ – Министерство на вътрешните работи</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A01B5D" w14:textId="77777777" w:rsidR="00A77B3E" w:rsidRDefault="00EE0A2B">
            <w:pPr>
              <w:spacing w:before="100"/>
              <w:rPr>
                <w:color w:val="000000"/>
                <w:sz w:val="20"/>
              </w:rPr>
            </w:pPr>
            <w:r>
              <w:rPr>
                <w:color w:val="000000"/>
                <w:sz w:val="20"/>
              </w:rPr>
              <w:t>Мая Петкова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46C9C7" w14:textId="77777777" w:rsidR="00A77B3E" w:rsidRDefault="00EE0A2B">
            <w:pPr>
              <w:spacing w:before="100"/>
              <w:rPr>
                <w:color w:val="000000"/>
                <w:sz w:val="20"/>
              </w:rPr>
            </w:pPr>
            <w:r>
              <w:rPr>
                <w:color w:val="000000"/>
                <w:sz w:val="20"/>
              </w:rPr>
              <w:t>Директор на дирекция и ръководител на управляващ орган</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B7AF09" w14:textId="77777777" w:rsidR="00A77B3E" w:rsidRDefault="00EE0A2B">
            <w:pPr>
              <w:spacing w:before="100"/>
              <w:rPr>
                <w:color w:val="000000"/>
                <w:sz w:val="20"/>
              </w:rPr>
            </w:pPr>
            <w:r>
              <w:rPr>
                <w:color w:val="000000"/>
                <w:sz w:val="20"/>
              </w:rPr>
              <w:t>dmp@mvr.bg</w:t>
            </w:r>
          </w:p>
        </w:tc>
      </w:tr>
    </w:tbl>
    <w:p w14:paraId="657F25A1" w14:textId="77777777" w:rsidR="00A77B3E" w:rsidRDefault="00A77B3E">
      <w:pPr>
        <w:spacing w:before="100"/>
        <w:jc w:val="center"/>
        <w:rPr>
          <w:color w:val="000000"/>
          <w:sz w:val="20"/>
        </w:rPr>
        <w:sectPr w:rsidR="00A77B3E">
          <w:headerReference w:type="even" r:id="rId73"/>
          <w:headerReference w:type="default" r:id="rId74"/>
          <w:footerReference w:type="even" r:id="rId75"/>
          <w:footerReference w:type="default" r:id="rId76"/>
          <w:headerReference w:type="first" r:id="rId77"/>
          <w:footerReference w:type="first" r:id="rId78"/>
          <w:pgSz w:w="16838" w:h="11906" w:orient="landscape"/>
          <w:pgMar w:top="720" w:right="720" w:bottom="864" w:left="936" w:header="288" w:footer="72" w:gutter="0"/>
          <w:cols w:space="720"/>
          <w:noEndnote/>
          <w:docGrid w:linePitch="360"/>
        </w:sectPr>
      </w:pPr>
    </w:p>
    <w:p w14:paraId="59D37B96" w14:textId="77777777" w:rsidR="00A77B3E" w:rsidRDefault="00EE0A2B">
      <w:pPr>
        <w:pStyle w:val="Heading1"/>
        <w:spacing w:before="100" w:after="0"/>
        <w:rPr>
          <w:rFonts w:ascii="Times New Roman" w:hAnsi="Times New Roman" w:cs="Times New Roman"/>
          <w:b w:val="0"/>
          <w:color w:val="000000"/>
          <w:sz w:val="24"/>
        </w:rPr>
      </w:pPr>
      <w:bookmarkStart w:id="45" w:name="_Toc256000108"/>
      <w:r>
        <w:rPr>
          <w:rFonts w:ascii="Times New Roman" w:hAnsi="Times New Roman" w:cs="Times New Roman"/>
          <w:b w:val="0"/>
          <w:color w:val="000000"/>
          <w:sz w:val="24"/>
        </w:rPr>
        <w:lastRenderedPageBreak/>
        <w:t>6. Партньорство</w:t>
      </w:r>
      <w:bookmarkEnd w:id="45"/>
    </w:p>
    <w:p w14:paraId="21390B20" w14:textId="77777777" w:rsidR="00A77B3E" w:rsidRDefault="00EE0A2B">
      <w:pPr>
        <w:spacing w:before="100"/>
        <w:rPr>
          <w:color w:val="000000"/>
          <w:sz w:val="16"/>
        </w:rPr>
      </w:pPr>
      <w:r>
        <w:rPr>
          <w:color w:val="000000"/>
        </w:rPr>
        <w:t>Позоваване: член 22, параграф 3, буква з) от РОР</w:t>
      </w:r>
    </w:p>
    <w:p w14:paraId="246C981A" w14:textId="77777777"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723994" w14:paraId="5A0C983D"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13F03D" w14:textId="77777777" w:rsidR="00A77B3E" w:rsidRDefault="00A77B3E">
            <w:pPr>
              <w:spacing w:before="100"/>
              <w:rPr>
                <w:color w:val="000000"/>
                <w:sz w:val="0"/>
              </w:rPr>
            </w:pPr>
          </w:p>
          <w:p w14:paraId="18F4495A" w14:textId="77777777" w:rsidR="00A77B3E" w:rsidRDefault="00EE0A2B">
            <w:pPr>
              <w:spacing w:before="100"/>
              <w:rPr>
                <w:color w:val="000000"/>
              </w:rPr>
            </w:pPr>
            <w:r>
              <w:rPr>
                <w:color w:val="000000"/>
              </w:rPr>
              <w:t>Принципът на партньорство се използва широко при подготовката, изпълнението, мониторинга и оценката на Програмата по Фонд „Убежище, миграция и интеграция“ (ФУМИ). Партньорството се прилага чрез: сътрудничество с компетентните органи, включително участието им в Тематичната работна група (ТРГ) за подготовката на Програмата и Комитета за наблюдение (КМ), участие в междуинституционалните работни групи за разработване на програмите по РОР и тясно сътрудничество с Европейската комисия (ЕК) на всеки етап от процеса.</w:t>
            </w:r>
          </w:p>
          <w:p w14:paraId="6EAEB877" w14:textId="77777777" w:rsidR="00A77B3E" w:rsidRDefault="00EE0A2B">
            <w:pPr>
              <w:spacing w:before="100"/>
              <w:rPr>
                <w:color w:val="000000"/>
              </w:rPr>
            </w:pPr>
            <w:r>
              <w:rPr>
                <w:color w:val="000000"/>
              </w:rPr>
              <w:t>С Решение № 196 от 11 април 2019 г. на Министерския съвет на Република България, Министерството на вътрешните работи (МВР) е определено за водеща институция за разработването на трите програми в областта на вътрешните работи.</w:t>
            </w:r>
          </w:p>
          <w:p w14:paraId="3FE7A4F7" w14:textId="77777777" w:rsidR="00A77B3E" w:rsidRDefault="00EE0A2B">
            <w:pPr>
              <w:spacing w:before="100"/>
              <w:rPr>
                <w:color w:val="000000"/>
              </w:rPr>
            </w:pPr>
            <w:r>
              <w:rPr>
                <w:color w:val="000000"/>
              </w:rPr>
              <w:t>В тази връзка, дирекция „Международни проекти“ на МВР е започнала процедура за създаване на ТРГ за подготовка на Програмата по Фонд „Убежище, миграция и интеграция“ за програмния период 2021 – 2027 г. В съответствие с принципа на партньорство, основаващ се на чл. 8 от Регламента за общоприложимите разпоредби (ОРП), покана за участие в ТРГ е отправена към компетентните организации на национално ниво в областта на миграцията и убежището. Друга покана е отправена към организациите с нестопанска цел, участващи в Комитетите за наблюдение по Програмата 2014 – 2020 г. Освен това, на уеб страницата на финансовия инструмент за периода 2021 – 2027 г. е публикувана покана за подбор за участие в ТРГ на юридически лица с нестопанска цел в обществена полза, международни организации и институции, работещи в областта на подкрепата на граждани на трети страни, търсещи и получаващи международна закрила; или в областта на законната миграция на граждани на трети страни; или в областта на интеграцията на граждани на трети страни, получаващи международна закрила; или в областта на образованието и закрилата; или в областта на връщането на граждани на трети страни в страната им на произход.</w:t>
            </w:r>
          </w:p>
          <w:p w14:paraId="34B07BC3" w14:textId="77777777" w:rsidR="00A77B3E" w:rsidRDefault="00EE0A2B">
            <w:pPr>
              <w:spacing w:before="100"/>
              <w:rPr>
                <w:color w:val="000000"/>
              </w:rPr>
            </w:pPr>
            <w:r>
              <w:rPr>
                <w:color w:val="000000"/>
              </w:rPr>
              <w:t>С наредба на министъра на вътрешните работи е създадена ТРГ за подготовка на Програмата по Фонд „Убежище, миграция и интеграция“ за периода 2021 – 2027 г., председателствана от заместник-министъра на вътрешните работи, с компетенции и функции за координация на използването на финансирането от ЕС, свързано с дейността на Министерството на вътрешните работи. Тематичната работна група включва представители на съответните заинтересовани страни, работещи в областта на убежището и миграцията – публични органи (Централно координационно звено към Министерския съвет; Държавна агенция за бежанците; Дирекция „Миграция“ към Министерството на вътрешните работи, Главна дирекция „Гранична полиция“ към Министерството на вътрешните работи, Министерство на труда и социалната политика, Министерство на образованието и науката; Изпълнителна агенция „Програмно образование“; Министерство на регионалното развитие и благоустройството; Агенция за социално подпомагане; Държавна агенция за закрила на детето, Национална комисия за борба с трафика на хора), международни и неправителствени организации (Национално сдружение на общините в Република България; Каритас България, Международна организация по миграция в България; UNHCR България, УНИЦЕФ, Български Червен кръст; Български съвет за бежанци и мигранти; Фондация „Европейски институт“), академичната общност (Университет за национално и световно стопанство). Представителите на българския омбудсман бяха включени в тематичната работна група за подготовката на програмата ФУМИ. Други заинтересовани страни можеха да участват или да бъдат консултирани по ad hoc начин.</w:t>
            </w:r>
          </w:p>
          <w:p w14:paraId="7188AE1F" w14:textId="77777777" w:rsidR="00A77B3E" w:rsidRDefault="00EE0A2B">
            <w:pPr>
              <w:spacing w:before="100"/>
              <w:rPr>
                <w:color w:val="000000"/>
              </w:rPr>
            </w:pPr>
            <w:r>
              <w:rPr>
                <w:color w:val="000000"/>
              </w:rPr>
              <w:t xml:space="preserve">В периода януари 2020 г. – декември 2021 г. бяха проведени 4 заседания на ТРГ. Поради извънредното положение в България след март 2020 г. и последвалите ограничения, наложени във връзка с разпространението на COVID-19, бяха проведени дискусии по Програмата без присъствие на присъстващи, а решенията бяха взети чрез писмена процедура. По време на фазата на консултации за подготовка на Програмата беше обсъдена обратната връзка от партньорите и, ако е уместно, тя беше отразена в проекта на Програмата. Действията в СЦ на проекта на Програмата са включени въз основа на предложения, представени от членовете на ТРГ за </w:t>
            </w:r>
            <w:r>
              <w:rPr>
                <w:color w:val="000000"/>
              </w:rPr>
              <w:lastRenderedPageBreak/>
              <w:t>подготовката на Програмата. Всички коментари на ЕК се изпращат на членовете на ТРГ и тяхната обратна връзка се отразява в Програмата, ако е приложимо. Преди всеки кръг на подаване на Програмата се провежда писмена процедура на ТРГ за подготовка на Програмата по ФУМИ. Проектът на Програмата се преглежда от ТРГ преди подаването ѝ до ЕК и, ако е необходимо, се провежда и заседание.</w:t>
            </w:r>
          </w:p>
          <w:p w14:paraId="238CC3A4" w14:textId="77777777" w:rsidR="00A77B3E" w:rsidRDefault="00EE0A2B">
            <w:pPr>
              <w:spacing w:before="100"/>
              <w:rPr>
                <w:color w:val="000000"/>
              </w:rPr>
            </w:pPr>
            <w:r>
              <w:rPr>
                <w:color w:val="000000"/>
              </w:rPr>
              <w:t>Освен това беше проведена обществена консултация по програмата ФУМИ с участието на всички заинтересовани страни.</w:t>
            </w:r>
          </w:p>
          <w:p w14:paraId="6A3A1F1A" w14:textId="77777777" w:rsidR="00A77B3E" w:rsidRDefault="00EE0A2B">
            <w:pPr>
              <w:spacing w:before="100"/>
              <w:rPr>
                <w:color w:val="000000"/>
              </w:rPr>
            </w:pPr>
            <w:r>
              <w:rPr>
                <w:color w:val="000000"/>
              </w:rPr>
              <w:t>С Решение № 712 от 6 октомври 2020 г. на Министерския съвет на Република България, Дирекция „Международни проекти“ е определена за Управляващ орган (УО) на Програмата по Фонд „Убежище, миграция и интеграция“ за програмния период 2021 – 2027 г.</w:t>
            </w:r>
          </w:p>
          <w:p w14:paraId="52C80EF2" w14:textId="77777777" w:rsidR="00A77B3E" w:rsidRDefault="00EE0A2B">
            <w:pPr>
              <w:spacing w:before="100"/>
              <w:rPr>
                <w:color w:val="000000"/>
              </w:rPr>
            </w:pPr>
            <w:r>
              <w:rPr>
                <w:color w:val="000000"/>
              </w:rPr>
              <w:t>Съставът и общите правила за функциониране на Комитета са определени в съответствие с Постановление 302 на Министерския съвет от 2022 г., което е хоризонтално на национално ниво и е приложимо за всички програми, финансирани от ЕС за програмния период 2021 – 2027 г.</w:t>
            </w:r>
          </w:p>
          <w:p w14:paraId="5FF24655" w14:textId="77777777" w:rsidR="00A77B3E" w:rsidRDefault="00EE0A2B">
            <w:pPr>
              <w:spacing w:before="100"/>
              <w:rPr>
                <w:color w:val="000000"/>
              </w:rPr>
            </w:pPr>
            <w:r>
              <w:rPr>
                <w:color w:val="000000"/>
              </w:rPr>
              <w:t>В съответствие с разпоредбите на чл. 39 от РОР, чрез прозрачен процес и в съответствие с принципа на балансирано представителство на съответните публични органи и представителите на партньорите беше създаден Комитет за мониторинг. Посочените по-горе партньори са включени в Комитета за мониторинг на ФУМИ. Бяха осъществени контакти и с други организации от икономическата и социалната област (напр. синдикати, представители на работодатели и предприемачи, браншови асоциации) и регионални партньори (напр. асоциации на региони, асоциации на градове и общини).</w:t>
            </w:r>
          </w:p>
          <w:p w14:paraId="6C8124B6" w14:textId="77777777" w:rsidR="00A77B3E" w:rsidRDefault="00EE0A2B">
            <w:pPr>
              <w:spacing w:before="100"/>
              <w:rPr>
                <w:color w:val="000000"/>
              </w:rPr>
            </w:pPr>
            <w:r>
              <w:rPr>
                <w:color w:val="000000"/>
              </w:rPr>
              <w:t>В съответствие с принципа на партньорство, въз основа на чл. 8 от РОР, покана за участие в УК беше отправена до компетентните органи и организации на национално ниво в областта на миграцията и убежището. За да се осигури представителство на всички заинтересовани страни, УО може да покани представители на организации, които не участват в УК, както и на такива, които не получават подкрепа от Фонда, за да обсъдят теми, свързани с конкретни въпроси или различни инициативи. Практическият опит и експертиза на тези организации се считат за ценни за изпълнението и оценката на предвидените дейности.</w:t>
            </w:r>
          </w:p>
          <w:p w14:paraId="316A414B" w14:textId="77777777" w:rsidR="00A77B3E" w:rsidRDefault="00EE0A2B">
            <w:pPr>
              <w:spacing w:before="100"/>
              <w:rPr>
                <w:color w:val="000000"/>
              </w:rPr>
            </w:pPr>
            <w:r>
              <w:rPr>
                <w:color w:val="000000"/>
              </w:rPr>
              <w:t>Зачитането на неприкосновеността на личния живот и правата на човека също играят важна роля в проектите и когато това е чувствително, е обърнато специално внимание чрез включване на съответните партньори във фазата на разработване, внедряване и наблюдение на различните аспекти, включително етичните, правните и свързаните с поверителността на избраните проекти, свързани с ИИ, в рамките на различните специфични цели.</w:t>
            </w:r>
          </w:p>
          <w:p w14:paraId="5457B8BB" w14:textId="77777777" w:rsidR="00A77B3E" w:rsidRDefault="00EE0A2B">
            <w:pPr>
              <w:spacing w:before="100"/>
              <w:rPr>
                <w:color w:val="000000"/>
              </w:rPr>
            </w:pPr>
            <w:r>
              <w:rPr>
                <w:color w:val="000000"/>
              </w:rPr>
              <w:t>КН на Програмата ФУМИ е създаден с наредба на заместник-министъра на вътрешните работи и се председателства от ръководителя на УО. Представителите на съответните институции са определени въз основа на критерии, предварително определени и одобрени от УО, и разработени в съответствие с чл. 39(1) от РОР. Представители на ЕК и Одитния орган участват в работата на КН като наблюдатели.</w:t>
            </w:r>
          </w:p>
          <w:p w14:paraId="4456B9A5" w14:textId="77777777" w:rsidR="00A77B3E" w:rsidRDefault="00EE0A2B">
            <w:pPr>
              <w:spacing w:before="100"/>
              <w:rPr>
                <w:color w:val="000000"/>
              </w:rPr>
            </w:pPr>
            <w:r>
              <w:rPr>
                <w:color w:val="000000"/>
              </w:rPr>
              <w:t>Списъкът на членовете на Комитета е публикуван на уебсайта, съгласно чл. 49, (1) от CPR.</w:t>
            </w:r>
          </w:p>
          <w:p w14:paraId="4E1CD55E" w14:textId="77777777" w:rsidR="00A77B3E" w:rsidRDefault="00EE0A2B">
            <w:pPr>
              <w:spacing w:before="100"/>
              <w:rPr>
                <w:color w:val="000000"/>
              </w:rPr>
            </w:pPr>
            <w:r>
              <w:rPr>
                <w:color w:val="000000"/>
              </w:rPr>
              <w:t>Работата на Комитета се регулира от Вътрешни правила, приети на първото му заседание. Тези правила определят правомощията и отговорностите на председателя и членовете на Комитета и че тяхното поведение, както и това на наблюдателите, се основава на следните принципи: законност, безкористност, безпристрастност, независимост, обективност, публичност, отговорност и професионално поведение.</w:t>
            </w:r>
          </w:p>
          <w:p w14:paraId="43325C9A" w14:textId="77777777" w:rsidR="00A77B3E" w:rsidRDefault="00EE0A2B">
            <w:pPr>
              <w:spacing w:before="100"/>
              <w:rPr>
                <w:color w:val="000000"/>
              </w:rPr>
            </w:pPr>
            <w:r>
              <w:rPr>
                <w:color w:val="000000"/>
              </w:rPr>
              <w:t>УК се събира поне два пъти годишно (лично или чрез видеоконферентна връзка, в зависимост от текущата ситуация) и, ако е необходимо, ad hoc.</w:t>
            </w:r>
          </w:p>
          <w:p w14:paraId="7E175788" w14:textId="77777777" w:rsidR="00A77B3E" w:rsidRDefault="00EE0A2B">
            <w:pPr>
              <w:spacing w:before="100"/>
              <w:rPr>
                <w:color w:val="000000"/>
              </w:rPr>
            </w:pPr>
            <w:r>
              <w:rPr>
                <w:color w:val="000000"/>
              </w:rPr>
              <w:t xml:space="preserve">Функциите на Управителния съвет (УО) са в съответствие с разпоредбите на чл. 40 (1) и (2) от РОР. Комитетът преглежда изпълнението на Програмата по отношение на постигането на етапните цели и целите, както и всички проблеми, които влияят върху изпълнението на Програмата, и предприетите мерки за справяне с тези проблеми, включително нередности. УО също така преглежда приноса на Програмата за справяне с предизвикателствата, установени в </w:t>
            </w:r>
            <w:r>
              <w:rPr>
                <w:color w:val="000000"/>
              </w:rPr>
              <w:lastRenderedPageBreak/>
              <w:t>съответните специфични за всяка държава препоръки, които са свързани с изпълнението на Програмата; изпълнението на действията за комуникация и видимост и не на последно място, постигнатия напредък при извършването на оценката, синтезите на оценката и последващите действия, предприети във връзка с констатациите. Освен това, Комитетът одобрява всяко предложение от УО за изменения на Програмата, както и годишния доклад за изпълнението.</w:t>
            </w:r>
          </w:p>
          <w:p w14:paraId="60860992" w14:textId="77777777" w:rsidR="00A77B3E" w:rsidRDefault="00EE0A2B">
            <w:pPr>
              <w:spacing w:before="100"/>
              <w:rPr>
                <w:color w:val="000000"/>
              </w:rPr>
            </w:pPr>
            <w:r>
              <w:rPr>
                <w:color w:val="000000"/>
              </w:rPr>
              <w:t>Изпълнението на Програмата ФУМИ следва същите принципи на партньорство, както и в процеса на нейната подготовка. Управляващият орган осигурява широка публичност за партньорите, като предоставя съответната информация на уебсайта на Министерството на вътрешните работи, както и чрез провеждане на редовни информационни събития, отворени за всички заинтересовани страни. Комитетът също така играе основна роля в наблюдението на напредъка по изпълнението на Програмата ФУМИ и на бъдещото развитие, консултациите и/или вземането на решения, свързани с преразглеждането на Програмата и/или одобряването на мониторинговите доклади.</w:t>
            </w:r>
          </w:p>
          <w:p w14:paraId="112A07F9" w14:textId="77777777" w:rsidR="00A77B3E" w:rsidRDefault="00EE0A2B">
            <w:pPr>
              <w:spacing w:before="100"/>
              <w:rPr>
                <w:color w:val="000000"/>
              </w:rPr>
            </w:pPr>
            <w:r>
              <w:rPr>
                <w:color w:val="000000"/>
              </w:rPr>
              <w:t>Освен това, Информационната система за управление и мониторинг ще продължи да се използва за наблюдение на показателите и информацията, необходими за проследяване на напредъка към целите, договорени в Програмата.</w:t>
            </w:r>
          </w:p>
          <w:p w14:paraId="14809E72" w14:textId="77777777" w:rsidR="00A77B3E" w:rsidRDefault="00EE0A2B">
            <w:pPr>
              <w:spacing w:before="100"/>
              <w:rPr>
                <w:color w:val="000000"/>
              </w:rPr>
            </w:pPr>
            <w:r>
              <w:rPr>
                <w:color w:val="000000"/>
              </w:rPr>
              <w:t>Допълняемостта на програмата и съответните действия с други политики се осъществява на етап програмиране чрез участието на представители на Министерството на вътрешните работи в междуинституционалните тематични работни групи за разработване на другите програми, включени в РОР, както и участието на техни представители в подготовката на програмите по вътрешни работи. Понастоящем експерти от дирекция „Международни проекти“ участват в 14 УК на финансирани от ЕС програми и програми за териториално сътрудничество на Република България за програмния период 2021-2027 г., както и в УК за Споразумението за партньорство за програмния период 2021-2027 г.</w:t>
            </w:r>
          </w:p>
          <w:p w14:paraId="254B3DBA" w14:textId="77777777" w:rsidR="00A77B3E" w:rsidRDefault="00A77B3E">
            <w:pPr>
              <w:spacing w:before="100"/>
              <w:rPr>
                <w:color w:val="000000"/>
                <w:sz w:val="6"/>
              </w:rPr>
            </w:pPr>
          </w:p>
          <w:p w14:paraId="528BD8E5" w14:textId="77777777" w:rsidR="00A77B3E" w:rsidRDefault="00A77B3E">
            <w:pPr>
              <w:spacing w:before="100"/>
              <w:rPr>
                <w:color w:val="000000"/>
                <w:sz w:val="6"/>
              </w:rPr>
            </w:pPr>
          </w:p>
        </w:tc>
      </w:tr>
    </w:tbl>
    <w:p w14:paraId="30394E34" w14:textId="77777777" w:rsidR="00A77B3E" w:rsidRDefault="00EE0A2B">
      <w:pPr>
        <w:pStyle w:val="Heading1"/>
        <w:spacing w:before="100" w:after="0"/>
        <w:rPr>
          <w:rFonts w:ascii="Times New Roman" w:hAnsi="Times New Roman" w:cs="Times New Roman"/>
          <w:b w:val="0"/>
          <w:color w:val="000000"/>
          <w:sz w:val="24"/>
        </w:rPr>
      </w:pPr>
      <w:r>
        <w:rPr>
          <w:rFonts w:ascii="Times New Roman" w:hAnsi="Times New Roman" w:cs="Times New Roman"/>
          <w:b w:val="0"/>
          <w:color w:val="000000"/>
          <w:sz w:val="24"/>
        </w:rPr>
        <w:lastRenderedPageBreak/>
        <w:br w:type="page"/>
      </w:r>
      <w:bookmarkStart w:id="46" w:name="_Toc256000109"/>
      <w:r>
        <w:rPr>
          <w:rFonts w:ascii="Times New Roman" w:hAnsi="Times New Roman" w:cs="Times New Roman"/>
          <w:b w:val="0"/>
          <w:color w:val="000000"/>
          <w:sz w:val="24"/>
        </w:rPr>
        <w:lastRenderedPageBreak/>
        <w:t>7. Комуникация и видимост</w:t>
      </w:r>
      <w:bookmarkEnd w:id="46"/>
    </w:p>
    <w:p w14:paraId="2179E5E7" w14:textId="77777777" w:rsidR="00A77B3E" w:rsidRDefault="00EE0A2B">
      <w:pPr>
        <w:spacing w:before="100"/>
        <w:rPr>
          <w:color w:val="000000"/>
          <w:sz w:val="16"/>
        </w:rPr>
      </w:pPr>
      <w:r>
        <w:rPr>
          <w:color w:val="000000"/>
        </w:rPr>
        <w:t>Позоваване: член 22, параграф 3, буква й) от РОР</w:t>
      </w:r>
    </w:p>
    <w:p w14:paraId="5C758D8E" w14:textId="77777777"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723994" w14:paraId="4A104CBD"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4C47B18" w14:textId="77777777" w:rsidR="00A77B3E" w:rsidRDefault="00A77B3E">
            <w:pPr>
              <w:spacing w:before="100"/>
              <w:rPr>
                <w:color w:val="000000"/>
                <w:sz w:val="0"/>
              </w:rPr>
            </w:pPr>
          </w:p>
          <w:p w14:paraId="20B320E3" w14:textId="77777777" w:rsidR="00A77B3E" w:rsidRDefault="00EE0A2B">
            <w:pPr>
              <w:spacing w:before="100"/>
              <w:rPr>
                <w:color w:val="000000"/>
              </w:rPr>
            </w:pPr>
            <w:r>
              <w:rPr>
                <w:color w:val="000000"/>
              </w:rPr>
              <w:t>Целта на комуникационния подход е да се популяризират и комуникират фондът и добавената стойност от интервенцията на ЕС, Програмата и нейните цели, резултати и добри практики сред широката общественост, юридическите лица с нестопанска цел, публичните органи, ангажирани с управлението на средствата от ЕС в България, академичната общност и др.</w:t>
            </w:r>
          </w:p>
          <w:p w14:paraId="13015DCA" w14:textId="77777777" w:rsidR="00A77B3E" w:rsidRDefault="00EE0A2B">
            <w:pPr>
              <w:spacing w:before="100"/>
              <w:rPr>
                <w:color w:val="000000"/>
              </w:rPr>
            </w:pPr>
            <w:r>
              <w:rPr>
                <w:color w:val="000000"/>
              </w:rPr>
              <w:t>Сред целите на предвидените комуникационни мерки е гарантиране на прозрачността и видимостта на дейностите на управляващия орган (УО), повишаване на осведомеността и компетентността на бенефициентите при изпълнението на проекти, както и повишаване на осведомеността сред целевата аудитория за постигнатото с финансовата подкрепа от ЕС.</w:t>
            </w:r>
          </w:p>
          <w:p w14:paraId="3677C023" w14:textId="77777777" w:rsidR="00A77B3E" w:rsidRDefault="00EE0A2B">
            <w:pPr>
              <w:spacing w:before="100"/>
              <w:rPr>
                <w:color w:val="000000"/>
              </w:rPr>
            </w:pPr>
            <w:r>
              <w:rPr>
                <w:color w:val="000000"/>
              </w:rPr>
              <w:t>Целевата аудитория включва: бенефициентите на Програмата и потенциални такива, граждани, юридически лица с нестопанска цел, академичната общност, администрацията, ангажирана с управлението на европейските фондове в България.</w:t>
            </w:r>
          </w:p>
          <w:p w14:paraId="2B12C992" w14:textId="77777777" w:rsidR="00A77B3E" w:rsidRDefault="00EE0A2B">
            <w:pPr>
              <w:spacing w:before="100"/>
              <w:rPr>
                <w:color w:val="000000"/>
              </w:rPr>
            </w:pPr>
            <w:r>
              <w:rPr>
                <w:color w:val="000000"/>
              </w:rPr>
              <w:t>Мерките, свързани с комуникацията и видимостта в програмния период 2021-2027 г., ще следват изцяло разпоредбите на Регламента за общоприложимите разпоредби (РОР) в тази област.</w:t>
            </w:r>
          </w:p>
          <w:p w14:paraId="0ACBAB20" w14:textId="77777777" w:rsidR="00A77B3E" w:rsidRDefault="00EE0A2B">
            <w:pPr>
              <w:spacing w:before="100"/>
              <w:rPr>
                <w:color w:val="000000"/>
              </w:rPr>
            </w:pPr>
            <w:r>
              <w:rPr>
                <w:color w:val="000000"/>
              </w:rPr>
              <w:t>Управляващият орган е назначил служител по комуникациите, който отговаря за трите програми в областта на вътрешните работи. Управляващият орган участва в мрежата INFORM, където взаимодейства с други държави членки и участва в обучения, обменя опит и споделя добри практики.</w:t>
            </w:r>
          </w:p>
          <w:p w14:paraId="4270B03C" w14:textId="77777777" w:rsidR="00A77B3E" w:rsidRDefault="00EE0A2B">
            <w:pPr>
              <w:spacing w:before="100"/>
              <w:rPr>
                <w:color w:val="000000"/>
              </w:rPr>
            </w:pPr>
            <w:r>
              <w:rPr>
                <w:color w:val="000000"/>
              </w:rPr>
              <w:t>Ще бъдат използвани подходящи и изпитани в практиката на УО комуникационни канали, чрез които ще се достигне до съответната целева аудитория и ще се осигури публичност и видимост на инициативите по Програмата.</w:t>
            </w:r>
          </w:p>
          <w:p w14:paraId="7825BDD1" w14:textId="77777777" w:rsidR="00A77B3E" w:rsidRDefault="00EE0A2B">
            <w:pPr>
              <w:spacing w:before="100"/>
              <w:rPr>
                <w:color w:val="000000"/>
              </w:rPr>
            </w:pPr>
            <w:r>
              <w:rPr>
                <w:color w:val="000000"/>
              </w:rPr>
              <w:t>Управляващият орган използва следните канали за комуникация със съответните заинтересовани страни:</w:t>
            </w:r>
          </w:p>
          <w:p w14:paraId="5AEFFAD4" w14:textId="77777777" w:rsidR="00A77B3E" w:rsidRDefault="00EE0A2B">
            <w:pPr>
              <w:spacing w:before="100"/>
              <w:rPr>
                <w:color w:val="000000"/>
              </w:rPr>
            </w:pPr>
            <w:r>
              <w:rPr>
                <w:color w:val="000000"/>
              </w:rPr>
              <w:t>1. Уебсайтът на УО е основният комуникационен канал, чрез който информацията достига до най-широк кръг потребители. Ще бъде достъпна информация за програмата, обхващаща целите на програмата, наличните възможности за финансиране, списък с избрани за подкрепа операции и постиженията.</w:t>
            </w:r>
          </w:p>
          <w:p w14:paraId="43767341" w14:textId="77777777" w:rsidR="00A77B3E" w:rsidRDefault="00EE0A2B">
            <w:pPr>
              <w:spacing w:before="100"/>
              <w:rPr>
                <w:color w:val="000000"/>
              </w:rPr>
            </w:pPr>
            <w:r>
              <w:rPr>
                <w:color w:val="000000"/>
              </w:rPr>
              <w:t>Публикуваните документи ще бъдат в отворени, машинночетими формати, което ще позволи сортиране, търсене, извличане, сравняване и повторно използване на данни.</w:t>
            </w:r>
          </w:p>
          <w:p w14:paraId="32304F18" w14:textId="77777777" w:rsidR="00A77B3E" w:rsidRDefault="00EE0A2B">
            <w:pPr>
              <w:spacing w:before="100"/>
              <w:rPr>
                <w:color w:val="000000"/>
              </w:rPr>
            </w:pPr>
            <w:r>
              <w:rPr>
                <w:color w:val="000000"/>
              </w:rPr>
              <w:t>Освен това, на уебсайта и на страницата във Facebook могат да бъдат публикувани кратки видеоклипове, за да се популяризират истории за успех от национални и европейски проекти, подкрепяни по програмата.</w:t>
            </w:r>
          </w:p>
          <w:p w14:paraId="02571454" w14:textId="77777777" w:rsidR="00A77B3E" w:rsidRDefault="00EE0A2B">
            <w:pPr>
              <w:spacing w:before="100"/>
              <w:rPr>
                <w:color w:val="000000"/>
              </w:rPr>
            </w:pPr>
            <w:r>
              <w:rPr>
                <w:color w:val="000000"/>
              </w:rPr>
              <w:t>2. Ще бъдат проведени информационни дни за потенциални бенефициенти, където ще бъдат дадени разяснения и насоки за разработването на проектните предложения, както и ще бъдат обсъдени установените проблеми. Освен това ще бъдат организирани публични събития по време на изпълнението на Програмата.</w:t>
            </w:r>
          </w:p>
          <w:p w14:paraId="61B38E5D" w14:textId="77777777" w:rsidR="00A77B3E" w:rsidRDefault="00EE0A2B">
            <w:pPr>
              <w:spacing w:before="100"/>
              <w:rPr>
                <w:color w:val="000000"/>
              </w:rPr>
            </w:pPr>
            <w:r>
              <w:rPr>
                <w:color w:val="000000"/>
              </w:rPr>
              <w:t>3. Facebook е допълнителен комуникационен канал, където на отделна страница за Програмата ще бъдат публикувани новини и съобщения за различни събития и инициативи на УО, добри практики и др.</w:t>
            </w:r>
          </w:p>
          <w:p w14:paraId="40697A4D" w14:textId="77777777" w:rsidR="00A77B3E" w:rsidRDefault="00EE0A2B">
            <w:pPr>
              <w:spacing w:before="100"/>
              <w:rPr>
                <w:color w:val="000000"/>
              </w:rPr>
            </w:pPr>
            <w:r>
              <w:rPr>
                <w:color w:val="000000"/>
              </w:rPr>
              <w:t>4. Информационната система за управление и мониторинг на средствата от ЕС в България – ИСУН 2020 дава възможност на потенциалните бенефициенти да търсят и кандидатстват по покани за проектни предложения, а от друга страна, позволява на Управляващия орган да оценява проектните предложения и да наблюдава тяхното изпълнение.</w:t>
            </w:r>
          </w:p>
          <w:p w14:paraId="2985B7C3" w14:textId="77777777" w:rsidR="00A77B3E" w:rsidRDefault="00EE0A2B">
            <w:pPr>
              <w:spacing w:before="100"/>
              <w:rPr>
                <w:color w:val="000000"/>
              </w:rPr>
            </w:pPr>
            <w:r>
              <w:rPr>
                <w:color w:val="000000"/>
              </w:rPr>
              <w:t>5. Актуална информация за Програмата, нейното изпълнение, инициативи на УО, документи и др. ще бъде публикувана на Единния информационен портал за обща информация за прилагането и управлението на фондовете на ЕС в България (www.eufunds.bg).</w:t>
            </w:r>
          </w:p>
          <w:p w14:paraId="09E77AE0" w14:textId="77777777" w:rsidR="00A77B3E" w:rsidRDefault="00EE0A2B">
            <w:pPr>
              <w:spacing w:before="100"/>
              <w:rPr>
                <w:color w:val="000000"/>
              </w:rPr>
            </w:pPr>
            <w:r>
              <w:rPr>
                <w:color w:val="000000"/>
              </w:rPr>
              <w:lastRenderedPageBreak/>
              <w:t>Изпълнението на мерките, определени за комуникация и видимост, ще бъде редовно наблюдавано и оценявано. Целта е да се гарантира качеството на комуникационния процес, да се идентифицират слабостите и силните страни и да се предприемат коригиращи действия. В тази връзка ще се прилагат следните показатели:</w:t>
            </w:r>
          </w:p>
          <w:p w14:paraId="10619E59" w14:textId="77777777" w:rsidR="00A77B3E" w:rsidRDefault="00EE0A2B">
            <w:pPr>
              <w:spacing w:before="100"/>
              <w:rPr>
                <w:color w:val="000000"/>
              </w:rPr>
            </w:pPr>
            <w:r>
              <w:rPr>
                <w:color w:val="000000"/>
              </w:rPr>
              <w:t>·Брой събития, вкл. онлайн (събития по откриване/закриване, информационни дни, обучения, заседания на Комитета за наблюдение и др.) – 15 (Цел 2029 г.);</w:t>
            </w:r>
          </w:p>
          <w:p w14:paraId="0C046DF0" w14:textId="77777777" w:rsidR="00A77B3E" w:rsidRDefault="00EE0A2B">
            <w:pPr>
              <w:spacing w:before="100"/>
              <w:rPr>
                <w:color w:val="000000"/>
              </w:rPr>
            </w:pPr>
            <w:r>
              <w:rPr>
                <w:color w:val="000000"/>
              </w:rPr>
              <w:t>·Брой участници (физически и онлайн) – 300 (Цел 2029 г.);</w:t>
            </w:r>
          </w:p>
          <w:p w14:paraId="20FA4D1B" w14:textId="77777777" w:rsidR="00A77B3E" w:rsidRDefault="00EE0A2B">
            <w:pPr>
              <w:spacing w:before="100"/>
              <w:rPr>
                <w:color w:val="000000"/>
              </w:rPr>
            </w:pPr>
            <w:r>
              <w:rPr>
                <w:color w:val="000000"/>
              </w:rPr>
              <w:t>·Брой публикации на уебсайта и в социалните мрежи – 480 (Цел 2029 г.);</w:t>
            </w:r>
          </w:p>
          <w:p w14:paraId="3D6CD223" w14:textId="77777777" w:rsidR="00A77B3E" w:rsidRDefault="00EE0A2B">
            <w:pPr>
              <w:spacing w:before="100"/>
              <w:rPr>
                <w:color w:val="000000"/>
              </w:rPr>
            </w:pPr>
            <w:r>
              <w:rPr>
                <w:color w:val="000000"/>
              </w:rPr>
              <w:t>·Брой посетители/читатели/последователи в социалните мрежи – 200 (Цел 2029 г.);</w:t>
            </w:r>
          </w:p>
          <w:p w14:paraId="12C64D94" w14:textId="77777777" w:rsidR="00A77B3E" w:rsidRDefault="00EE0A2B">
            <w:pPr>
              <w:spacing w:before="100"/>
              <w:rPr>
                <w:color w:val="000000"/>
              </w:rPr>
            </w:pPr>
            <w:r>
              <w:rPr>
                <w:color w:val="000000"/>
              </w:rPr>
              <w:t>·Повишаване на нивото на осведоменост на целевата аудитория относно политиката на ЕС и фондовете/програмите в резултат на събитията/публикациите – 25 % (Цел 2029).</w:t>
            </w:r>
          </w:p>
          <w:p w14:paraId="5C9AD778" w14:textId="77777777" w:rsidR="00A77B3E" w:rsidRDefault="00A77B3E">
            <w:pPr>
              <w:spacing w:before="100"/>
              <w:rPr>
                <w:color w:val="000000"/>
              </w:rPr>
            </w:pPr>
          </w:p>
          <w:p w14:paraId="3B48F2FB" w14:textId="77777777" w:rsidR="00A77B3E" w:rsidRDefault="00EE0A2B">
            <w:pPr>
              <w:spacing w:before="100"/>
              <w:rPr>
                <w:color w:val="000000"/>
              </w:rPr>
            </w:pPr>
            <w:r>
              <w:rPr>
                <w:color w:val="000000"/>
              </w:rPr>
              <w:t>В рамките на техническата помощ е предвидена сума от 223 943,02 евро за мерки за комуникация и видимост. Такива мерки ще бъдат включени и в проектите, изпълнявани по програмата ФМИФ 2021-2027.</w:t>
            </w:r>
          </w:p>
          <w:p w14:paraId="789E5F99" w14:textId="77777777" w:rsidR="00A77B3E" w:rsidRDefault="00A77B3E">
            <w:pPr>
              <w:spacing w:before="100"/>
              <w:rPr>
                <w:color w:val="000000"/>
                <w:sz w:val="6"/>
              </w:rPr>
            </w:pPr>
          </w:p>
          <w:p w14:paraId="6EC6574E" w14:textId="77777777" w:rsidR="00A77B3E" w:rsidRDefault="00A77B3E">
            <w:pPr>
              <w:spacing w:before="100"/>
              <w:rPr>
                <w:color w:val="000000"/>
                <w:sz w:val="6"/>
              </w:rPr>
            </w:pPr>
          </w:p>
        </w:tc>
      </w:tr>
    </w:tbl>
    <w:p w14:paraId="6E5CBCCF" w14:textId="77777777" w:rsidR="00A77B3E" w:rsidRDefault="00EE0A2B">
      <w:pPr>
        <w:pStyle w:val="Heading1"/>
        <w:spacing w:before="100" w:after="0"/>
        <w:rPr>
          <w:rFonts w:ascii="Times New Roman" w:hAnsi="Times New Roman" w:cs="Times New Roman"/>
          <w:b w:val="0"/>
          <w:color w:val="000000"/>
          <w:sz w:val="24"/>
        </w:rPr>
      </w:pPr>
      <w:r>
        <w:rPr>
          <w:rFonts w:ascii="Times New Roman" w:hAnsi="Times New Roman" w:cs="Times New Roman"/>
          <w:b w:val="0"/>
          <w:color w:val="000000"/>
          <w:sz w:val="24"/>
        </w:rPr>
        <w:lastRenderedPageBreak/>
        <w:br w:type="page"/>
      </w:r>
      <w:bookmarkStart w:id="47" w:name="_Toc256000110"/>
      <w:r>
        <w:rPr>
          <w:rFonts w:ascii="Times New Roman" w:hAnsi="Times New Roman" w:cs="Times New Roman"/>
          <w:b w:val="0"/>
          <w:color w:val="000000"/>
          <w:sz w:val="24"/>
        </w:rPr>
        <w:lastRenderedPageBreak/>
        <w:t>8. Използване на единични разходи, еднократни суми, фиксирани ставки и финансиране, което не е свързано с разходи</w:t>
      </w:r>
      <w:bookmarkEnd w:id="47"/>
    </w:p>
    <w:p w14:paraId="76C43C58" w14:textId="77777777" w:rsidR="00A77B3E" w:rsidRDefault="00EE0A2B">
      <w:pPr>
        <w:spacing w:before="100"/>
        <w:rPr>
          <w:color w:val="000000"/>
          <w:sz w:val="16"/>
        </w:rPr>
      </w:pPr>
      <w:r>
        <w:rPr>
          <w:color w:val="000000"/>
        </w:rPr>
        <w:t>Препратка: Членове 94 и 95 от CPR</w:t>
      </w:r>
    </w:p>
    <w:p w14:paraId="614BF294" w14:textId="77777777"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1613"/>
        <w:gridCol w:w="1631"/>
      </w:tblGrid>
      <w:tr w:rsidR="00723994" w14:paraId="1033839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9A60649" w14:textId="77777777" w:rsidR="00A77B3E" w:rsidRDefault="00EE0A2B">
            <w:pPr>
              <w:spacing w:before="100"/>
              <w:jc w:val="center"/>
              <w:rPr>
                <w:color w:val="000000"/>
                <w:sz w:val="20"/>
              </w:rPr>
            </w:pPr>
            <w:r>
              <w:rPr>
                <w:color w:val="000000"/>
                <w:sz w:val="20"/>
              </w:rPr>
              <w:t>Предназначение на членове 94 и 95 от CPR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14BF54A" w14:textId="77777777" w:rsidR="00A77B3E" w:rsidRDefault="00EE0A2B">
            <w:pPr>
              <w:spacing w:before="100"/>
              <w:jc w:val="center"/>
              <w:rPr>
                <w:color w:val="000000"/>
                <w:sz w:val="20"/>
              </w:rPr>
            </w:pPr>
            <w:r>
              <w:rPr>
                <w:color w:val="000000"/>
                <w:sz w:val="20"/>
              </w:rPr>
              <w:t>Да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A0DD865" w14:textId="77777777" w:rsidR="00A77B3E" w:rsidRDefault="00EE0A2B">
            <w:pPr>
              <w:spacing w:before="100"/>
              <w:jc w:val="center"/>
              <w:rPr>
                <w:color w:val="000000"/>
                <w:sz w:val="20"/>
              </w:rPr>
            </w:pPr>
            <w:r>
              <w:rPr>
                <w:color w:val="000000"/>
                <w:sz w:val="20"/>
              </w:rPr>
              <w:t>Не</w:t>
            </w:r>
          </w:p>
        </w:tc>
      </w:tr>
      <w:tr w:rsidR="00723994" w14:paraId="578242E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4C1D16" w14:textId="77777777" w:rsidR="00A77B3E" w:rsidRDefault="00EE0A2B">
            <w:pPr>
              <w:spacing w:before="100"/>
              <w:rPr>
                <w:color w:val="000000"/>
                <w:sz w:val="20"/>
              </w:rPr>
            </w:pPr>
            <w:r>
              <w:rPr>
                <w:color w:val="000000"/>
                <w:sz w:val="20"/>
              </w:rPr>
              <w:t>От приемането си програмата ще използва възстановяване на приноса на Съюза въз основа на единични разходи, еднократни суми и фиксирани ставки по приоритета съгласно член 94 от РОР.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0497AE" w14:textId="77777777" w:rsidR="00A77B3E" w:rsidRDefault="00EE0A2B">
            <w:pPr>
              <w:spacing w:before="100"/>
              <w:rPr>
                <w:color w:val="000000"/>
                <w:sz w:val="20"/>
              </w:rPr>
            </w:pPr>
            <w:r>
              <w:rPr>
                <w:color w:val="000000"/>
                <w:sz w:val="20"/>
              </w:rPr>
              <w:fldChar w:fldCharType="begin">
                <w:ffData>
                  <w:name w:val=""/>
                  <w:enabled/>
                  <w:calcOnExit w:val="0"/>
                  <w:checkBox>
                    <w:size w:val="20"/>
                    <w:default w:val="0"/>
                    <w:checked w:val="0"/>
                  </w:checkBox>
                </w:ffData>
              </w:fldChar>
            </w:r>
            <w:r>
              <w:rPr>
                <w:color w:val="000000"/>
                <w:sz w:val="20"/>
              </w:rPr>
              <w:instrText xml:space="preserve"> FORMCHECKBOX </w:instrText>
            </w:r>
            <w:r w:rsidR="00D73605">
              <w:rPr>
                <w:color w:val="000000"/>
                <w:sz w:val="20"/>
              </w:rPr>
            </w:r>
            <w:r w:rsidR="00D73605">
              <w:rPr>
                <w:color w:val="000000"/>
                <w:sz w:val="20"/>
              </w:rPr>
              <w:fldChar w:fldCharType="separate"/>
            </w:r>
            <w:r>
              <w:rPr>
                <w:color w:val="000000"/>
                <w:sz w:val="20"/>
              </w:rPr>
              <w:fldChar w:fldCharType="end"/>
            </w:r>
            <w:r>
              <w:rPr>
                <w:color w:val="000000"/>
                <w:sz w:val="20"/>
              </w:rPr>
              <w:t xml:space="preserve">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3BBB03" w14:textId="77777777" w:rsidR="00A77B3E" w:rsidRDefault="00EE0A2B">
            <w:pPr>
              <w:spacing w:before="100"/>
              <w:rPr>
                <w:color w:val="000000"/>
                <w:sz w:val="20"/>
              </w:rPr>
            </w:pPr>
            <w:r>
              <w:rPr>
                <w:color w:val="000000"/>
                <w:sz w:val="20"/>
              </w:rPr>
              <w:fldChar w:fldCharType="begin">
                <w:ffData>
                  <w:name w:val=""/>
                  <w:enabled/>
                  <w:calcOnExit w:val="0"/>
                  <w:checkBox>
                    <w:size w:val="20"/>
                    <w:default w:val="1"/>
                    <w:checked/>
                  </w:checkBox>
                </w:ffData>
              </w:fldChar>
            </w:r>
            <w:r>
              <w:rPr>
                <w:color w:val="000000"/>
                <w:sz w:val="20"/>
              </w:rPr>
              <w:instrText xml:space="preserve"> FORMCHECKBOX </w:instrText>
            </w:r>
            <w:r w:rsidR="00D73605">
              <w:rPr>
                <w:color w:val="000000"/>
                <w:sz w:val="20"/>
              </w:rPr>
            </w:r>
            <w:r w:rsidR="00D73605">
              <w:rPr>
                <w:color w:val="000000"/>
                <w:sz w:val="20"/>
              </w:rPr>
              <w:fldChar w:fldCharType="separate"/>
            </w:r>
            <w:r>
              <w:rPr>
                <w:color w:val="000000"/>
                <w:sz w:val="20"/>
              </w:rPr>
              <w:fldChar w:fldCharType="end"/>
            </w:r>
            <w:r>
              <w:rPr>
                <w:color w:val="000000"/>
                <w:sz w:val="20"/>
              </w:rPr>
              <w:t xml:space="preserve"> </w:t>
            </w:r>
          </w:p>
        </w:tc>
      </w:tr>
      <w:tr w:rsidR="00723994" w14:paraId="24F23B5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4D3F1B" w14:textId="77777777" w:rsidR="00A77B3E" w:rsidRDefault="00EE0A2B">
            <w:pPr>
              <w:spacing w:before="100"/>
              <w:rPr>
                <w:color w:val="000000"/>
                <w:sz w:val="20"/>
              </w:rPr>
            </w:pPr>
            <w:r>
              <w:rPr>
                <w:color w:val="000000"/>
                <w:sz w:val="20"/>
              </w:rPr>
              <w:t>От приемането си програмата ще използва възстановяване на приноса на Съюза въз основа на финансиране, което не е свързано с разходи, съгласно член 95 от РОР.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7AC893" w14:textId="77777777" w:rsidR="00A77B3E" w:rsidRDefault="00EE0A2B">
            <w:pPr>
              <w:spacing w:before="100"/>
              <w:rPr>
                <w:color w:val="000000"/>
                <w:sz w:val="20"/>
              </w:rPr>
            </w:pPr>
            <w:r>
              <w:rPr>
                <w:color w:val="000000"/>
                <w:sz w:val="20"/>
              </w:rPr>
              <w:fldChar w:fldCharType="begin">
                <w:ffData>
                  <w:name w:val=""/>
                  <w:enabled/>
                  <w:calcOnExit w:val="0"/>
                  <w:checkBox>
                    <w:size w:val="20"/>
                    <w:default w:val="0"/>
                    <w:checked w:val="0"/>
                  </w:checkBox>
                </w:ffData>
              </w:fldChar>
            </w:r>
            <w:r>
              <w:rPr>
                <w:color w:val="000000"/>
                <w:sz w:val="20"/>
              </w:rPr>
              <w:instrText xml:space="preserve"> FORMCHECKBOX </w:instrText>
            </w:r>
            <w:r w:rsidR="00D73605">
              <w:rPr>
                <w:color w:val="000000"/>
                <w:sz w:val="20"/>
              </w:rPr>
            </w:r>
            <w:r w:rsidR="00D73605">
              <w:rPr>
                <w:color w:val="000000"/>
                <w:sz w:val="20"/>
              </w:rPr>
              <w:fldChar w:fldCharType="separate"/>
            </w:r>
            <w:r>
              <w:rPr>
                <w:color w:val="000000"/>
                <w:sz w:val="20"/>
              </w:rPr>
              <w:fldChar w:fldCharType="end"/>
            </w:r>
            <w:r>
              <w:rPr>
                <w:color w:val="000000"/>
                <w:sz w:val="20"/>
              </w:rPr>
              <w:t xml:space="preserve">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6D7A1C" w14:textId="77777777" w:rsidR="00A77B3E" w:rsidRDefault="00EE0A2B">
            <w:pPr>
              <w:spacing w:before="100"/>
              <w:rPr>
                <w:color w:val="000000"/>
                <w:sz w:val="20"/>
              </w:rPr>
            </w:pPr>
            <w:r>
              <w:rPr>
                <w:color w:val="000000"/>
                <w:sz w:val="20"/>
              </w:rPr>
              <w:fldChar w:fldCharType="begin">
                <w:ffData>
                  <w:name w:val=""/>
                  <w:enabled/>
                  <w:calcOnExit w:val="0"/>
                  <w:checkBox>
                    <w:size w:val="20"/>
                    <w:default w:val="1"/>
                    <w:checked/>
                  </w:checkBox>
                </w:ffData>
              </w:fldChar>
            </w:r>
            <w:r>
              <w:rPr>
                <w:color w:val="000000"/>
                <w:sz w:val="20"/>
              </w:rPr>
              <w:instrText xml:space="preserve"> FORMCHECKBOX </w:instrText>
            </w:r>
            <w:r w:rsidR="00D73605">
              <w:rPr>
                <w:color w:val="000000"/>
                <w:sz w:val="20"/>
              </w:rPr>
            </w:r>
            <w:r w:rsidR="00D73605">
              <w:rPr>
                <w:color w:val="000000"/>
                <w:sz w:val="20"/>
              </w:rPr>
              <w:fldChar w:fldCharType="separate"/>
            </w:r>
            <w:r>
              <w:rPr>
                <w:color w:val="000000"/>
                <w:sz w:val="20"/>
              </w:rPr>
              <w:fldChar w:fldCharType="end"/>
            </w:r>
            <w:r>
              <w:rPr>
                <w:color w:val="000000"/>
                <w:sz w:val="20"/>
              </w:rPr>
              <w:t xml:space="preserve"> </w:t>
            </w:r>
          </w:p>
        </w:tc>
      </w:tr>
    </w:tbl>
    <w:p w14:paraId="7BDA86A3" w14:textId="77777777" w:rsidR="00A77B3E" w:rsidRDefault="00A77B3E">
      <w:pPr>
        <w:spacing w:before="100"/>
        <w:jc w:val="center"/>
        <w:rPr>
          <w:color w:val="000000"/>
          <w:sz w:val="20"/>
        </w:rPr>
        <w:sectPr w:rsidR="00A77B3E">
          <w:headerReference w:type="even" r:id="rId79"/>
          <w:headerReference w:type="default" r:id="rId80"/>
          <w:footerReference w:type="even" r:id="rId81"/>
          <w:footerReference w:type="default" r:id="rId82"/>
          <w:headerReference w:type="first" r:id="rId83"/>
          <w:footerReference w:type="first" r:id="rId84"/>
          <w:pgSz w:w="11906" w:h="16838"/>
          <w:pgMar w:top="720" w:right="936" w:bottom="864" w:left="720" w:header="0" w:footer="72" w:gutter="0"/>
          <w:cols w:space="720"/>
          <w:noEndnote/>
          <w:docGrid w:linePitch="360"/>
        </w:sectPr>
      </w:pPr>
    </w:p>
    <w:p w14:paraId="096C10DB" w14:textId="77777777" w:rsidR="00A77B3E" w:rsidRDefault="00EE0A2B">
      <w:pPr>
        <w:pStyle w:val="Heading1"/>
        <w:spacing w:before="100" w:after="0"/>
        <w:rPr>
          <w:rFonts w:ascii="Times New Roman" w:hAnsi="Times New Roman" w:cs="Times New Roman"/>
          <w:b w:val="0"/>
          <w:color w:val="000000"/>
          <w:sz w:val="24"/>
        </w:rPr>
      </w:pPr>
      <w:bookmarkStart w:id="48" w:name="_Toc256000111"/>
      <w:r>
        <w:rPr>
          <w:rFonts w:ascii="Times New Roman" w:hAnsi="Times New Roman" w:cs="Times New Roman"/>
          <w:b w:val="0"/>
          <w:color w:val="000000"/>
          <w:sz w:val="24"/>
        </w:rPr>
        <w:lastRenderedPageBreak/>
        <w:t>Приложение 1: Принос на Съюза въз основа на единични разходи, еднократни суми и фиксирани ставки</w:t>
      </w:r>
      <w:bookmarkEnd w:id="48"/>
    </w:p>
    <w:p w14:paraId="11CF5BEE" w14:textId="77777777" w:rsidR="00A77B3E" w:rsidRDefault="00EE0A2B">
      <w:pPr>
        <w:pStyle w:val="Heading2"/>
        <w:spacing w:before="100" w:after="0"/>
        <w:rPr>
          <w:rFonts w:ascii="Times New Roman" w:hAnsi="Times New Roman" w:cs="Times New Roman"/>
          <w:b w:val="0"/>
          <w:i w:val="0"/>
          <w:color w:val="000000"/>
          <w:sz w:val="24"/>
        </w:rPr>
      </w:pPr>
      <w:bookmarkStart w:id="49" w:name="_Toc256000112"/>
      <w:r>
        <w:rPr>
          <w:rFonts w:ascii="Times New Roman" w:hAnsi="Times New Roman" w:cs="Times New Roman"/>
          <w:b w:val="0"/>
          <w:i w:val="0"/>
          <w:color w:val="000000"/>
          <w:sz w:val="24"/>
        </w:rPr>
        <w:t>А. Обобщение на основните елементи</w:t>
      </w:r>
      <w:bookmarkEnd w:id="49"/>
    </w:p>
    <w:p w14:paraId="5B06800B" w14:textId="77777777"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1498"/>
        <w:gridCol w:w="1297"/>
        <w:gridCol w:w="1996"/>
        <w:gridCol w:w="1297"/>
        <w:gridCol w:w="1996"/>
        <w:gridCol w:w="1498"/>
        <w:gridCol w:w="1199"/>
        <w:gridCol w:w="1498"/>
      </w:tblGrid>
      <w:tr w:rsidR="00723994" w14:paraId="53970DF4" w14:textId="77777777">
        <w:trPr>
          <w:tblHeader/>
        </w:trPr>
        <w:tc>
          <w:tcPr>
            <w:tcW w:w="29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36B03E2" w14:textId="77777777" w:rsidR="00A77B3E" w:rsidRDefault="00EE0A2B">
            <w:pPr>
              <w:spacing w:before="100"/>
              <w:jc w:val="center"/>
              <w:rPr>
                <w:color w:val="000000"/>
                <w:sz w:val="12"/>
              </w:rPr>
            </w:pPr>
            <w:r>
              <w:rPr>
                <w:color w:val="000000"/>
                <w:sz w:val="12"/>
              </w:rPr>
              <w:t>Специфична цел</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B80BF6E" w14:textId="77777777" w:rsidR="00A77B3E" w:rsidRDefault="00EE0A2B">
            <w:pPr>
              <w:spacing w:before="100"/>
              <w:jc w:val="center"/>
              <w:rPr>
                <w:color w:val="000000"/>
                <w:sz w:val="12"/>
              </w:rPr>
            </w:pPr>
            <w:r>
              <w:rPr>
                <w:color w:val="000000"/>
                <w:sz w:val="12"/>
              </w:rPr>
              <w:t>Очакван дял от общото разпределение на финансовите средства в рамките на специфичната цел, към който ще се прилага овластяването на разходите (SCO) в %</w:t>
            </w:r>
          </w:p>
        </w:tc>
        <w:tc>
          <w:tcPr>
            <w:tcW w:w="33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3CBFFD" w14:textId="77777777" w:rsidR="00A77B3E" w:rsidRDefault="00EE0A2B">
            <w:pPr>
              <w:spacing w:before="100"/>
              <w:jc w:val="center"/>
              <w:rPr>
                <w:color w:val="000000"/>
                <w:sz w:val="12"/>
              </w:rPr>
            </w:pPr>
            <w:r>
              <w:rPr>
                <w:color w:val="000000"/>
                <w:sz w:val="12"/>
              </w:rPr>
              <w:t>Вид(ове) на обхванатата(ите) операция(и)</w:t>
            </w:r>
          </w:p>
        </w:tc>
        <w:tc>
          <w:tcPr>
            <w:tcW w:w="33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69E55BB" w14:textId="77777777" w:rsidR="00A77B3E" w:rsidRDefault="00EE0A2B">
            <w:pPr>
              <w:spacing w:before="100"/>
              <w:jc w:val="center"/>
              <w:rPr>
                <w:color w:val="000000"/>
                <w:sz w:val="12"/>
              </w:rPr>
            </w:pPr>
            <w:r>
              <w:rPr>
                <w:color w:val="000000"/>
                <w:sz w:val="12"/>
              </w:rPr>
              <w:t>Индикатор, задействащ възстановяване на разходи (2)</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34BB47B" w14:textId="77777777" w:rsidR="00A77B3E" w:rsidRDefault="00EE0A2B">
            <w:pPr>
              <w:spacing w:before="100"/>
              <w:jc w:val="center"/>
              <w:rPr>
                <w:color w:val="000000"/>
                <w:sz w:val="12"/>
              </w:rPr>
            </w:pPr>
            <w:r>
              <w:rPr>
                <w:color w:val="000000"/>
                <w:sz w:val="12"/>
              </w:rPr>
              <w:t>Мерна единица за показателя, задействащ възстановяването на разходи</w:t>
            </w:r>
          </w:p>
        </w:tc>
        <w:tc>
          <w:tcPr>
            <w:tcW w:w="12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A57D2D0" w14:textId="77777777" w:rsidR="00A77B3E" w:rsidRDefault="00EE0A2B">
            <w:pPr>
              <w:spacing w:before="100"/>
              <w:jc w:val="center"/>
              <w:rPr>
                <w:color w:val="000000"/>
                <w:sz w:val="12"/>
              </w:rPr>
            </w:pPr>
            <w:r>
              <w:rPr>
                <w:color w:val="000000"/>
                <w:sz w:val="12"/>
              </w:rPr>
              <w:t>Вид на ОВР (стандартна скала на единичните разходи, еднократни суми или фиксирани ставки)</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63F406A" w14:textId="77777777" w:rsidR="00A77B3E" w:rsidRDefault="00EE0A2B">
            <w:pPr>
              <w:spacing w:before="100"/>
              <w:jc w:val="center"/>
              <w:rPr>
                <w:color w:val="000000"/>
                <w:sz w:val="12"/>
              </w:rPr>
            </w:pPr>
            <w:r>
              <w:rPr>
                <w:color w:val="000000"/>
                <w:sz w:val="12"/>
              </w:rPr>
              <w:t>Размер (в евро) или процент (в случай на фиксирани ставки) на овластителното плащане</w:t>
            </w:r>
          </w:p>
        </w:tc>
      </w:tr>
      <w:tr w:rsidR="00723994" w14:paraId="6713FAC8" w14:textId="77777777">
        <w:trPr>
          <w:tblHeader/>
        </w:trPr>
        <w:tc>
          <w:tcPr>
            <w:tcW w:w="29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4FF359C" w14:textId="77777777" w:rsidR="00A77B3E" w:rsidRDefault="00A77B3E">
            <w:pPr>
              <w:spacing w:before="100"/>
              <w:jc w:val="center"/>
              <w:rPr>
                <w:color w:val="000000"/>
                <w:sz w:val="12"/>
              </w:rPr>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DB8980F" w14:textId="77777777" w:rsidR="00A77B3E" w:rsidRDefault="00A77B3E">
            <w:pPr>
              <w:spacing w:before="100"/>
              <w:jc w:val="center"/>
              <w:rPr>
                <w:color w:val="000000"/>
                <w:sz w:val="12"/>
              </w:rPr>
            </w:pPr>
          </w:p>
        </w:tc>
        <w:tc>
          <w:tcPr>
            <w:tcW w:w="13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DAE50FE" w14:textId="77777777" w:rsidR="00A77B3E" w:rsidRDefault="00EE0A2B">
            <w:pPr>
              <w:spacing w:before="100"/>
              <w:jc w:val="center"/>
              <w:rPr>
                <w:color w:val="000000"/>
                <w:sz w:val="12"/>
              </w:rPr>
            </w:pPr>
            <w:r>
              <w:rPr>
                <w:color w:val="000000"/>
                <w:sz w:val="12"/>
              </w:rPr>
              <w:t>Код(1)</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365D612" w14:textId="77777777" w:rsidR="00A77B3E" w:rsidRDefault="00EE0A2B">
            <w:pPr>
              <w:spacing w:before="100"/>
              <w:jc w:val="center"/>
              <w:rPr>
                <w:color w:val="000000"/>
                <w:sz w:val="12"/>
              </w:rPr>
            </w:pPr>
            <w:r>
              <w:rPr>
                <w:color w:val="000000"/>
                <w:sz w:val="12"/>
              </w:rPr>
              <w:t>Описание</w:t>
            </w:r>
          </w:p>
        </w:tc>
        <w:tc>
          <w:tcPr>
            <w:tcW w:w="13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4D25A6A" w14:textId="77777777" w:rsidR="00A77B3E" w:rsidRDefault="00EE0A2B">
            <w:pPr>
              <w:spacing w:before="100"/>
              <w:jc w:val="center"/>
              <w:rPr>
                <w:color w:val="000000"/>
                <w:sz w:val="12"/>
              </w:rPr>
            </w:pPr>
            <w:r>
              <w:rPr>
                <w:color w:val="000000"/>
                <w:sz w:val="12"/>
              </w:rPr>
              <w:t>Код (2)</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4E3613D" w14:textId="77777777" w:rsidR="00A77B3E" w:rsidRDefault="00EE0A2B">
            <w:pPr>
              <w:spacing w:before="100"/>
              <w:jc w:val="center"/>
              <w:rPr>
                <w:color w:val="000000"/>
                <w:sz w:val="12"/>
              </w:rPr>
            </w:pPr>
            <w:r>
              <w:rPr>
                <w:color w:val="000000"/>
                <w:sz w:val="12"/>
              </w:rPr>
              <w:t>Описание</w:t>
            </w: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21614A3" w14:textId="77777777" w:rsidR="00A77B3E" w:rsidRDefault="00A77B3E">
            <w:pPr>
              <w:spacing w:before="100"/>
              <w:jc w:val="center"/>
              <w:rPr>
                <w:color w:val="000000"/>
                <w:sz w:val="12"/>
              </w:rPr>
            </w:pPr>
          </w:p>
        </w:tc>
        <w:tc>
          <w:tcPr>
            <w:tcW w:w="12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42282E3" w14:textId="77777777" w:rsidR="00A77B3E" w:rsidRDefault="00A77B3E">
            <w:pPr>
              <w:spacing w:before="100"/>
              <w:jc w:val="center"/>
              <w:rPr>
                <w:color w:val="000000"/>
                <w:sz w:val="12"/>
              </w:rPr>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B0417DA" w14:textId="77777777" w:rsidR="00A77B3E" w:rsidRDefault="00A77B3E">
            <w:pPr>
              <w:spacing w:before="100"/>
              <w:jc w:val="center"/>
              <w:rPr>
                <w:color w:val="000000"/>
                <w:sz w:val="12"/>
              </w:rPr>
            </w:pPr>
          </w:p>
        </w:tc>
      </w:tr>
    </w:tbl>
    <w:p w14:paraId="0488BCC7" w14:textId="77777777" w:rsidR="00A77B3E" w:rsidRDefault="00EE0A2B">
      <w:pPr>
        <w:spacing w:before="100"/>
        <w:rPr>
          <w:color w:val="000000"/>
          <w:sz w:val="12"/>
        </w:rPr>
      </w:pPr>
      <w:r>
        <w:rPr>
          <w:color w:val="000000"/>
          <w:sz w:val="12"/>
        </w:rPr>
        <w:t xml:space="preserve">(1) Това се отнася до кода в приложение VI към регламентите за ФУМИ, ИУГВП и </w:t>
      </w:r>
      <w:r w:rsidR="0002372A">
        <w:rPr>
          <w:color w:val="000000"/>
          <w:sz w:val="12"/>
        </w:rPr>
        <w:t>ФВС</w:t>
      </w:r>
      <w:r>
        <w:rPr>
          <w:color w:val="000000"/>
          <w:sz w:val="12"/>
        </w:rPr>
        <w:t>.</w:t>
      </w:r>
    </w:p>
    <w:p w14:paraId="0CBEC3E9" w14:textId="77777777" w:rsidR="00A77B3E" w:rsidRDefault="00EE0A2B">
      <w:pPr>
        <w:spacing w:before="100"/>
        <w:rPr>
          <w:color w:val="000000"/>
          <w:sz w:val="12"/>
        </w:rPr>
      </w:pPr>
      <w:r>
        <w:rPr>
          <w:color w:val="000000"/>
          <w:sz w:val="12"/>
        </w:rPr>
        <w:t>(2) Това се отнася до кода на общ индикатор, ако е приложимо.</w:t>
      </w:r>
    </w:p>
    <w:p w14:paraId="0D6E7C2B" w14:textId="77777777" w:rsidR="00A77B3E" w:rsidRDefault="00A77B3E">
      <w:pPr>
        <w:spacing w:before="100"/>
        <w:rPr>
          <w:color w:val="000000"/>
        </w:rPr>
        <w:sectPr w:rsidR="00A77B3E">
          <w:headerReference w:type="even" r:id="rId85"/>
          <w:headerReference w:type="default" r:id="rId86"/>
          <w:footerReference w:type="even" r:id="rId87"/>
          <w:footerReference w:type="default" r:id="rId88"/>
          <w:headerReference w:type="first" r:id="rId89"/>
          <w:footerReference w:type="first" r:id="rId90"/>
          <w:pgSz w:w="16838" w:h="11906" w:orient="landscape"/>
          <w:pgMar w:top="720" w:right="720" w:bottom="864" w:left="936" w:header="288" w:footer="72" w:gutter="0"/>
          <w:cols w:space="720"/>
          <w:noEndnote/>
          <w:docGrid w:linePitch="360"/>
        </w:sectPr>
      </w:pPr>
    </w:p>
    <w:p w14:paraId="629E2BC6" w14:textId="77777777" w:rsidR="00A77B3E" w:rsidRDefault="00EE0A2B">
      <w:pPr>
        <w:spacing w:before="100"/>
        <w:rPr>
          <w:color w:val="000000"/>
        </w:rPr>
      </w:pPr>
      <w:r>
        <w:rPr>
          <w:color w:val="000000"/>
        </w:rPr>
        <w:lastRenderedPageBreak/>
        <w:t>Приложение 1: Принос на Съюза въз основа на единични разходи, еднократни суми и фиксирани ставки</w:t>
      </w:r>
    </w:p>
    <w:p w14:paraId="690246EF" w14:textId="77777777" w:rsidR="00A77B3E" w:rsidRDefault="00EE0A2B">
      <w:pPr>
        <w:pStyle w:val="Heading2"/>
        <w:spacing w:before="100" w:after="0"/>
        <w:rPr>
          <w:rFonts w:ascii="Times New Roman" w:hAnsi="Times New Roman" w:cs="Times New Roman"/>
          <w:b w:val="0"/>
          <w:i w:val="0"/>
          <w:color w:val="000000"/>
          <w:sz w:val="24"/>
        </w:rPr>
      </w:pPr>
      <w:bookmarkStart w:id="50" w:name="_Toc256000113"/>
      <w:r>
        <w:rPr>
          <w:rFonts w:ascii="Times New Roman" w:hAnsi="Times New Roman" w:cs="Times New Roman"/>
          <w:b w:val="0"/>
          <w:i w:val="0"/>
          <w:color w:val="000000"/>
          <w:sz w:val="24"/>
        </w:rPr>
        <w:t>Б. Подробности по вид операция</w:t>
      </w:r>
      <w:bookmarkEnd w:id="50"/>
    </w:p>
    <w:p w14:paraId="17683045" w14:textId="77777777" w:rsidR="00A77B3E" w:rsidRDefault="00A77B3E">
      <w:pPr>
        <w:spacing w:before="100"/>
        <w:rPr>
          <w:color w:val="000000"/>
        </w:rPr>
        <w:sectPr w:rsidR="00A77B3E">
          <w:pgSz w:w="16838" w:h="11906" w:orient="landscape"/>
          <w:pgMar w:top="720" w:right="720" w:bottom="864" w:left="936" w:header="288" w:footer="72" w:gutter="0"/>
          <w:cols w:space="720"/>
          <w:noEndnote/>
          <w:docGrid w:linePitch="360"/>
        </w:sectPr>
      </w:pPr>
    </w:p>
    <w:p w14:paraId="13107AB2" w14:textId="77777777" w:rsidR="00A77B3E" w:rsidRDefault="00EE0A2B">
      <w:pPr>
        <w:pStyle w:val="Heading2"/>
        <w:spacing w:before="100" w:after="0"/>
        <w:rPr>
          <w:rFonts w:ascii="TimesNewRoman" w:eastAsia="TimesNewRoman" w:hAnsi="TimesNewRoman" w:cs="TimesNewRoman"/>
          <w:b w:val="0"/>
          <w:i w:val="0"/>
          <w:color w:val="000000"/>
          <w:sz w:val="24"/>
        </w:rPr>
      </w:pPr>
      <w:bookmarkStart w:id="51" w:name="_Toc256000114"/>
      <w:r>
        <w:rPr>
          <w:rFonts w:ascii="TimesNewRoman" w:eastAsia="TimesNewRoman" w:hAnsi="TimesNewRoman" w:cs="TimesNewRoman"/>
          <w:b w:val="0"/>
          <w:i w:val="0"/>
          <w:color w:val="000000"/>
          <w:sz w:val="24"/>
        </w:rPr>
        <w:lastRenderedPageBreak/>
        <w:t>В. Изчисляване на стандартната скала на единичните разходи, еднократните суми или фиксираните ставки</w:t>
      </w:r>
      <w:bookmarkEnd w:id="51"/>
    </w:p>
    <w:p w14:paraId="7A3FB7E8" w14:textId="77777777" w:rsidR="00A77B3E" w:rsidRDefault="00EE0A2B">
      <w:pPr>
        <w:pStyle w:val="Heading4"/>
        <w:spacing w:before="100" w:after="0"/>
        <w:rPr>
          <w:rFonts w:ascii="TimesNewRoman" w:eastAsia="TimesNewRoman" w:hAnsi="TimesNewRoman" w:cs="TimesNewRoman"/>
          <w:b w:val="0"/>
          <w:color w:val="000000"/>
          <w:sz w:val="24"/>
        </w:rPr>
      </w:pPr>
      <w:bookmarkStart w:id="52" w:name="_Toc256000115"/>
      <w:r>
        <w:rPr>
          <w:rFonts w:ascii="TimesNewRoman" w:eastAsia="TimesNewRoman" w:hAnsi="TimesNewRoman" w:cs="TimesNewRoman"/>
          <w:b w:val="0"/>
          <w:color w:val="000000"/>
          <w:sz w:val="24"/>
        </w:rPr>
        <w:t>1. Източник на данните, използвани за изчисляване на стандартната скала на единичните разходи, еднократните суми или фиксираните ставки (кой е изготвил, събрал и записал данните, къде се съхраняват данните, крайни срокове, валидиране и др.)</w:t>
      </w:r>
      <w:bookmarkEnd w:id="52"/>
    </w:p>
    <w:p w14:paraId="797F36CA" w14:textId="77777777" w:rsidR="00A77B3E" w:rsidRDefault="00A77B3E">
      <w:pPr>
        <w:spacing w:before="100"/>
        <w:rPr>
          <w:rFonts w:ascii="TimesNewRoman" w:eastAsia="TimesNewRoman" w:hAnsi="TimesNewRoman" w:cs="TimesNewRoman"/>
          <w:color w:val="000000"/>
          <w:sz w:val="12"/>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723994" w14:paraId="7E3AD5DC" w14:textId="77777777">
        <w:tc>
          <w:tcPr>
            <w:tcW w:w="1650"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2065D8CC" w14:textId="77777777" w:rsidR="00A77B3E" w:rsidRDefault="00A77B3E">
            <w:pPr>
              <w:spacing w:before="100"/>
              <w:rPr>
                <w:color w:val="000000"/>
              </w:rPr>
            </w:pPr>
          </w:p>
        </w:tc>
      </w:tr>
    </w:tbl>
    <w:p w14:paraId="322B4B43" w14:textId="77777777" w:rsidR="00A77B3E" w:rsidRDefault="00EE0A2B">
      <w:pPr>
        <w:pStyle w:val="Heading4"/>
        <w:spacing w:before="100" w:after="0"/>
        <w:rPr>
          <w:b w:val="0"/>
          <w:color w:val="000000"/>
          <w:sz w:val="24"/>
        </w:rPr>
      </w:pPr>
      <w:r>
        <w:rPr>
          <w:b w:val="0"/>
          <w:color w:val="000000"/>
          <w:sz w:val="24"/>
        </w:rPr>
        <w:br w:type="page"/>
      </w:r>
      <w:bookmarkStart w:id="53" w:name="_Toc256000116"/>
      <w:r>
        <w:rPr>
          <w:b w:val="0"/>
          <w:color w:val="000000"/>
          <w:sz w:val="24"/>
        </w:rPr>
        <w:lastRenderedPageBreak/>
        <w:t>2. Моля, уточнете защо предложеният метод и изчисление, основани на член 94(2) от CPR, са от значение за вида операция.</w:t>
      </w:r>
      <w:bookmarkEnd w:id="53"/>
    </w:p>
    <w:p w14:paraId="41F32A5F" w14:textId="77777777" w:rsidR="00A77B3E" w:rsidRDefault="00A77B3E">
      <w:pPr>
        <w:spacing w:before="100"/>
        <w:rPr>
          <w:color w:val="000000"/>
          <w:sz w:val="12"/>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723994" w14:paraId="1E6DD77F" w14:textId="77777777">
        <w:tc>
          <w:tcPr>
            <w:tcW w:w="1650"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28AD60F8" w14:textId="77777777" w:rsidR="00A77B3E" w:rsidRDefault="00A77B3E">
            <w:pPr>
              <w:spacing w:before="100"/>
              <w:rPr>
                <w:color w:val="000000"/>
              </w:rPr>
            </w:pPr>
          </w:p>
        </w:tc>
      </w:tr>
    </w:tbl>
    <w:p w14:paraId="76F0EEF6" w14:textId="77777777" w:rsidR="00A77B3E" w:rsidRDefault="00EE0A2B">
      <w:pPr>
        <w:pStyle w:val="Heading4"/>
        <w:spacing w:before="100" w:after="0"/>
        <w:rPr>
          <w:b w:val="0"/>
          <w:color w:val="000000"/>
          <w:sz w:val="24"/>
        </w:rPr>
      </w:pPr>
      <w:r>
        <w:rPr>
          <w:b w:val="0"/>
          <w:color w:val="000000"/>
          <w:sz w:val="24"/>
        </w:rPr>
        <w:br w:type="page"/>
      </w:r>
      <w:bookmarkStart w:id="54" w:name="_Toc256000117"/>
      <w:r>
        <w:rPr>
          <w:b w:val="0"/>
          <w:color w:val="000000"/>
          <w:sz w:val="24"/>
        </w:rPr>
        <w:lastRenderedPageBreak/>
        <w:t>3. Моля, уточнете как са направени изчисленията, по-специално включително всички направени допускания по отношение на качеството или количествата. Когато е уместно, следва да се използват статистически данни и референтни показатели и, ако бъде поискано, да се предоставят във формат, който може да се използва от Комисията.</w:t>
      </w:r>
      <w:bookmarkEnd w:id="54"/>
    </w:p>
    <w:p w14:paraId="140C4CAE" w14:textId="77777777" w:rsidR="00A77B3E" w:rsidRDefault="00A77B3E">
      <w:pPr>
        <w:spacing w:before="100"/>
        <w:rPr>
          <w:color w:val="000000"/>
          <w:sz w:val="12"/>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723994" w14:paraId="3FD7C670" w14:textId="77777777">
        <w:tc>
          <w:tcPr>
            <w:tcW w:w="1650"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36E665AF" w14:textId="77777777" w:rsidR="00A77B3E" w:rsidRDefault="00A77B3E">
            <w:pPr>
              <w:spacing w:before="100"/>
              <w:rPr>
                <w:color w:val="000000"/>
              </w:rPr>
            </w:pPr>
          </w:p>
        </w:tc>
      </w:tr>
    </w:tbl>
    <w:p w14:paraId="53E484B0" w14:textId="77777777" w:rsidR="00A77B3E" w:rsidRDefault="00EE0A2B">
      <w:pPr>
        <w:pStyle w:val="Heading4"/>
        <w:spacing w:before="100" w:after="0"/>
        <w:rPr>
          <w:b w:val="0"/>
          <w:color w:val="000000"/>
          <w:sz w:val="24"/>
        </w:rPr>
      </w:pPr>
      <w:r>
        <w:rPr>
          <w:b w:val="0"/>
          <w:color w:val="000000"/>
          <w:sz w:val="24"/>
        </w:rPr>
        <w:br w:type="page"/>
      </w:r>
      <w:bookmarkStart w:id="55" w:name="_Toc256000118"/>
      <w:r>
        <w:rPr>
          <w:b w:val="0"/>
          <w:color w:val="000000"/>
          <w:sz w:val="24"/>
        </w:rPr>
        <w:lastRenderedPageBreak/>
        <w:t>4. Моля, обяснете как сте гарантирали, че само допустимите разходи са включени в изчисляването на стандартната скала за единични разходи, еднократната сума или фиксираната ставка.</w:t>
      </w:r>
      <w:bookmarkEnd w:id="55"/>
    </w:p>
    <w:p w14:paraId="00C33127" w14:textId="77777777" w:rsidR="00A77B3E" w:rsidRDefault="00A77B3E">
      <w:pPr>
        <w:spacing w:before="100"/>
        <w:rPr>
          <w:color w:val="000000"/>
          <w:sz w:val="12"/>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723994" w14:paraId="74B90633" w14:textId="77777777">
        <w:tc>
          <w:tcPr>
            <w:tcW w:w="1650"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5B415725" w14:textId="77777777" w:rsidR="00A77B3E" w:rsidRDefault="00A77B3E">
            <w:pPr>
              <w:spacing w:before="100"/>
              <w:rPr>
                <w:color w:val="000000"/>
              </w:rPr>
            </w:pPr>
          </w:p>
        </w:tc>
      </w:tr>
    </w:tbl>
    <w:p w14:paraId="792FBD12" w14:textId="77777777" w:rsidR="00A77B3E" w:rsidRDefault="00EE0A2B">
      <w:pPr>
        <w:pStyle w:val="Heading4"/>
        <w:spacing w:before="100" w:after="0"/>
        <w:rPr>
          <w:b w:val="0"/>
          <w:color w:val="000000"/>
          <w:sz w:val="24"/>
        </w:rPr>
      </w:pPr>
      <w:r>
        <w:rPr>
          <w:b w:val="0"/>
          <w:color w:val="000000"/>
          <w:sz w:val="24"/>
        </w:rPr>
        <w:br w:type="page"/>
      </w:r>
      <w:bookmarkStart w:id="56" w:name="_Toc256000119"/>
      <w:r>
        <w:rPr>
          <w:b w:val="0"/>
          <w:color w:val="000000"/>
          <w:sz w:val="24"/>
        </w:rPr>
        <w:lastRenderedPageBreak/>
        <w:t>5. Оценка на одитния(ите) орган(и) на методологията за изчисление и сумите, както и на мерките за осигуряване на проверката, качеството, събирането и съхранението на данните.</w:t>
      </w:r>
      <w:bookmarkEnd w:id="56"/>
    </w:p>
    <w:p w14:paraId="37756722" w14:textId="77777777" w:rsidR="00A77B3E" w:rsidRDefault="00A77B3E">
      <w:pPr>
        <w:spacing w:before="100"/>
        <w:rPr>
          <w:color w:val="000000"/>
          <w:sz w:val="12"/>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723994" w14:paraId="28489A4F" w14:textId="77777777">
        <w:tc>
          <w:tcPr>
            <w:tcW w:w="1650"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2E02461D" w14:textId="77777777" w:rsidR="00A77B3E" w:rsidRDefault="00A77B3E">
            <w:pPr>
              <w:spacing w:before="100"/>
              <w:rPr>
                <w:color w:val="000000"/>
              </w:rPr>
            </w:pPr>
          </w:p>
        </w:tc>
      </w:tr>
    </w:tbl>
    <w:p w14:paraId="04547F07" w14:textId="77777777" w:rsidR="00A77B3E" w:rsidRDefault="00A77B3E">
      <w:pPr>
        <w:spacing w:before="100"/>
        <w:rPr>
          <w:color w:val="000000"/>
        </w:rPr>
        <w:sectPr w:rsidR="00A77B3E">
          <w:headerReference w:type="even" r:id="rId91"/>
          <w:headerReference w:type="default" r:id="rId92"/>
          <w:footerReference w:type="even" r:id="rId93"/>
          <w:footerReference w:type="default" r:id="rId94"/>
          <w:headerReference w:type="first" r:id="rId95"/>
          <w:footerReference w:type="first" r:id="rId96"/>
          <w:pgSz w:w="11906" w:h="16838"/>
          <w:pgMar w:top="720" w:right="936" w:bottom="864" w:left="720" w:header="0" w:footer="72" w:gutter="0"/>
          <w:cols w:space="720"/>
          <w:noEndnote/>
          <w:docGrid w:linePitch="360"/>
        </w:sectPr>
      </w:pPr>
    </w:p>
    <w:p w14:paraId="3899D71B" w14:textId="77777777" w:rsidR="00A77B3E" w:rsidRDefault="00EE0A2B">
      <w:pPr>
        <w:pStyle w:val="Heading1"/>
        <w:spacing w:before="100" w:after="0"/>
        <w:rPr>
          <w:rFonts w:ascii="Times New Roman" w:hAnsi="Times New Roman" w:cs="Times New Roman"/>
          <w:b w:val="0"/>
          <w:color w:val="000000"/>
          <w:sz w:val="24"/>
        </w:rPr>
      </w:pPr>
      <w:bookmarkStart w:id="57" w:name="_Toc256000120"/>
      <w:r>
        <w:rPr>
          <w:rFonts w:ascii="Times New Roman" w:hAnsi="Times New Roman" w:cs="Times New Roman"/>
          <w:b w:val="0"/>
          <w:color w:val="000000"/>
          <w:sz w:val="24"/>
        </w:rPr>
        <w:lastRenderedPageBreak/>
        <w:t>Приложение 2: Принос на Съюза въз основа на финансиране, което не е свързано с разходи</w:t>
      </w:r>
      <w:bookmarkEnd w:id="57"/>
    </w:p>
    <w:p w14:paraId="00DDFD0E" w14:textId="77777777" w:rsidR="00A77B3E" w:rsidRDefault="00EE0A2B">
      <w:pPr>
        <w:pStyle w:val="Heading2"/>
        <w:spacing w:before="100" w:after="0"/>
        <w:rPr>
          <w:rFonts w:ascii="Times New Roman" w:hAnsi="Times New Roman" w:cs="Times New Roman"/>
          <w:b w:val="0"/>
          <w:i w:val="0"/>
          <w:color w:val="000000"/>
          <w:sz w:val="24"/>
        </w:rPr>
      </w:pPr>
      <w:bookmarkStart w:id="58" w:name="_Toc256000121"/>
      <w:r>
        <w:rPr>
          <w:rFonts w:ascii="Times New Roman" w:hAnsi="Times New Roman" w:cs="Times New Roman"/>
          <w:b w:val="0"/>
          <w:i w:val="0"/>
          <w:color w:val="000000"/>
          <w:sz w:val="24"/>
        </w:rPr>
        <w:t>А. Обобщение на основните елементи</w:t>
      </w:r>
      <w:bookmarkEnd w:id="58"/>
    </w:p>
    <w:p w14:paraId="5F41B82F" w14:textId="77777777"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1569"/>
        <w:gridCol w:w="1255"/>
        <w:gridCol w:w="1570"/>
        <w:gridCol w:w="1883"/>
        <w:gridCol w:w="1570"/>
        <w:gridCol w:w="1570"/>
        <w:gridCol w:w="1570"/>
        <w:gridCol w:w="2093"/>
      </w:tblGrid>
      <w:tr w:rsidR="00723994" w14:paraId="09C0D0D2" w14:textId="77777777">
        <w:trPr>
          <w:tblHeader/>
        </w:trPr>
        <w:tc>
          <w:tcPr>
            <w:tcW w:w="2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743C275" w14:textId="77777777" w:rsidR="00A77B3E" w:rsidRDefault="00EE0A2B">
            <w:pPr>
              <w:spacing w:before="100"/>
              <w:jc w:val="center"/>
              <w:rPr>
                <w:color w:val="000000"/>
                <w:sz w:val="12"/>
              </w:rPr>
            </w:pPr>
            <w:r>
              <w:rPr>
                <w:color w:val="000000"/>
                <w:sz w:val="12"/>
              </w:rPr>
              <w:t>Специфична цел</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D87F092" w14:textId="77777777" w:rsidR="00A77B3E" w:rsidRDefault="00EE0A2B">
            <w:pPr>
              <w:spacing w:before="100"/>
              <w:jc w:val="center"/>
              <w:rPr>
                <w:color w:val="000000"/>
                <w:sz w:val="12"/>
              </w:rPr>
            </w:pPr>
            <w:r>
              <w:rPr>
                <w:color w:val="000000"/>
                <w:sz w:val="12"/>
              </w:rPr>
              <w:t>Сумата, покрита от финансирането, не е свързана с разходи</w:t>
            </w:r>
          </w:p>
        </w:tc>
        <w:tc>
          <w:tcPr>
            <w:tcW w:w="27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3250ACC" w14:textId="77777777" w:rsidR="00A77B3E" w:rsidRDefault="00EE0A2B">
            <w:pPr>
              <w:spacing w:before="100"/>
              <w:jc w:val="center"/>
              <w:rPr>
                <w:color w:val="000000"/>
                <w:sz w:val="12"/>
              </w:rPr>
            </w:pPr>
            <w:r>
              <w:rPr>
                <w:color w:val="000000"/>
                <w:sz w:val="12"/>
              </w:rPr>
              <w:t>Вид(ове) на обхванатата(ите) операция(и)</w:t>
            </w:r>
          </w:p>
        </w:tc>
        <w:tc>
          <w:tcPr>
            <w:tcW w:w="18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F1C1465" w14:textId="77777777" w:rsidR="00A77B3E" w:rsidRDefault="00EE0A2B">
            <w:pPr>
              <w:spacing w:before="100"/>
              <w:jc w:val="center"/>
              <w:rPr>
                <w:color w:val="000000"/>
                <w:sz w:val="12"/>
              </w:rPr>
            </w:pPr>
            <w:r>
              <w:rPr>
                <w:color w:val="000000"/>
                <w:sz w:val="12"/>
              </w:rPr>
              <w:t>Условия, които трябва да бъдат изпълнени/резултати, които трябва да бъдат постигнати, за да се даде възможност за възстановяване на разходите от Комисията</w:t>
            </w:r>
          </w:p>
        </w:tc>
        <w:tc>
          <w:tcPr>
            <w:tcW w:w="3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34729D5" w14:textId="77777777" w:rsidR="00A77B3E" w:rsidRDefault="00EE0A2B">
            <w:pPr>
              <w:spacing w:before="100"/>
              <w:jc w:val="center"/>
              <w:rPr>
                <w:color w:val="000000"/>
                <w:sz w:val="12"/>
              </w:rPr>
            </w:pPr>
            <w:r>
              <w:rPr>
                <w:color w:val="000000"/>
                <w:sz w:val="12"/>
              </w:rPr>
              <w:t>Индикатори</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C1C7A44" w14:textId="77777777" w:rsidR="00A77B3E" w:rsidRDefault="00EE0A2B">
            <w:pPr>
              <w:spacing w:before="100"/>
              <w:jc w:val="center"/>
              <w:rPr>
                <w:color w:val="000000"/>
                <w:sz w:val="12"/>
              </w:rPr>
            </w:pPr>
            <w:r>
              <w:rPr>
                <w:color w:val="000000"/>
                <w:sz w:val="12"/>
              </w:rPr>
              <w:t>Мерна единица за условията, които трябва да бъдат изпълнени/резултатите, които трябва да бъдат постигнати, за да се даде възможност за възстановяване на разходите от Комисията</w:t>
            </w:r>
          </w:p>
        </w:tc>
        <w:tc>
          <w:tcPr>
            <w:tcW w:w="2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B8B4AC8" w14:textId="77777777" w:rsidR="00A77B3E" w:rsidRDefault="00EE0A2B">
            <w:pPr>
              <w:spacing w:before="100"/>
              <w:jc w:val="center"/>
              <w:rPr>
                <w:color w:val="000000"/>
                <w:sz w:val="12"/>
              </w:rPr>
            </w:pPr>
            <w:r>
              <w:rPr>
                <w:color w:val="000000"/>
                <w:sz w:val="12"/>
              </w:rPr>
              <w:t>Предвиден вид метод за възстановяване на разходите, използван за възстановяване на средствата на бенефициера(ите)</w:t>
            </w:r>
          </w:p>
        </w:tc>
      </w:tr>
      <w:tr w:rsidR="00723994" w14:paraId="1E3B4C40" w14:textId="77777777">
        <w:trPr>
          <w:tblHeader/>
        </w:trPr>
        <w:tc>
          <w:tcPr>
            <w:tcW w:w="2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517CCEC" w14:textId="77777777" w:rsidR="00A77B3E" w:rsidRDefault="00A77B3E">
            <w:pPr>
              <w:spacing w:before="100"/>
              <w:jc w:val="center"/>
              <w:rPr>
                <w:color w:val="000000"/>
                <w:sz w:val="12"/>
              </w:rPr>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D1D6243" w14:textId="77777777" w:rsidR="00A77B3E" w:rsidRDefault="00A77B3E">
            <w:pPr>
              <w:spacing w:before="100"/>
              <w:jc w:val="center"/>
              <w:rPr>
                <w:color w:val="000000"/>
                <w:sz w:val="12"/>
              </w:rPr>
            </w:pP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B4F66BA" w14:textId="77777777" w:rsidR="00A77B3E" w:rsidRDefault="00EE0A2B">
            <w:pPr>
              <w:spacing w:before="100"/>
              <w:jc w:val="center"/>
              <w:rPr>
                <w:color w:val="000000"/>
                <w:sz w:val="12"/>
              </w:rPr>
            </w:pPr>
            <w:r>
              <w:rPr>
                <w:color w:val="000000"/>
                <w:sz w:val="12"/>
              </w:rPr>
              <w:t>Код(1)</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024C4DD" w14:textId="77777777" w:rsidR="00A77B3E" w:rsidRDefault="00EE0A2B">
            <w:pPr>
              <w:spacing w:before="100"/>
              <w:jc w:val="center"/>
              <w:rPr>
                <w:color w:val="000000"/>
                <w:sz w:val="12"/>
              </w:rPr>
            </w:pPr>
            <w:r>
              <w:rPr>
                <w:color w:val="000000"/>
                <w:sz w:val="12"/>
              </w:rPr>
              <w:t>Описание</w:t>
            </w:r>
          </w:p>
        </w:tc>
        <w:tc>
          <w:tcPr>
            <w:tcW w:w="1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DA11D37" w14:textId="77777777" w:rsidR="00A77B3E" w:rsidRDefault="00A77B3E">
            <w:pPr>
              <w:spacing w:before="100"/>
              <w:jc w:val="center"/>
              <w:rPr>
                <w:color w:val="000000"/>
                <w:sz w:val="12"/>
              </w:rPr>
            </w:pP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8EA9308" w14:textId="77777777" w:rsidR="00A77B3E" w:rsidRDefault="00EE0A2B">
            <w:pPr>
              <w:spacing w:before="100"/>
              <w:jc w:val="center"/>
              <w:rPr>
                <w:color w:val="000000"/>
                <w:sz w:val="12"/>
              </w:rPr>
            </w:pPr>
            <w:r>
              <w:rPr>
                <w:color w:val="000000"/>
                <w:sz w:val="12"/>
              </w:rPr>
              <w:t>Код (2)</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A1781C3" w14:textId="77777777" w:rsidR="00A77B3E" w:rsidRDefault="00EE0A2B">
            <w:pPr>
              <w:spacing w:before="100"/>
              <w:jc w:val="center"/>
              <w:rPr>
                <w:color w:val="000000"/>
                <w:sz w:val="12"/>
              </w:rPr>
            </w:pPr>
            <w:r>
              <w:rPr>
                <w:color w:val="000000"/>
                <w:sz w:val="12"/>
              </w:rPr>
              <w:t>Описание</w:t>
            </w: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2D9BFE0" w14:textId="77777777" w:rsidR="00A77B3E" w:rsidRDefault="00A77B3E">
            <w:pPr>
              <w:spacing w:before="100"/>
              <w:jc w:val="center"/>
              <w:rPr>
                <w:color w:val="000000"/>
                <w:sz w:val="12"/>
              </w:rPr>
            </w:pPr>
          </w:p>
        </w:tc>
        <w:tc>
          <w:tcPr>
            <w:tcW w:w="2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6A2CA65" w14:textId="77777777" w:rsidR="00A77B3E" w:rsidRDefault="00A77B3E">
            <w:pPr>
              <w:spacing w:before="100"/>
              <w:jc w:val="center"/>
              <w:rPr>
                <w:color w:val="000000"/>
                <w:sz w:val="12"/>
              </w:rPr>
            </w:pPr>
          </w:p>
        </w:tc>
      </w:tr>
    </w:tbl>
    <w:p w14:paraId="63E8F8A2" w14:textId="77777777" w:rsidR="00A77B3E" w:rsidRDefault="00EE0A2B">
      <w:pPr>
        <w:spacing w:before="100"/>
        <w:rPr>
          <w:color w:val="000000"/>
          <w:sz w:val="12"/>
        </w:rPr>
      </w:pPr>
      <w:r>
        <w:rPr>
          <w:color w:val="000000"/>
          <w:sz w:val="12"/>
        </w:rPr>
        <w:t xml:space="preserve">(1) Отнася се за кода в приложение VI към регламентите за ФУМИ, ИУГВ и </w:t>
      </w:r>
      <w:r w:rsidR="0002372A">
        <w:rPr>
          <w:color w:val="000000"/>
          <w:sz w:val="12"/>
        </w:rPr>
        <w:t>ФВС</w:t>
      </w:r>
      <w:r>
        <w:rPr>
          <w:color w:val="000000"/>
          <w:sz w:val="12"/>
        </w:rPr>
        <w:t>.</w:t>
      </w:r>
    </w:p>
    <w:p w14:paraId="7B974054" w14:textId="77777777" w:rsidR="00A77B3E" w:rsidRDefault="00EE0A2B">
      <w:pPr>
        <w:spacing w:before="100"/>
        <w:rPr>
          <w:color w:val="000000"/>
          <w:sz w:val="12"/>
        </w:rPr>
      </w:pPr>
      <w:r>
        <w:rPr>
          <w:color w:val="000000"/>
          <w:sz w:val="12"/>
        </w:rPr>
        <w:t>(2) Отнася се до кода на общ индикатор, ако е приложимо.</w:t>
      </w:r>
    </w:p>
    <w:p w14:paraId="748BE2C7" w14:textId="77777777" w:rsidR="00A77B3E" w:rsidRDefault="00A77B3E">
      <w:pPr>
        <w:spacing w:before="100"/>
        <w:rPr>
          <w:color w:val="000000"/>
          <w:sz w:val="12"/>
        </w:rPr>
        <w:sectPr w:rsidR="00A77B3E">
          <w:headerReference w:type="even" r:id="rId97"/>
          <w:headerReference w:type="default" r:id="rId98"/>
          <w:footerReference w:type="even" r:id="rId99"/>
          <w:footerReference w:type="default" r:id="rId100"/>
          <w:headerReference w:type="first" r:id="rId101"/>
          <w:footerReference w:type="first" r:id="rId102"/>
          <w:pgSz w:w="16838" w:h="11906" w:orient="landscape"/>
          <w:pgMar w:top="720" w:right="720" w:bottom="864" w:left="936" w:header="288" w:footer="72" w:gutter="0"/>
          <w:cols w:space="720"/>
          <w:noEndnote/>
          <w:docGrid w:linePitch="360"/>
        </w:sectPr>
      </w:pPr>
    </w:p>
    <w:p w14:paraId="3587EDB2" w14:textId="77777777" w:rsidR="00A77B3E" w:rsidRDefault="00EE0A2B">
      <w:pPr>
        <w:pStyle w:val="Heading2"/>
        <w:spacing w:before="100" w:after="0"/>
        <w:rPr>
          <w:rFonts w:ascii="TimesNewRoman" w:eastAsia="TimesNewRoman" w:hAnsi="TimesNewRoman" w:cs="TimesNewRoman"/>
          <w:b w:val="0"/>
          <w:i w:val="0"/>
          <w:color w:val="000000"/>
          <w:sz w:val="24"/>
        </w:rPr>
      </w:pPr>
      <w:bookmarkStart w:id="59" w:name="_Toc256000122"/>
      <w:r>
        <w:rPr>
          <w:rFonts w:ascii="TimesNewRoman" w:eastAsia="TimesNewRoman" w:hAnsi="TimesNewRoman" w:cs="TimesNewRoman"/>
          <w:b w:val="0"/>
          <w:i w:val="0"/>
          <w:color w:val="000000"/>
          <w:sz w:val="24"/>
        </w:rPr>
        <w:lastRenderedPageBreak/>
        <w:t>Б. Подробности по вид операция</w:t>
      </w:r>
      <w:bookmarkEnd w:id="59"/>
    </w:p>
    <w:p w14:paraId="3AB693D1" w14:textId="77777777" w:rsidR="00A77B3E" w:rsidRDefault="00A77B3E">
      <w:pPr>
        <w:spacing w:before="100"/>
        <w:rPr>
          <w:rFonts w:ascii="TimesNewRoman" w:eastAsia="TimesNewRoman" w:hAnsi="TimesNewRoman" w:cs="TimesNewRoman"/>
          <w:color w:val="000000"/>
        </w:rPr>
        <w:sectPr w:rsidR="00A77B3E">
          <w:headerReference w:type="even" r:id="rId103"/>
          <w:headerReference w:type="default" r:id="rId104"/>
          <w:footerReference w:type="even" r:id="rId105"/>
          <w:footerReference w:type="default" r:id="rId106"/>
          <w:headerReference w:type="first" r:id="rId107"/>
          <w:footerReference w:type="first" r:id="rId108"/>
          <w:pgSz w:w="11906" w:h="16838"/>
          <w:pgMar w:top="720" w:right="936" w:bottom="864" w:left="720" w:header="0" w:footer="72" w:gutter="0"/>
          <w:cols w:space="720"/>
          <w:noEndnote/>
          <w:docGrid w:linePitch="360"/>
        </w:sectPr>
      </w:pPr>
    </w:p>
    <w:p w14:paraId="09517DB7" w14:textId="77777777" w:rsidR="00A77B3E" w:rsidRDefault="00EE0A2B">
      <w:pPr>
        <w:pStyle w:val="Heading1"/>
        <w:spacing w:before="100" w:after="0"/>
        <w:rPr>
          <w:rFonts w:ascii="TimesNewRoman" w:eastAsia="TimesNewRoman" w:hAnsi="TimesNewRoman" w:cs="TimesNewRoman"/>
          <w:b w:val="0"/>
          <w:color w:val="000000"/>
          <w:sz w:val="24"/>
        </w:rPr>
      </w:pPr>
      <w:bookmarkStart w:id="60" w:name="_Toc256000123"/>
      <w:r>
        <w:rPr>
          <w:rFonts w:ascii="TimesNewRoman" w:eastAsia="TimesNewRoman" w:hAnsi="TimesNewRoman" w:cs="TimesNewRoman"/>
          <w:b w:val="0"/>
          <w:color w:val="000000"/>
          <w:sz w:val="24"/>
        </w:rPr>
        <w:lastRenderedPageBreak/>
        <w:t>Приложение 3</w:t>
      </w:r>
      <w:bookmarkEnd w:id="60"/>
    </w:p>
    <w:p w14:paraId="16507F38" w14:textId="77777777" w:rsidR="00A77B3E" w:rsidRDefault="00EE0A2B">
      <w:pPr>
        <w:pStyle w:val="Heading2"/>
        <w:spacing w:before="100" w:after="0"/>
        <w:rPr>
          <w:rFonts w:ascii="TimesNewRoman" w:eastAsia="TimesNewRoman" w:hAnsi="TimesNewRoman" w:cs="TimesNewRoman"/>
          <w:b w:val="0"/>
          <w:i w:val="0"/>
          <w:color w:val="000000"/>
          <w:sz w:val="24"/>
        </w:rPr>
      </w:pPr>
      <w:bookmarkStart w:id="61" w:name="_Toc256000124"/>
      <w:r>
        <w:rPr>
          <w:rFonts w:ascii="TimesNewRoman" w:eastAsia="TimesNewRoman" w:hAnsi="TimesNewRoman" w:cs="TimesNewRoman"/>
          <w:b w:val="0"/>
          <w:i w:val="0"/>
          <w:color w:val="000000"/>
          <w:sz w:val="24"/>
        </w:rPr>
        <w:t xml:space="preserve">Тематичен механизъм (член 11 от Регламента за ФУМИ, член 8 от Регламента за ИУГВП, член 8 от Регламента за </w:t>
      </w:r>
      <w:r w:rsidR="0002372A">
        <w:rPr>
          <w:rFonts w:ascii="TimesNewRoman" w:eastAsia="TimesNewRoman" w:hAnsi="TimesNewRoman" w:cs="TimesNewRoman"/>
          <w:b w:val="0"/>
          <w:i w:val="0"/>
          <w:color w:val="000000"/>
          <w:sz w:val="24"/>
        </w:rPr>
        <w:t>ФВС</w:t>
      </w:r>
      <w:r>
        <w:rPr>
          <w:rFonts w:ascii="TimesNewRoman" w:eastAsia="TimesNewRoman" w:hAnsi="TimesNewRoman" w:cs="TimesNewRoman"/>
          <w:b w:val="0"/>
          <w:i w:val="0"/>
          <w:color w:val="000000"/>
          <w:sz w:val="24"/>
        </w:rPr>
        <w:t>)</w:t>
      </w:r>
      <w:bookmarkEnd w:id="61"/>
    </w:p>
    <w:p w14:paraId="292D417D" w14:textId="77777777" w:rsidR="00A77B3E" w:rsidRDefault="00A77B3E">
      <w:pPr>
        <w:spacing w:before="100"/>
        <w:rPr>
          <w:rFonts w:ascii="TimesNewRoman" w:eastAsia="TimesNewRoman" w:hAnsi="TimesNewRoman" w:cs="TimesNewRoman"/>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6"/>
        <w:gridCol w:w="2740"/>
        <w:gridCol w:w="1904"/>
        <w:gridCol w:w="4875"/>
        <w:gridCol w:w="2667"/>
      </w:tblGrid>
      <w:tr w:rsidR="00723994" w14:paraId="2259348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363073"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Справка за процедурата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ED9606"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Версия на програмата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A153BF"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Статус</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16B1FC"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Дата на приемане/отхвърляне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B6E418"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Коментари</w:t>
            </w:r>
          </w:p>
        </w:tc>
      </w:tr>
      <w:tr w:rsidR="00723994" w14:paraId="4DA14DF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3FECCA"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C(2022)8340 - 23 ноември 2022 г. - 4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6BD680"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5.0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10D388"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Прието</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8FB284"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2 юли 2025 г.</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C04EF1" w14:textId="77777777" w:rsidR="00A77B3E" w:rsidRDefault="00A77B3E">
            <w:pPr>
              <w:spacing w:before="100"/>
              <w:rPr>
                <w:rFonts w:ascii="TimesNewRoman" w:eastAsia="TimesNewRoman" w:hAnsi="TimesNewRoman" w:cs="TimesNewRoman"/>
                <w:color w:val="000000"/>
                <w:sz w:val="16"/>
              </w:rPr>
            </w:pPr>
          </w:p>
        </w:tc>
      </w:tr>
      <w:tr w:rsidR="00723994" w14:paraId="6957A231" w14:textId="77777777">
        <w:tc>
          <w:tcPr>
            <w:tcW w:w="0" w:type="dxa"/>
            <w:gridSpan w:val="5"/>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39C5F7" w14:textId="77777777" w:rsidR="00A77B3E" w:rsidRDefault="00A77B3E">
            <w:pPr>
              <w:spacing w:before="100"/>
              <w:rPr>
                <w:rFonts w:ascii="TimesNewRoman" w:eastAsia="TimesNewRoman" w:hAnsi="TimesNewRoman" w:cs="TimesNewRoman"/>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542"/>
              <w:gridCol w:w="2286"/>
              <w:gridCol w:w="1473"/>
              <w:gridCol w:w="2626"/>
              <w:gridCol w:w="3847"/>
            </w:tblGrid>
            <w:tr w:rsidR="00723994" w14:paraId="23C60EA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36C7385" w14:textId="77777777" w:rsidR="00A77B3E" w:rsidRDefault="00EE0A2B">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Специфична цел</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298602C" w14:textId="77777777" w:rsidR="00A77B3E" w:rsidRDefault="00EE0A2B">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Модалност</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AAE744A" w14:textId="77777777" w:rsidR="00A77B3E" w:rsidRDefault="00EE0A2B">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Вид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1B021E8" w14:textId="77777777" w:rsidR="00A77B3E" w:rsidRDefault="00EE0A2B">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Принос на Съюза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D11B81F" w14:textId="77777777" w:rsidR="00A77B3E" w:rsidRDefault="00EE0A2B">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Процент на предварително финансиране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BD13408" w14:textId="77777777" w:rsidR="00A77B3E" w:rsidRDefault="00EE0A2B">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Описание на действието</w:t>
                  </w:r>
                </w:p>
              </w:tc>
            </w:tr>
            <w:tr w:rsidR="00723994" w14:paraId="67E3F61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2C8D9D"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1. ОЕСУ</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415FF4"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Пактът и специфичните действия за Украйна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0AFC05"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xml:space="preserve">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730EA7"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32 021 798,11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05F768" w14:textId="77777777" w:rsidR="00A77B3E" w:rsidRDefault="00A77B3E">
                  <w:pPr>
                    <w:spacing w:before="100"/>
                    <w:jc w:val="right"/>
                    <w:rPr>
                      <w:rFonts w:ascii="TimesNewRoman" w:eastAsia="TimesNewRoman" w:hAnsi="TimesNewRoman" w:cs="TimesNewRoman"/>
                      <w:color w:val="000000"/>
                      <w:sz w:val="16"/>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F12958"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Това специфично действие ще допринесе за СЦ1 за подобряване на условията на прием чрез създаване на два нови центъра от затворен тип, включително един, който ще се използва за процедури по предоставяне на убежище на границата, и обновяване на съществуващите съоръжения. Ще бъдат закупени и оборудване и превозни средства за процедурите по предоставяне на убежище.</w:t>
                  </w:r>
                </w:p>
                <w:p w14:paraId="41CC09A2"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В рамките на градивен блок 1:</w:t>
                  </w:r>
                </w:p>
                <w:p w14:paraId="4B9A5E92"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xml:space="preserve">- </w:t>
                  </w:r>
                  <w:r>
                    <w:rPr>
                      <w:rFonts w:ascii="TimesNewRoman" w:eastAsia="TimesNewRoman" w:hAnsi="TimesNewRoman" w:cs="TimesNewRoman"/>
                      <w:color w:val="000000"/>
                      <w:sz w:val="16"/>
                    </w:rPr>
                    <w:tab/>
                    <w:t>Доставка на 16 бр. биометрични станции (LiveScan) и 16 бр. клиентски станции Eurodac.</w:t>
                  </w:r>
                </w:p>
                <w:p w14:paraId="7C2AF541"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В рамките на градивен блок 2:</w:t>
                  </w:r>
                </w:p>
                <w:p w14:paraId="170FC63C"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Това ще включва следните дейности:</w:t>
                  </w:r>
                </w:p>
                <w:p w14:paraId="5334BCF2"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xml:space="preserve">- </w:t>
                  </w:r>
                  <w:r>
                    <w:rPr>
                      <w:rFonts w:ascii="TimesNewRoman" w:eastAsia="TimesNewRoman" w:hAnsi="TimesNewRoman" w:cs="TimesNewRoman"/>
                      <w:color w:val="000000"/>
                      <w:sz w:val="16"/>
                    </w:rPr>
                    <w:tab/>
                    <w:t>Изграждане и оборудване на затворен център в Транзитния център Пастрогор с капацитет до 400 нови места за процедурата по убежище на границата.</w:t>
                  </w:r>
                </w:p>
                <w:p w14:paraId="29415EE4"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В рамките на градивен блок 3:</w:t>
                  </w:r>
                </w:p>
                <w:p w14:paraId="4BE21589"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xml:space="preserve">- </w:t>
                  </w:r>
                  <w:r>
                    <w:rPr>
                      <w:rFonts w:ascii="TimesNewRoman" w:eastAsia="TimesNewRoman" w:hAnsi="TimesNewRoman" w:cs="TimesNewRoman"/>
                      <w:color w:val="000000"/>
                      <w:sz w:val="16"/>
                    </w:rPr>
                    <w:tab/>
                    <w:t>Изграждане и оборудване на Затворен център в кв. Бусманци, гр. София с капацитет до 400 места.</w:t>
                  </w:r>
                </w:p>
                <w:p w14:paraId="3B611843"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xml:space="preserve">- </w:t>
                  </w:r>
                  <w:r>
                    <w:rPr>
                      <w:rFonts w:ascii="TimesNewRoman" w:eastAsia="TimesNewRoman" w:hAnsi="TimesNewRoman" w:cs="TimesNewRoman"/>
                      <w:color w:val="000000"/>
                      <w:sz w:val="16"/>
                    </w:rPr>
                    <w:tab/>
                    <w:t>Ремонт, реконструкция и реставрация на сгради в Регистрационно-приемателния център в град Харманли, РРЦ в град София във Воена рампа, Враждебна и Овча купел и в Транзитния център в Пъстрогор.</w:t>
                  </w:r>
                </w:p>
                <w:p w14:paraId="16ECA6F9"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xml:space="preserve">- </w:t>
                  </w:r>
                  <w:r>
                    <w:rPr>
                      <w:rFonts w:ascii="TimesNewRoman" w:eastAsia="TimesNewRoman" w:hAnsi="TimesNewRoman" w:cs="TimesNewRoman"/>
                      <w:color w:val="000000"/>
                      <w:sz w:val="16"/>
                    </w:rPr>
                    <w:tab/>
                    <w:t>Финансиране за подобряване на сигурността на центровете за търсене и спасяване – 12 месеца.</w:t>
                  </w:r>
                </w:p>
                <w:p w14:paraId="0FCE4FC3"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xml:space="preserve">- </w:t>
                  </w:r>
                  <w:r>
                    <w:rPr>
                      <w:rFonts w:ascii="TimesNewRoman" w:eastAsia="TimesNewRoman" w:hAnsi="TimesNewRoman" w:cs="TimesNewRoman"/>
                      <w:color w:val="000000"/>
                      <w:sz w:val="16"/>
                    </w:rPr>
                    <w:tab/>
                    <w:t>Доставка на превозни средства за Държавната агенция за бежанците.</w:t>
                  </w:r>
                </w:p>
                <w:p w14:paraId="78D6B33E"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В рамките на градивен блок 4:</w:t>
                  </w:r>
                </w:p>
                <w:p w14:paraId="5FA755B2"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lastRenderedPageBreak/>
                    <w:t>Доставка на 16 броя технически средства за откриване на фалшифицирани и преправени документи.</w:t>
                  </w:r>
                </w:p>
                <w:p w14:paraId="318F7764" w14:textId="77777777" w:rsidR="00A77B3E" w:rsidRDefault="00A77B3E">
                  <w:pPr>
                    <w:spacing w:before="100"/>
                    <w:rPr>
                      <w:rFonts w:ascii="TimesNewRoman" w:eastAsia="TimesNewRoman" w:hAnsi="TimesNewRoman" w:cs="TimesNewRoman"/>
                      <w:color w:val="000000"/>
                      <w:sz w:val="16"/>
                    </w:rPr>
                  </w:pPr>
                </w:p>
              </w:tc>
            </w:tr>
            <w:tr w:rsidR="00723994" w14:paraId="17AE636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65BEFB"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lastRenderedPageBreak/>
                    <w:t>3. Връщане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5C741B"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Пактът и специфичните действия за Украйна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DF103F"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xml:space="preserve">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7EEBAC"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4 410 000,00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23F476" w14:textId="77777777" w:rsidR="00A77B3E" w:rsidRDefault="00A77B3E">
                  <w:pPr>
                    <w:spacing w:before="100"/>
                    <w:jc w:val="right"/>
                    <w:rPr>
                      <w:rFonts w:ascii="TimesNewRoman" w:eastAsia="TimesNewRoman" w:hAnsi="TimesNewRoman" w:cs="TimesNewRoman"/>
                      <w:color w:val="000000"/>
                      <w:sz w:val="16"/>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661794"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Това специфично действие ще допринесе за СЦ3 за подобряване на управлението на връщането в България.</w:t>
                  </w:r>
                </w:p>
                <w:p w14:paraId="63A351E5"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В рамките на градивен блок 5:</w:t>
                  </w:r>
                </w:p>
                <w:p w14:paraId="0B89A2D3"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xml:space="preserve">- </w:t>
                  </w:r>
                  <w:r>
                    <w:rPr>
                      <w:rFonts w:ascii="TimesNewRoman" w:eastAsia="TimesNewRoman" w:hAnsi="TimesNewRoman" w:cs="TimesNewRoman"/>
                      <w:color w:val="000000"/>
                      <w:sz w:val="16"/>
                    </w:rPr>
                    <w:tab/>
                    <w:t>Ще бъде създаден център за управление на завръщането. Центърът ще служи както като административно, така и като оперативно звено.</w:t>
                  </w:r>
                </w:p>
                <w:p w14:paraId="3A3829F5"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xml:space="preserve">- </w:t>
                  </w:r>
                  <w:r>
                    <w:rPr>
                      <w:rFonts w:ascii="TimesNewRoman" w:eastAsia="TimesNewRoman" w:hAnsi="TimesNewRoman" w:cs="TimesNewRoman"/>
                      <w:color w:val="000000"/>
                      <w:sz w:val="16"/>
                    </w:rPr>
                    <w:tab/>
                    <w:t>Подобряване на техническия капацитет за ефективно прилагане на процедурите за връщане - доставка на 14 превозни средства.</w:t>
                  </w:r>
                </w:p>
              </w:tc>
            </w:tr>
            <w:tr w:rsidR="00723994" w14:paraId="048D550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2890F5"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TA.36(5). Техническа помощ - фиксирана ставка (чл. 36(5) от CPR)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4DCA5D"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xml:space="preserve">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5936F1"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xml:space="preserve">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9D7745"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2 185 907,89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F562FD" w14:textId="77777777" w:rsidR="00A77B3E" w:rsidRDefault="00A77B3E">
                  <w:pPr>
                    <w:spacing w:before="100"/>
                    <w:jc w:val="right"/>
                    <w:rPr>
                      <w:rFonts w:ascii="TimesNewRoman" w:eastAsia="TimesNewRoman" w:hAnsi="TimesNewRoman" w:cs="TimesNewRoman"/>
                      <w:color w:val="000000"/>
                      <w:sz w:val="16"/>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E36458"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Увеличение на техническата помощ (6%), произтичащо от: Специфични действия за подкрепа на държавите членки при прилагането на Пакта за миграция и убежище (принос на ЕС 38 617 706 евро, включително техническа помощ).</w:t>
                  </w:r>
                </w:p>
              </w:tc>
            </w:tr>
          </w:tbl>
          <w:p w14:paraId="3D044F01" w14:textId="77777777" w:rsidR="00A77B3E" w:rsidRDefault="00A77B3E">
            <w:pPr>
              <w:spacing w:before="100"/>
              <w:rPr>
                <w:rFonts w:ascii="TimesNewRoman" w:eastAsia="TimesNewRoman" w:hAnsi="TimesNewRoman" w:cs="TimesNewRoman"/>
                <w:color w:val="000000"/>
                <w:sz w:val="16"/>
              </w:rPr>
            </w:pPr>
          </w:p>
        </w:tc>
      </w:tr>
    </w:tbl>
    <w:p w14:paraId="61F620EB" w14:textId="77777777" w:rsidR="00A77B3E" w:rsidRDefault="00A77B3E">
      <w:pPr>
        <w:spacing w:before="100"/>
        <w:rPr>
          <w:rFonts w:ascii="TimesNewRoman" w:eastAsia="TimesNewRoman" w:hAnsi="TimesNewRoman" w:cs="TimesNewRoman"/>
          <w:color w:val="000000"/>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4"/>
        <w:gridCol w:w="2741"/>
        <w:gridCol w:w="1905"/>
        <w:gridCol w:w="4875"/>
        <w:gridCol w:w="2667"/>
      </w:tblGrid>
      <w:tr w:rsidR="00723994" w14:paraId="6D88972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59BF86"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Справка за процедурата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153D97"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Версия на програмата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E88F63"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Статус</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D1B863"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Дата на приемане/отхвърляне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9B6544"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Коментари</w:t>
            </w:r>
          </w:p>
        </w:tc>
      </w:tr>
      <w:tr w:rsidR="00723994" w14:paraId="00607DC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1A9406"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C(2022)8340 - 23 ноември 2022 г. - 3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AD6527"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3.0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0E3AC6"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Прието</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F17AD9"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4 февруари 2025 г.</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02A42A" w14:textId="77777777" w:rsidR="00A77B3E" w:rsidRDefault="00A77B3E">
            <w:pPr>
              <w:spacing w:before="100"/>
              <w:rPr>
                <w:rFonts w:ascii="TimesNewRoman" w:eastAsia="TimesNewRoman" w:hAnsi="TimesNewRoman" w:cs="TimesNewRoman"/>
                <w:color w:val="000000"/>
                <w:sz w:val="16"/>
              </w:rPr>
            </w:pPr>
          </w:p>
        </w:tc>
      </w:tr>
      <w:tr w:rsidR="00723994" w14:paraId="426BC189" w14:textId="77777777">
        <w:tc>
          <w:tcPr>
            <w:tcW w:w="0" w:type="dxa"/>
            <w:gridSpan w:val="5"/>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C52C2F" w14:textId="77777777" w:rsidR="00A77B3E" w:rsidRDefault="00A77B3E">
            <w:pPr>
              <w:spacing w:before="100"/>
              <w:rPr>
                <w:rFonts w:ascii="TimesNewRoman" w:eastAsia="TimesNewRoman" w:hAnsi="TimesNewRoman" w:cs="TimesNewRoman"/>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3"/>
              <w:gridCol w:w="2131"/>
              <w:gridCol w:w="2392"/>
              <w:gridCol w:w="1542"/>
              <w:gridCol w:w="2747"/>
              <w:gridCol w:w="3857"/>
            </w:tblGrid>
            <w:tr w:rsidR="00723994" w14:paraId="0060E56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73CCAEE" w14:textId="77777777" w:rsidR="00A77B3E" w:rsidRDefault="00EE0A2B">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Специфична цел</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24202FF" w14:textId="77777777" w:rsidR="00A77B3E" w:rsidRDefault="00EE0A2B">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Модалност</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979D843" w14:textId="77777777" w:rsidR="00A77B3E" w:rsidRDefault="00EE0A2B">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Вид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26A6446" w14:textId="77777777" w:rsidR="00A77B3E" w:rsidRDefault="00EE0A2B">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Принос на Съюза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695946A" w14:textId="77777777" w:rsidR="00A77B3E" w:rsidRDefault="00EE0A2B">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Процент на предварително финансиране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36B8F2F" w14:textId="77777777" w:rsidR="00A77B3E" w:rsidRDefault="00EE0A2B">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Описание на действието</w:t>
                  </w:r>
                </w:p>
              </w:tc>
            </w:tr>
            <w:tr w:rsidR="00723994" w14:paraId="6E41D6A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4D667A"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3. Връщане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6129CA"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Конкретни действия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8D1FF2"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xml:space="preserve">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0F6086"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3 123 972,00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F6FE2D" w14:textId="77777777" w:rsidR="00A77B3E" w:rsidRDefault="00A77B3E">
                  <w:pPr>
                    <w:spacing w:before="100"/>
                    <w:jc w:val="right"/>
                    <w:rPr>
                      <w:rFonts w:ascii="TimesNewRoman" w:eastAsia="TimesNewRoman" w:hAnsi="TimesNewRoman" w:cs="TimesNewRoman"/>
                      <w:color w:val="000000"/>
                      <w:sz w:val="16"/>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81C3D0"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Специфично действие ФУМИ/2024/SA/3.3.1 има за цел да подобри съществуващата система за връщане в България чрез подобряване на функционирането на системата от консултанти по връщане, които да предоставят навременна, точна и надеждна информация на граждани на трети страни. Проектът има за цел (а) наемане и обучение на допълнителни 15 консултанти, които не само ще предоставят необходимата правна и административна подкрепа на граждани на трети страни, но и ще повишат осведомеността относно възможностите за доброволно връщане, и (б) предоставяне на намаляваща парична помощ на поне 1300 граждани на трети страни в приемни центрове и помещения за настаняване от затворен тип.</w:t>
                  </w:r>
                </w:p>
              </w:tc>
            </w:tr>
            <w:tr w:rsidR="00723994" w14:paraId="262E020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D3D70C"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TA.36(5). Техническа помощ - фиксирана ставка (чл. 36(5) от CPR)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EDCB3D"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xml:space="preserve">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9AC1F1"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xml:space="preserve">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0F3222"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187 438,32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033EA8" w14:textId="77777777" w:rsidR="00A77B3E" w:rsidRDefault="00A77B3E">
                  <w:pPr>
                    <w:spacing w:before="100"/>
                    <w:jc w:val="right"/>
                    <w:rPr>
                      <w:rFonts w:ascii="TimesNewRoman" w:eastAsia="TimesNewRoman" w:hAnsi="TimesNewRoman" w:cs="TimesNewRoman"/>
                      <w:color w:val="000000"/>
                      <w:sz w:val="16"/>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879A10"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Техническа помощ</w:t>
                  </w:r>
                </w:p>
              </w:tc>
            </w:tr>
          </w:tbl>
          <w:p w14:paraId="4E0F7797" w14:textId="77777777" w:rsidR="00A77B3E" w:rsidRDefault="00A77B3E">
            <w:pPr>
              <w:spacing w:before="100"/>
              <w:rPr>
                <w:rFonts w:ascii="TimesNewRoman" w:eastAsia="TimesNewRoman" w:hAnsi="TimesNewRoman" w:cs="TimesNewRoman"/>
                <w:color w:val="000000"/>
                <w:sz w:val="16"/>
              </w:rPr>
            </w:pPr>
          </w:p>
        </w:tc>
      </w:tr>
    </w:tbl>
    <w:p w14:paraId="3AEC6AE7" w14:textId="77777777" w:rsidR="00A77B3E" w:rsidRDefault="00A77B3E">
      <w:pPr>
        <w:spacing w:before="100"/>
        <w:rPr>
          <w:rFonts w:ascii="TimesNewRoman" w:eastAsia="TimesNewRoman" w:hAnsi="TimesNewRoman" w:cs="TimesNewRoman"/>
          <w:color w:val="000000"/>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6"/>
        <w:gridCol w:w="2741"/>
        <w:gridCol w:w="1904"/>
        <w:gridCol w:w="4874"/>
        <w:gridCol w:w="2667"/>
      </w:tblGrid>
      <w:tr w:rsidR="00723994" w14:paraId="26CB26C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CDFA5C"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Справка за процедурата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0A581D"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Версия на програмата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E32F53"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Статус</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9B2E16"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Дата на приемане/отхвърляне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43DEE7"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Коментари</w:t>
            </w:r>
          </w:p>
        </w:tc>
      </w:tr>
      <w:tr w:rsidR="00723994" w14:paraId="3D5D829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9A5DA1"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C(2022)8340 - 23 ноември 2022 г. - 2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06C712"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2.0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0FF8B8"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Прието</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C59C5C"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19 януари 2024 г.</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0C5674" w14:textId="77777777" w:rsidR="00A77B3E" w:rsidRDefault="00A77B3E">
            <w:pPr>
              <w:spacing w:before="100"/>
              <w:rPr>
                <w:rFonts w:ascii="TimesNewRoman" w:eastAsia="TimesNewRoman" w:hAnsi="TimesNewRoman" w:cs="TimesNewRoman"/>
                <w:color w:val="000000"/>
                <w:sz w:val="16"/>
              </w:rPr>
            </w:pPr>
          </w:p>
        </w:tc>
      </w:tr>
      <w:tr w:rsidR="00723994" w14:paraId="4B22DAA3" w14:textId="77777777">
        <w:tc>
          <w:tcPr>
            <w:tcW w:w="0" w:type="dxa"/>
            <w:gridSpan w:val="5"/>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67F4FC" w14:textId="77777777" w:rsidR="00A77B3E" w:rsidRDefault="00A77B3E">
            <w:pPr>
              <w:spacing w:before="100"/>
              <w:rPr>
                <w:rFonts w:ascii="TimesNewRoman" w:eastAsia="TimesNewRoman" w:hAnsi="TimesNewRoman" w:cs="TimesNewRoman"/>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2352"/>
              <w:gridCol w:w="2226"/>
              <w:gridCol w:w="1434"/>
              <w:gridCol w:w="2556"/>
              <w:gridCol w:w="4198"/>
            </w:tblGrid>
            <w:tr w:rsidR="00723994" w14:paraId="2A62354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A2E335F" w14:textId="77777777" w:rsidR="00A77B3E" w:rsidRDefault="00EE0A2B">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Специфична цел</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975BCD2" w14:textId="77777777" w:rsidR="00A77B3E" w:rsidRDefault="00EE0A2B">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Модалност</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4D9A121" w14:textId="77777777" w:rsidR="00A77B3E" w:rsidRDefault="00EE0A2B">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Вид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C07247C" w14:textId="77777777" w:rsidR="00A77B3E" w:rsidRDefault="00EE0A2B">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Принос на Съюза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90F9D69" w14:textId="77777777" w:rsidR="00A77B3E" w:rsidRDefault="00EE0A2B">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Процент на предварително финансиране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716A26F" w14:textId="77777777" w:rsidR="00A77B3E" w:rsidRDefault="00EE0A2B">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Описание на действието</w:t>
                  </w:r>
                </w:p>
              </w:tc>
            </w:tr>
            <w:tr w:rsidR="00723994" w14:paraId="2089500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A273B5"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1. ОЕСУ</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3D9FDA"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Конкретни действия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2A3168"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xml:space="preserve">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B63A00"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12 025 436,79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DBD5F5" w14:textId="77777777" w:rsidR="00A77B3E" w:rsidRDefault="00A77B3E">
                  <w:pPr>
                    <w:spacing w:before="100"/>
                    <w:jc w:val="right"/>
                    <w:rPr>
                      <w:rFonts w:ascii="TimesNewRoman" w:eastAsia="TimesNewRoman" w:hAnsi="TimesNewRoman" w:cs="TimesNewRoman"/>
                      <w:color w:val="000000"/>
                      <w:sz w:val="16"/>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AC0E8A"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ФУМИ/2023/SA/1.2.1/10</w:t>
                  </w:r>
                </w:p>
                <w:p w14:paraId="43B6AB9C"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Действието има за цел да създаде и поддържа алтернативни възможности за грижа за непълнолетни деца в България.</w:t>
                  </w:r>
                </w:p>
                <w:p w14:paraId="51E25397"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и ще подпомогне тяхното приобщаване и адаптация в местното общество и извън приемащата среда</w:t>
                  </w:r>
                </w:p>
                <w:p w14:paraId="72ADB27A"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центрове. Първата фаза на проекта ще се фокусира върху продължаването на подкрепата и</w:t>
                  </w:r>
                </w:p>
                <w:p w14:paraId="0CA4DE5F"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предоставяне на специализирани грижи за неподготвени лица в установените две зони за безопасност в щата</w:t>
                  </w:r>
                </w:p>
                <w:p w14:paraId="2BF3934B"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Регистрационни и приемателни центрове (РПЦ) на Агенцията за бежанците (ДАБ) в София –</w:t>
                  </w:r>
                </w:p>
                <w:p w14:paraId="3A66613D"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Военна Рампа и Овча Купел, както и създаването и управлението на трета</w:t>
                  </w:r>
                </w:p>
                <w:p w14:paraId="04AD3575"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Зона за безопасност за невъзможни лица в RRC Харманли. Втората фаза на проекта ще се фокусира върху</w:t>
                  </w:r>
                </w:p>
                <w:p w14:paraId="03E88A3F"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задълбочена работа с непълнолетните ученици, за да ги подготви за прехода и настаняването им в</w:t>
                  </w:r>
                </w:p>
                <w:p w14:paraId="0B0C43F8"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алтернативни грижи извън Приемния център. Специализиран екип от експерти</w:t>
                  </w:r>
                </w:p>
                <w:p w14:paraId="70983398"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(социални работници, психолози, преводачи) ще осигурят необходимия достъп до адекватни и</w:t>
                  </w:r>
                </w:p>
                <w:p w14:paraId="1A003865"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навременна грижа и социална закрила за непълнолетните деца, основани на методи, подходящи за децата, включително</w:t>
                  </w:r>
                </w:p>
                <w:p w14:paraId="15803D02"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чрез предоставяне на психосоциална подкрепа, интервенции, свързани с интеграцията (особено по отношение на</w:t>
                  </w:r>
                </w:p>
                <w:p w14:paraId="73B11FAF"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достъп до образование, заетост и възможности за умения за учене през целия живот); здравеопазване</w:t>
                  </w:r>
                </w:p>
                <w:p w14:paraId="6D1971FC"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основни умения за насърчаване и превенция на заболяванията. Третата и последна фаза ще се фокусира върху</w:t>
                  </w:r>
                </w:p>
                <w:p w14:paraId="0436C2AB"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създаване и осигуряване на устойчивост на алтернативните схеми за грижа за</w:t>
                  </w:r>
                </w:p>
                <w:p w14:paraId="43D6BFCF"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Неуспешно подпомагани лица в 6 различни населени места.</w:t>
                  </w:r>
                </w:p>
              </w:tc>
            </w:tr>
            <w:tr w:rsidR="00723994" w14:paraId="1A325CD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D0D31F"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lastRenderedPageBreak/>
                    <w:t>2. Легална миграция и интеграция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402248"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Конкретни действия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6FEBB7"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xml:space="preserve">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B290DC"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11 024 365,90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6C4FC5" w14:textId="77777777" w:rsidR="00A77B3E" w:rsidRDefault="00A77B3E">
                  <w:pPr>
                    <w:spacing w:before="100"/>
                    <w:jc w:val="right"/>
                    <w:rPr>
                      <w:rFonts w:ascii="TimesNewRoman" w:eastAsia="TimesNewRoman" w:hAnsi="TimesNewRoman" w:cs="TimesNewRoman"/>
                      <w:color w:val="000000"/>
                      <w:sz w:val="16"/>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3CF82F"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ФУМИ/2023/SA/1.2.3/05</w:t>
                  </w:r>
                </w:p>
                <w:p w14:paraId="5409DEB7"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Целта на действието „Подкрепа за интеграция на бежанци от Украйна“</w:t>
                  </w:r>
                </w:p>
                <w:p w14:paraId="19B202CD"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(ФУМИ/2023/SA/123/05), ръководен от МОМ България в сътрудничество с Каритас България, е</w:t>
                  </w:r>
                </w:p>
                <w:p w14:paraId="5D2230A9"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да предложи цялостен многосекторен подход за подкрепа. Това включва улесняване на достъпа до</w:t>
                  </w:r>
                </w:p>
                <w:p w14:paraId="03B1BA76"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основни услуги като здравеопазване, образование и социални грижи; осигуряване на подкрепа за препитание,</w:t>
                  </w:r>
                </w:p>
                <w:p w14:paraId="544AE608"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кариерно ориентиране, развитие на умения, грижи за деца и езикови курсове; и подобряване</w:t>
                  </w:r>
                </w:p>
                <w:p w14:paraId="58679E57"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капацитет на централните и местните власти.</w:t>
                  </w:r>
                </w:p>
              </w:tc>
            </w:tr>
            <w:tr w:rsidR="00723994" w14:paraId="709654D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20EA98"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4. Солидарност</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D48311"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Презаселване и хуманитарен прием</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B4DF58"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xml:space="preserve">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E90757"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250 000,00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CB5C50" w14:textId="77777777" w:rsidR="00A77B3E" w:rsidRDefault="00A77B3E">
                  <w:pPr>
                    <w:spacing w:before="100"/>
                    <w:jc w:val="right"/>
                    <w:rPr>
                      <w:rFonts w:ascii="TimesNewRoman" w:eastAsia="TimesNewRoman" w:hAnsi="TimesNewRoman" w:cs="TimesNewRoman"/>
                      <w:color w:val="000000"/>
                      <w:sz w:val="16"/>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A13C63"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ФУМИ TF - Презаселване и хуманитарно приемане (чл. 19 от Регламент ФУМИ)</w:t>
                  </w:r>
                </w:p>
              </w:tc>
            </w:tr>
            <w:tr w:rsidR="00723994" w14:paraId="04722D1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41A2C2"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TA.36(5). Техническа помощ - фиксирана ставка (чл. 36(5) от CPR)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0DC09F"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xml:space="preserve">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A36CEE"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xml:space="preserve">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969FC8"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1 397 988,17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7C93C7" w14:textId="77777777" w:rsidR="00A77B3E" w:rsidRDefault="00A77B3E">
                  <w:pPr>
                    <w:spacing w:before="100"/>
                    <w:jc w:val="right"/>
                    <w:rPr>
                      <w:rFonts w:ascii="TimesNewRoman" w:eastAsia="TimesNewRoman" w:hAnsi="TimesNewRoman" w:cs="TimesNewRoman"/>
                      <w:color w:val="000000"/>
                      <w:sz w:val="16"/>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3DDDC8"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TA - Техническа помощ на ФУМИ/2023/SA/1.2.1/10, ФУМИ/2023/SA/123/05 и презаселване.</w:t>
                  </w:r>
                </w:p>
              </w:tc>
            </w:tr>
          </w:tbl>
          <w:p w14:paraId="2B392A92" w14:textId="77777777" w:rsidR="00A77B3E" w:rsidRDefault="00A77B3E">
            <w:pPr>
              <w:spacing w:before="100"/>
              <w:rPr>
                <w:rFonts w:ascii="TimesNewRoman" w:eastAsia="TimesNewRoman" w:hAnsi="TimesNewRoman" w:cs="TimesNewRoman"/>
                <w:color w:val="000000"/>
                <w:sz w:val="16"/>
              </w:rPr>
            </w:pPr>
          </w:p>
        </w:tc>
      </w:tr>
    </w:tbl>
    <w:p w14:paraId="132A7084" w14:textId="77777777" w:rsidR="00A77B3E" w:rsidRDefault="00A77B3E">
      <w:pPr>
        <w:spacing w:before="100"/>
        <w:rPr>
          <w:rFonts w:ascii="TimesNewRoman" w:eastAsia="TimesNewRoman" w:hAnsi="TimesNewRoman" w:cs="TimesNewRoman"/>
          <w:color w:val="000000"/>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1"/>
        <w:gridCol w:w="2663"/>
        <w:gridCol w:w="1851"/>
        <w:gridCol w:w="4737"/>
        <w:gridCol w:w="3020"/>
      </w:tblGrid>
      <w:tr w:rsidR="00723994" w14:paraId="4A5CA90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2B2E80"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Справка за процедурата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A3C755"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Версия на програмата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22D1C2"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Статус</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D5DD0F"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Дата на приемане/отхвърляне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8E83A1"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Коментари</w:t>
            </w:r>
          </w:p>
        </w:tc>
      </w:tr>
      <w:tr w:rsidR="00723994" w14:paraId="0332AA6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CC6C52"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C(2022)8340 - 23 ноември 2022 г. - 1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646147"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F4B250"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Прието</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6998E0"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2 май 2023 г.</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1AC635"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Направените промени изискват промени само в показателите за резултата.</w:t>
            </w:r>
          </w:p>
        </w:tc>
      </w:tr>
      <w:tr w:rsidR="00723994" w14:paraId="61287FE6" w14:textId="77777777">
        <w:tc>
          <w:tcPr>
            <w:tcW w:w="0" w:type="dxa"/>
            <w:gridSpan w:val="5"/>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C038BD" w14:textId="77777777" w:rsidR="00A77B3E" w:rsidRDefault="00A77B3E">
            <w:pPr>
              <w:spacing w:before="100"/>
              <w:rPr>
                <w:rFonts w:ascii="TimesNewRoman" w:eastAsia="TimesNewRoman" w:hAnsi="TimesNewRoman" w:cs="TimesNewRoman"/>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4"/>
              <w:gridCol w:w="2681"/>
              <w:gridCol w:w="2537"/>
              <w:gridCol w:w="1635"/>
              <w:gridCol w:w="2914"/>
              <w:gridCol w:w="2681"/>
            </w:tblGrid>
            <w:tr w:rsidR="00723994" w14:paraId="30988FC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E4D8626" w14:textId="77777777" w:rsidR="00A77B3E" w:rsidRDefault="00EE0A2B">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Специфична цел</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F204855" w14:textId="77777777" w:rsidR="00A77B3E" w:rsidRDefault="00EE0A2B">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Модалност</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483A758" w14:textId="77777777" w:rsidR="00A77B3E" w:rsidRDefault="00EE0A2B">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Вид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9B792DD" w14:textId="77777777" w:rsidR="00A77B3E" w:rsidRDefault="00EE0A2B">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Принос на Съюза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28A1575" w14:textId="77777777" w:rsidR="00A77B3E" w:rsidRDefault="00EE0A2B">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Процент на предварително финансиране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665F5EF" w14:textId="77777777" w:rsidR="00A77B3E" w:rsidRDefault="00EE0A2B">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Описание на действието</w:t>
                  </w:r>
                </w:p>
              </w:tc>
            </w:tr>
            <w:tr w:rsidR="00723994" w14:paraId="6FA870F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D11A89"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4. Солидарност</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F3F806"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Презаселване и хуманитарен прием</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7EDA7E"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xml:space="preserve">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90E538"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250 000,00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B68032" w14:textId="77777777" w:rsidR="00A77B3E" w:rsidRDefault="00A77B3E">
                  <w:pPr>
                    <w:spacing w:before="100"/>
                    <w:jc w:val="right"/>
                    <w:rPr>
                      <w:rFonts w:ascii="TimesNewRoman" w:eastAsia="TimesNewRoman" w:hAnsi="TimesNewRoman" w:cs="TimesNewRoman"/>
                      <w:color w:val="000000"/>
                      <w:sz w:val="16"/>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60B264"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ФУМИ TF - Презаселване и хуманитарно приемане (чл. 19 от Регламент ФУМИ)</w:t>
                  </w:r>
                </w:p>
              </w:tc>
            </w:tr>
            <w:tr w:rsidR="00723994" w14:paraId="4460B9D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023D8C"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TA.36(5). Техническа помощ - фиксирана ставка (чл. 36(5) от CPR)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FFF5E7"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xml:space="preserve">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899B26"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xml:space="preserve">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11E0F0" w14:textId="77777777" w:rsidR="00A77B3E" w:rsidRDefault="00EE0A2B">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15 000,00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EF32C1" w14:textId="77777777" w:rsidR="00A77B3E" w:rsidRDefault="00A77B3E">
                  <w:pPr>
                    <w:spacing w:before="100"/>
                    <w:jc w:val="right"/>
                    <w:rPr>
                      <w:rFonts w:ascii="TimesNewRoman" w:eastAsia="TimesNewRoman" w:hAnsi="TimesNewRoman" w:cs="TimesNewRoman"/>
                      <w:color w:val="000000"/>
                      <w:sz w:val="16"/>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7AC83E" w14:textId="77777777" w:rsidR="00A77B3E" w:rsidRDefault="00EE0A2B">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Техническа помощ по ФУМИ - Презаселване и хуманитарен прием (член 19 от Регламента за ФУМИ)</w:t>
                  </w:r>
                </w:p>
              </w:tc>
            </w:tr>
          </w:tbl>
          <w:p w14:paraId="4DC6DD66" w14:textId="77777777" w:rsidR="00A77B3E" w:rsidRDefault="00A77B3E">
            <w:pPr>
              <w:spacing w:before="100"/>
              <w:rPr>
                <w:rFonts w:ascii="TimesNewRoman" w:eastAsia="TimesNewRoman" w:hAnsi="TimesNewRoman" w:cs="TimesNewRoman"/>
                <w:color w:val="000000"/>
                <w:sz w:val="16"/>
              </w:rPr>
            </w:pPr>
          </w:p>
        </w:tc>
      </w:tr>
    </w:tbl>
    <w:p w14:paraId="69BF7F55" w14:textId="77777777" w:rsidR="00A77B3E" w:rsidRDefault="00A77B3E">
      <w:pPr>
        <w:spacing w:before="100"/>
        <w:rPr>
          <w:rFonts w:ascii="TimesNewRoman" w:eastAsia="TimesNewRoman" w:hAnsi="TimesNewRoman" w:cs="TimesNewRoman"/>
          <w:color w:val="000000"/>
          <w:sz w:val="16"/>
        </w:rPr>
      </w:pPr>
    </w:p>
    <w:p w14:paraId="7284C57B" w14:textId="77777777" w:rsidR="00A77B3E" w:rsidRDefault="00A77B3E">
      <w:pPr>
        <w:spacing w:before="100"/>
        <w:rPr>
          <w:rFonts w:ascii="TimesNewRoman" w:eastAsia="TimesNewRoman" w:hAnsi="TimesNewRoman" w:cs="TimesNewRoman"/>
          <w:color w:val="000000"/>
          <w:sz w:val="16"/>
        </w:rPr>
        <w:sectPr w:rsidR="00A77B3E">
          <w:headerReference w:type="even" r:id="rId109"/>
          <w:headerReference w:type="default" r:id="rId110"/>
          <w:footerReference w:type="even" r:id="rId111"/>
          <w:footerReference w:type="default" r:id="rId112"/>
          <w:headerReference w:type="first" r:id="rId113"/>
          <w:footerReference w:type="first" r:id="rId114"/>
          <w:pgSz w:w="16838" w:h="11906" w:orient="landscape"/>
          <w:pgMar w:top="720" w:right="720" w:bottom="864" w:left="936" w:header="288" w:footer="72" w:gutter="0"/>
          <w:cols w:space="720"/>
          <w:noEndnote/>
          <w:docGrid w:linePitch="360"/>
        </w:sectPr>
      </w:pPr>
    </w:p>
    <w:p w14:paraId="6A98E536" w14:textId="77777777" w:rsidR="00A77B3E" w:rsidRDefault="00EE0A2B">
      <w:pPr>
        <w:pStyle w:val="Heading1"/>
        <w:spacing w:before="100" w:after="0"/>
        <w:rPr>
          <w:rFonts w:ascii="TimesNewRoman" w:eastAsia="TimesNewRoman" w:hAnsi="TimesNewRoman" w:cs="TimesNewRoman"/>
          <w:b w:val="0"/>
          <w:color w:val="000000"/>
          <w:sz w:val="24"/>
        </w:rPr>
      </w:pPr>
      <w:bookmarkStart w:id="62" w:name="_Toc256000125"/>
      <w:r>
        <w:rPr>
          <w:rFonts w:ascii="TimesNewRoman" w:eastAsia="TimesNewRoman" w:hAnsi="TimesNewRoman" w:cs="TimesNewRoman"/>
          <w:b w:val="0"/>
          <w:color w:val="000000"/>
          <w:sz w:val="24"/>
        </w:rPr>
        <w:lastRenderedPageBreak/>
        <w:t>ДОКУМЕНТИ</w:t>
      </w:r>
      <w:bookmarkEnd w:id="62"/>
    </w:p>
    <w:p w14:paraId="069E2741" w14:textId="77777777" w:rsidR="00A77B3E" w:rsidRDefault="00A77B3E">
      <w:pPr>
        <w:spacing w:before="100"/>
        <w:rPr>
          <w:rFonts w:ascii="TimesNewRoman" w:eastAsia="TimesNewRoman" w:hAnsi="TimesNewRoman" w:cs="TimesNewRoman"/>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1693"/>
        <w:gridCol w:w="1058"/>
        <w:gridCol w:w="1692"/>
        <w:gridCol w:w="1692"/>
        <w:gridCol w:w="4594"/>
        <w:gridCol w:w="1058"/>
        <w:gridCol w:w="1692"/>
      </w:tblGrid>
      <w:tr w:rsidR="00723994" w14:paraId="1F997E63" w14:textId="77777777">
        <w:trPr>
          <w:trHeight w:val="240"/>
          <w:tblHeader/>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C54ABE5" w14:textId="77777777" w:rsidR="00A77B3E" w:rsidRDefault="00EE0A2B">
            <w:pPr>
              <w:spacing w:before="100"/>
              <w:jc w:val="center"/>
              <w:rPr>
                <w:color w:val="000000"/>
                <w:sz w:val="16"/>
              </w:rPr>
            </w:pPr>
            <w:r>
              <w:rPr>
                <w:color w:val="000000"/>
                <w:sz w:val="16"/>
              </w:rPr>
              <w:t>Заглавие на документа</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75374BD" w14:textId="77777777" w:rsidR="00A77B3E" w:rsidRDefault="00EE0A2B">
            <w:pPr>
              <w:spacing w:before="100"/>
              <w:jc w:val="center"/>
              <w:rPr>
                <w:color w:val="000000"/>
                <w:sz w:val="16"/>
              </w:rPr>
            </w:pPr>
            <w:r>
              <w:rPr>
                <w:color w:val="000000"/>
                <w:sz w:val="16"/>
              </w:rPr>
              <w:t>Тип документ</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7B25CF0" w14:textId="77777777" w:rsidR="00A77B3E" w:rsidRDefault="00EE0A2B">
            <w:pPr>
              <w:spacing w:before="100"/>
              <w:jc w:val="center"/>
              <w:rPr>
                <w:color w:val="000000"/>
                <w:sz w:val="16"/>
              </w:rPr>
            </w:pPr>
            <w:r>
              <w:rPr>
                <w:color w:val="000000"/>
                <w:sz w:val="16"/>
              </w:rPr>
              <w:t>Дата на документа</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0A43AB4" w14:textId="77777777" w:rsidR="00A77B3E" w:rsidRDefault="00EE0A2B">
            <w:pPr>
              <w:spacing w:before="100"/>
              <w:jc w:val="center"/>
              <w:rPr>
                <w:color w:val="000000"/>
                <w:sz w:val="16"/>
              </w:rPr>
            </w:pPr>
            <w:r>
              <w:rPr>
                <w:color w:val="000000"/>
                <w:sz w:val="16"/>
              </w:rPr>
              <w:t>Локална справка</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76CEB39" w14:textId="77777777" w:rsidR="00A77B3E" w:rsidRDefault="00EE0A2B">
            <w:pPr>
              <w:spacing w:before="100"/>
              <w:jc w:val="center"/>
              <w:rPr>
                <w:color w:val="000000"/>
                <w:sz w:val="16"/>
              </w:rPr>
            </w:pPr>
            <w:r>
              <w:rPr>
                <w:color w:val="000000"/>
                <w:sz w:val="16"/>
              </w:rPr>
              <w:t>Референтен номер на Комисията</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888CFC3" w14:textId="77777777" w:rsidR="00A77B3E" w:rsidRDefault="00EE0A2B">
            <w:pPr>
              <w:spacing w:before="100"/>
              <w:jc w:val="center"/>
              <w:rPr>
                <w:color w:val="000000"/>
                <w:sz w:val="16"/>
              </w:rPr>
            </w:pPr>
            <w:r>
              <w:rPr>
                <w:color w:val="000000"/>
                <w:sz w:val="16"/>
              </w:rPr>
              <w:t>Файлове</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3972E73" w14:textId="77777777" w:rsidR="00A77B3E" w:rsidRDefault="00EE0A2B">
            <w:pPr>
              <w:spacing w:before="100"/>
              <w:jc w:val="center"/>
              <w:rPr>
                <w:color w:val="000000"/>
                <w:sz w:val="16"/>
              </w:rPr>
            </w:pPr>
            <w:r>
              <w:rPr>
                <w:color w:val="000000"/>
                <w:sz w:val="16"/>
              </w:rPr>
              <w:t>Дата на изпращане</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9DDDDFA" w14:textId="77777777" w:rsidR="00A77B3E" w:rsidRDefault="00EE0A2B">
            <w:pPr>
              <w:spacing w:before="100"/>
              <w:jc w:val="center"/>
              <w:rPr>
                <w:color w:val="000000"/>
                <w:sz w:val="16"/>
              </w:rPr>
            </w:pPr>
            <w:r>
              <w:rPr>
                <w:color w:val="000000"/>
                <w:sz w:val="16"/>
              </w:rPr>
              <w:t>Изпратено от</w:t>
            </w:r>
          </w:p>
        </w:tc>
      </w:tr>
      <w:tr w:rsidR="00723994" w14:paraId="4CD6F726" w14:textId="77777777">
        <w:trPr>
          <w:trHeight w:val="240"/>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E926924" w14:textId="77777777" w:rsidR="00A77B3E" w:rsidRDefault="00EE0A2B">
            <w:pPr>
              <w:spacing w:before="100"/>
              <w:rPr>
                <w:color w:val="000000"/>
                <w:sz w:val="16"/>
              </w:rPr>
            </w:pPr>
            <w:r>
              <w:rPr>
                <w:color w:val="000000"/>
                <w:sz w:val="16"/>
              </w:rPr>
              <w:t>Информация относно измененията</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1D8675D" w14:textId="77777777" w:rsidR="00A77B3E" w:rsidRDefault="00EE0A2B">
            <w:pPr>
              <w:spacing w:before="100"/>
              <w:rPr>
                <w:color w:val="000000"/>
                <w:sz w:val="16"/>
              </w:rPr>
            </w:pPr>
            <w:r>
              <w:rPr>
                <w:color w:val="000000"/>
                <w:sz w:val="16"/>
              </w:rPr>
              <w:t>Допълнителна информация</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6023A18" w14:textId="77777777" w:rsidR="00A77B3E" w:rsidRDefault="00EE0A2B">
            <w:pPr>
              <w:spacing w:before="100"/>
              <w:rPr>
                <w:color w:val="000000"/>
                <w:sz w:val="16"/>
              </w:rPr>
            </w:pPr>
            <w:r>
              <w:rPr>
                <w:color w:val="000000"/>
                <w:sz w:val="16"/>
              </w:rPr>
              <w:t>2 октомври 2025 г.</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E7B865C" w14:textId="77777777" w:rsidR="00A77B3E" w:rsidRDefault="00A77B3E">
            <w:pPr>
              <w:spacing w:before="100"/>
              <w:rPr>
                <w:color w:val="000000"/>
                <w:sz w:val="16"/>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3DE3084" w14:textId="77777777" w:rsidR="00A77B3E" w:rsidRDefault="00EE0A2B">
            <w:pPr>
              <w:spacing w:before="100"/>
              <w:rPr>
                <w:color w:val="000000"/>
                <w:sz w:val="16"/>
              </w:rPr>
            </w:pPr>
            <w:r>
              <w:rPr>
                <w:color w:val="000000"/>
                <w:sz w:val="16"/>
              </w:rPr>
              <w:t>Арес (2025) 8431431</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DF82188" w14:textId="77777777" w:rsidR="00A77B3E" w:rsidRDefault="00EE0A2B">
            <w:pPr>
              <w:spacing w:before="100"/>
              <w:rPr>
                <w:color w:val="000000"/>
                <w:sz w:val="16"/>
              </w:rPr>
            </w:pPr>
            <w:r>
              <w:rPr>
                <w:color w:val="000000"/>
                <w:sz w:val="16"/>
              </w:rPr>
              <w:t>Информация относно измененията в програмата</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32B0F43" w14:textId="77777777" w:rsidR="00A77B3E" w:rsidRDefault="00EE0A2B">
            <w:pPr>
              <w:spacing w:before="100"/>
              <w:rPr>
                <w:color w:val="000000"/>
                <w:sz w:val="16"/>
              </w:rPr>
            </w:pPr>
            <w:r>
              <w:rPr>
                <w:color w:val="000000"/>
                <w:sz w:val="16"/>
              </w:rPr>
              <w:t>6 октомври 2025 г.</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5F5414D" w14:textId="77777777" w:rsidR="00A77B3E" w:rsidRDefault="00EE0A2B">
            <w:pPr>
              <w:spacing w:before="100"/>
              <w:rPr>
                <w:color w:val="000000"/>
                <w:sz w:val="16"/>
              </w:rPr>
            </w:pPr>
            <w:r>
              <w:rPr>
                <w:color w:val="000000"/>
                <w:sz w:val="16"/>
              </w:rPr>
              <w:t>Петкова, Мая</w:t>
            </w:r>
          </w:p>
        </w:tc>
      </w:tr>
      <w:tr w:rsidR="00723994" w14:paraId="748BD533" w14:textId="77777777">
        <w:trPr>
          <w:trHeight w:val="240"/>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DD444EB" w14:textId="77777777" w:rsidR="00A77B3E" w:rsidRDefault="00EE0A2B">
            <w:pPr>
              <w:spacing w:before="100"/>
              <w:rPr>
                <w:color w:val="000000"/>
                <w:sz w:val="16"/>
              </w:rPr>
            </w:pPr>
            <w:r>
              <w:rPr>
                <w:color w:val="000000"/>
                <w:sz w:val="16"/>
              </w:rPr>
              <w:t>Методология</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364DC97" w14:textId="77777777" w:rsidR="00A77B3E" w:rsidRDefault="00EE0A2B">
            <w:pPr>
              <w:spacing w:before="100"/>
              <w:rPr>
                <w:color w:val="000000"/>
                <w:sz w:val="16"/>
              </w:rPr>
            </w:pPr>
            <w:r>
              <w:rPr>
                <w:color w:val="000000"/>
                <w:sz w:val="16"/>
              </w:rPr>
              <w:t>Допълнителна информация</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F6F5203" w14:textId="77777777" w:rsidR="00A77B3E" w:rsidRDefault="00EE0A2B">
            <w:pPr>
              <w:spacing w:before="100"/>
              <w:rPr>
                <w:color w:val="000000"/>
                <w:sz w:val="16"/>
              </w:rPr>
            </w:pPr>
            <w:r>
              <w:rPr>
                <w:color w:val="000000"/>
                <w:sz w:val="16"/>
              </w:rPr>
              <w:t>2 октомври 2025 г.</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CAA3007" w14:textId="77777777" w:rsidR="00A77B3E" w:rsidRDefault="00A77B3E">
            <w:pPr>
              <w:spacing w:before="100"/>
              <w:rPr>
                <w:color w:val="000000"/>
                <w:sz w:val="16"/>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8016ECF" w14:textId="77777777" w:rsidR="00A77B3E" w:rsidRDefault="00EE0A2B">
            <w:pPr>
              <w:spacing w:before="100"/>
              <w:rPr>
                <w:color w:val="000000"/>
                <w:sz w:val="16"/>
              </w:rPr>
            </w:pPr>
            <w:r>
              <w:rPr>
                <w:color w:val="000000"/>
                <w:sz w:val="16"/>
              </w:rPr>
              <w:t>Арес (2025) 8431431</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A04D530" w14:textId="77777777" w:rsidR="00A77B3E" w:rsidRDefault="00EE0A2B">
            <w:pPr>
              <w:spacing w:before="100"/>
              <w:rPr>
                <w:color w:val="000000"/>
                <w:sz w:val="16"/>
              </w:rPr>
            </w:pPr>
            <w:r>
              <w:rPr>
                <w:color w:val="000000"/>
                <w:sz w:val="16"/>
              </w:rPr>
              <w:t>Методология</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673720D" w14:textId="77777777" w:rsidR="00A77B3E" w:rsidRDefault="00EE0A2B">
            <w:pPr>
              <w:spacing w:before="100"/>
              <w:rPr>
                <w:color w:val="000000"/>
                <w:sz w:val="16"/>
              </w:rPr>
            </w:pPr>
            <w:r>
              <w:rPr>
                <w:color w:val="000000"/>
                <w:sz w:val="16"/>
              </w:rPr>
              <w:t>6 октомври 2025 г.</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15EB0782" w14:textId="77777777" w:rsidR="00A77B3E" w:rsidRDefault="00EE0A2B">
            <w:pPr>
              <w:spacing w:before="100"/>
              <w:rPr>
                <w:color w:val="000000"/>
                <w:sz w:val="16"/>
              </w:rPr>
            </w:pPr>
            <w:r>
              <w:rPr>
                <w:color w:val="000000"/>
                <w:sz w:val="16"/>
              </w:rPr>
              <w:t>Петкова, Мая</w:t>
            </w:r>
          </w:p>
        </w:tc>
      </w:tr>
      <w:tr w:rsidR="00723994" w14:paraId="1C246835" w14:textId="77777777">
        <w:trPr>
          <w:trHeight w:val="240"/>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37EF09A" w14:textId="77777777" w:rsidR="00A77B3E" w:rsidRDefault="00EE0A2B">
            <w:pPr>
              <w:spacing w:before="100"/>
              <w:rPr>
                <w:color w:val="000000"/>
                <w:sz w:val="16"/>
              </w:rPr>
            </w:pPr>
            <w:r>
              <w:rPr>
                <w:color w:val="000000"/>
                <w:sz w:val="16"/>
              </w:rPr>
              <w:t>Моментен преглед на програмата 2021BG65AMPR001 6.1</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7E10D27" w14:textId="77777777" w:rsidR="00A77B3E" w:rsidRDefault="00EE0A2B">
            <w:pPr>
              <w:spacing w:before="100"/>
              <w:rPr>
                <w:color w:val="000000"/>
                <w:sz w:val="16"/>
              </w:rPr>
            </w:pPr>
            <w:r>
              <w:rPr>
                <w:color w:val="000000"/>
                <w:sz w:val="16"/>
              </w:rPr>
              <w:t>Моментна снимка на данните преди изпращане</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FC25666" w14:textId="77777777" w:rsidR="00A77B3E" w:rsidRDefault="00EE0A2B">
            <w:pPr>
              <w:spacing w:before="100"/>
              <w:rPr>
                <w:color w:val="000000"/>
                <w:sz w:val="16"/>
              </w:rPr>
            </w:pPr>
            <w:r>
              <w:rPr>
                <w:color w:val="000000"/>
                <w:sz w:val="16"/>
              </w:rPr>
              <w:t>2 октомври 2025 г.</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D7980F6" w14:textId="77777777" w:rsidR="00A77B3E" w:rsidRDefault="00A77B3E">
            <w:pPr>
              <w:spacing w:before="100"/>
              <w:rPr>
                <w:color w:val="000000"/>
                <w:sz w:val="16"/>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19554B97" w14:textId="77777777" w:rsidR="00A77B3E" w:rsidRDefault="00EE0A2B">
            <w:pPr>
              <w:spacing w:before="100"/>
              <w:rPr>
                <w:color w:val="000000"/>
                <w:sz w:val="16"/>
              </w:rPr>
            </w:pPr>
            <w:r>
              <w:rPr>
                <w:color w:val="000000"/>
                <w:sz w:val="16"/>
              </w:rPr>
              <w:t>Арес (2025) 8431431</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8419ABF" w14:textId="77777777" w:rsidR="00A77B3E" w:rsidRDefault="00EE0A2B">
            <w:pPr>
              <w:spacing w:before="100"/>
              <w:rPr>
                <w:color w:val="000000"/>
                <w:sz w:val="16"/>
              </w:rPr>
            </w:pPr>
            <w:r>
              <w:rPr>
                <w:color w:val="000000"/>
                <w:sz w:val="16"/>
              </w:rPr>
              <w:t>Програма_моментна_снимка_2021BG65AMPR001_6.1_en.pdf</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7DA88C0" w14:textId="77777777" w:rsidR="00A77B3E" w:rsidRDefault="00EE0A2B">
            <w:pPr>
              <w:spacing w:before="100"/>
              <w:rPr>
                <w:color w:val="000000"/>
                <w:sz w:val="16"/>
              </w:rPr>
            </w:pPr>
            <w:r>
              <w:rPr>
                <w:color w:val="000000"/>
                <w:sz w:val="16"/>
              </w:rPr>
              <w:t>6 октомври 2025 г.</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5BCEEDC" w14:textId="77777777" w:rsidR="00A77B3E" w:rsidRDefault="00EE0A2B">
            <w:pPr>
              <w:spacing w:before="100"/>
              <w:rPr>
                <w:color w:val="000000"/>
                <w:sz w:val="16"/>
              </w:rPr>
            </w:pPr>
            <w:r>
              <w:rPr>
                <w:color w:val="000000"/>
                <w:sz w:val="16"/>
              </w:rPr>
              <w:t>Петкова, Мая</w:t>
            </w:r>
          </w:p>
        </w:tc>
      </w:tr>
    </w:tbl>
    <w:p w14:paraId="3BBE7D84" w14:textId="77777777" w:rsidR="00A77B3E" w:rsidRDefault="00A77B3E">
      <w:pPr>
        <w:spacing w:before="100"/>
        <w:jc w:val="center"/>
        <w:rPr>
          <w:color w:val="000000"/>
          <w:sz w:val="16"/>
        </w:rPr>
      </w:pPr>
    </w:p>
    <w:p w14:paraId="15E1F6A4" w14:textId="77777777" w:rsidR="00C339AF" w:rsidRDefault="00C339AF">
      <w:pPr>
        <w:spacing w:before="100"/>
        <w:jc w:val="center"/>
        <w:rPr>
          <w:color w:val="000000"/>
          <w:sz w:val="16"/>
        </w:rPr>
      </w:pPr>
    </w:p>
    <w:p w14:paraId="18BFA236" w14:textId="77777777" w:rsidR="00C339AF" w:rsidRDefault="00C339AF">
      <w:pPr>
        <w:spacing w:before="100"/>
        <w:jc w:val="center"/>
        <w:rPr>
          <w:color w:val="000000"/>
          <w:sz w:val="16"/>
        </w:rPr>
      </w:pPr>
    </w:p>
    <w:p w14:paraId="0ABEA0AD" w14:textId="12F10EA6" w:rsidR="00C339AF" w:rsidRDefault="00C339AF">
      <w:pPr>
        <w:spacing w:before="100"/>
        <w:jc w:val="center"/>
        <w:rPr>
          <w:color w:val="000000"/>
          <w:sz w:val="16"/>
        </w:rPr>
      </w:pPr>
    </w:p>
    <w:sectPr w:rsidR="00C339AF">
      <w:headerReference w:type="even" r:id="rId115"/>
      <w:headerReference w:type="default" r:id="rId116"/>
      <w:footerReference w:type="even" r:id="rId117"/>
      <w:footerReference w:type="default" r:id="rId118"/>
      <w:headerReference w:type="first" r:id="rId119"/>
      <w:footerReference w:type="first" r:id="rId120"/>
      <w:pgSz w:w="16838" w:h="11906" w:orient="landscape"/>
      <w:pgMar w:top="720" w:right="720" w:bottom="864" w:left="936" w:header="288" w:footer="7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95CFE" w14:textId="77777777" w:rsidR="00AF0A15" w:rsidRDefault="00AF0A15">
      <w:r>
        <w:separator/>
      </w:r>
    </w:p>
  </w:endnote>
  <w:endnote w:type="continuationSeparator" w:id="0">
    <w:p w14:paraId="4A5277AB" w14:textId="77777777" w:rsidR="00AF0A15" w:rsidRDefault="00AF0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128"/>
      <w:gridCol w:w="1993"/>
      <w:gridCol w:w="4129"/>
    </w:tblGrid>
    <w:tr w:rsidR="00EE0A2B" w14:paraId="45DD8864" w14:textId="77777777">
      <w:trPr>
        <w:trHeight w:val="240"/>
      </w:trPr>
      <w:tc>
        <w:tcPr>
          <w:tcW w:w="0" w:type="dxa"/>
          <w:tcMar>
            <w:left w:w="100" w:type="dxa"/>
            <w:right w:w="100" w:type="dxa"/>
          </w:tcMar>
        </w:tcPr>
        <w:p w14:paraId="361A97C1" w14:textId="77777777" w:rsidR="00EE0A2B" w:rsidRDefault="00EE0A2B">
          <w:pPr>
            <w:rPr>
              <w:b/>
              <w:color w:val="000000"/>
            </w:rPr>
          </w:pPr>
          <w:r>
            <w:rPr>
              <w:b/>
              <w:color w:val="000000"/>
              <w:sz w:val="32"/>
            </w:rPr>
            <w:t>ЕН</w:t>
          </w:r>
        </w:p>
      </w:tc>
      <w:tc>
        <w:tcPr>
          <w:tcW w:w="0" w:type="dxa"/>
          <w:tcMar>
            <w:left w:w="100" w:type="dxa"/>
            <w:right w:w="100" w:type="dxa"/>
          </w:tcMar>
        </w:tcPr>
        <w:p w14:paraId="353C86F4" w14:textId="77777777" w:rsidR="00EE0A2B" w:rsidRDefault="00EE0A2B">
          <w:pPr>
            <w:jc w:val="center"/>
            <w:rPr>
              <w:b/>
              <w:color w:val="000000"/>
              <w:sz w:val="32"/>
            </w:rPr>
          </w:pPr>
          <w:r>
            <w:rPr>
              <w:b/>
              <w:color w:val="000000"/>
            </w:rPr>
            <w:fldChar w:fldCharType="begin"/>
          </w:r>
          <w:r>
            <w:rPr>
              <w:b/>
              <w:color w:val="000000"/>
            </w:rPr>
            <w:instrText>PAGE</w:instrText>
          </w:r>
          <w:r>
            <w:rPr>
              <w:b/>
              <w:color w:val="000000"/>
            </w:rPr>
            <w:fldChar w:fldCharType="separate"/>
          </w:r>
          <w:r w:rsidR="0002372A">
            <w:rPr>
              <w:b/>
              <w:color w:val="000000"/>
            </w:rPr>
            <w:t>12</w:t>
          </w:r>
          <w:r>
            <w:rPr>
              <w:b/>
              <w:color w:val="000000"/>
            </w:rPr>
            <w:fldChar w:fldCharType="end"/>
          </w:r>
        </w:p>
      </w:tc>
      <w:tc>
        <w:tcPr>
          <w:tcW w:w="0" w:type="dxa"/>
          <w:tcMar>
            <w:left w:w="100" w:type="dxa"/>
            <w:right w:w="100" w:type="dxa"/>
          </w:tcMar>
        </w:tcPr>
        <w:p w14:paraId="6E120F30" w14:textId="77777777" w:rsidR="00EE0A2B" w:rsidRDefault="00EE0A2B">
          <w:pPr>
            <w:jc w:val="right"/>
            <w:rPr>
              <w:b/>
              <w:color w:val="000000"/>
              <w:sz w:val="32"/>
            </w:rPr>
          </w:pPr>
          <w:r>
            <w:rPr>
              <w:b/>
              <w:color w:val="000000"/>
              <w:sz w:val="32"/>
            </w:rPr>
            <w:t>ЕН</w:t>
          </w:r>
        </w:p>
      </w:tc>
    </w:tr>
  </w:tbl>
  <w:p w14:paraId="5EC64A27" w14:textId="77777777" w:rsidR="00EE0A2B" w:rsidRDefault="00EE0A2B">
    <w:pPr>
      <w:rPr>
        <w:b/>
        <w:color w:val="00000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D2D00" w14:textId="77777777" w:rsidR="00EE0A2B" w:rsidRDefault="00EE0A2B"/>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3812B" w14:textId="77777777" w:rsidR="00EE0A2B" w:rsidRDefault="00EE0A2B"/>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250"/>
      <w:gridCol w:w="1750"/>
      <w:gridCol w:w="4250"/>
    </w:tblGrid>
    <w:tr w:rsidR="00EE0A2B" w14:paraId="167B93EC" w14:textId="77777777">
      <w:tc>
        <w:tcPr>
          <w:tcW w:w="0" w:type="dxa"/>
          <w:tcMar>
            <w:top w:w="0" w:type="dxa"/>
            <w:left w:w="60" w:type="dxa"/>
            <w:bottom w:w="80" w:type="dxa"/>
            <w:right w:w="60" w:type="dxa"/>
          </w:tcMar>
        </w:tcPr>
        <w:p w14:paraId="1CD7F5DD" w14:textId="77777777" w:rsidR="00EE0A2B" w:rsidRDefault="00EE0A2B">
          <w:pPr>
            <w:rPr>
              <w:b/>
              <w:color w:val="000000"/>
            </w:rPr>
          </w:pPr>
          <w:r>
            <w:rPr>
              <w:b/>
              <w:color w:val="000000"/>
              <w:sz w:val="32"/>
            </w:rPr>
            <w:t>ЕН</w:t>
          </w:r>
        </w:p>
      </w:tc>
      <w:tc>
        <w:tcPr>
          <w:tcW w:w="0" w:type="dxa"/>
          <w:tcMar>
            <w:top w:w="0" w:type="dxa"/>
            <w:left w:w="60" w:type="dxa"/>
            <w:bottom w:w="80" w:type="dxa"/>
            <w:right w:w="60" w:type="dxa"/>
          </w:tcMar>
        </w:tcPr>
        <w:p w14:paraId="23FFD4DC" w14:textId="77777777" w:rsidR="00EE0A2B" w:rsidRDefault="00EE0A2B">
          <w:pPr>
            <w:jc w:val="center"/>
            <w:rPr>
              <w:b/>
              <w:color w:val="000000"/>
              <w:sz w:val="32"/>
            </w:rPr>
          </w:pPr>
          <w:r>
            <w:rPr>
              <w:b/>
              <w:color w:val="000000"/>
            </w:rPr>
            <w:fldChar w:fldCharType="begin"/>
          </w:r>
          <w:r>
            <w:rPr>
              <w:b/>
              <w:color w:val="000000"/>
            </w:rPr>
            <w:instrText>PAGE</w:instrText>
          </w:r>
          <w:r>
            <w:rPr>
              <w:b/>
              <w:color w:val="000000"/>
            </w:rPr>
            <w:fldChar w:fldCharType="separate"/>
          </w:r>
          <w:r w:rsidR="0002372A">
            <w:rPr>
              <w:b/>
              <w:color w:val="000000"/>
            </w:rPr>
            <w:t>28</w:t>
          </w:r>
          <w:r>
            <w:rPr>
              <w:b/>
              <w:color w:val="000000"/>
            </w:rPr>
            <w:fldChar w:fldCharType="end"/>
          </w:r>
        </w:p>
      </w:tc>
      <w:tc>
        <w:tcPr>
          <w:tcW w:w="0" w:type="dxa"/>
          <w:tcMar>
            <w:top w:w="0" w:type="dxa"/>
            <w:left w:w="60" w:type="dxa"/>
            <w:bottom w:w="80" w:type="dxa"/>
            <w:right w:w="60" w:type="dxa"/>
          </w:tcMar>
        </w:tcPr>
        <w:p w14:paraId="2895D0E4" w14:textId="77777777" w:rsidR="00EE0A2B" w:rsidRDefault="00EE0A2B">
          <w:pPr>
            <w:jc w:val="right"/>
            <w:rPr>
              <w:b/>
              <w:color w:val="000000"/>
              <w:sz w:val="32"/>
            </w:rPr>
          </w:pPr>
          <w:r>
            <w:rPr>
              <w:b/>
              <w:color w:val="000000"/>
              <w:sz w:val="32"/>
            </w:rPr>
            <w:t>ЕН</w:t>
          </w:r>
        </w:p>
      </w:tc>
    </w:tr>
  </w:tbl>
  <w:p w14:paraId="1DE67717" w14:textId="77777777" w:rsidR="00EE0A2B" w:rsidRDefault="00EE0A2B">
    <w:pPr>
      <w:rPr>
        <w:b/>
        <w:color w:val="00000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D8E40" w14:textId="77777777" w:rsidR="00EE0A2B" w:rsidRDefault="00EE0A2B"/>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C444D" w14:textId="77777777" w:rsidR="00EE0A2B" w:rsidRDefault="00EE0A2B"/>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6295"/>
      <w:gridCol w:w="2592"/>
      <w:gridCol w:w="6295"/>
    </w:tblGrid>
    <w:tr w:rsidR="00EE0A2B" w14:paraId="0F8796E9" w14:textId="77777777">
      <w:tc>
        <w:tcPr>
          <w:tcW w:w="0" w:type="dxa"/>
          <w:tcMar>
            <w:top w:w="0" w:type="dxa"/>
            <w:left w:w="60" w:type="dxa"/>
            <w:bottom w:w="80" w:type="dxa"/>
            <w:right w:w="60" w:type="dxa"/>
          </w:tcMar>
        </w:tcPr>
        <w:p w14:paraId="49E3011A" w14:textId="77777777" w:rsidR="00EE0A2B" w:rsidRDefault="00EE0A2B">
          <w:pPr>
            <w:rPr>
              <w:b/>
              <w:color w:val="000000"/>
            </w:rPr>
          </w:pPr>
          <w:r>
            <w:rPr>
              <w:b/>
              <w:color w:val="000000"/>
              <w:sz w:val="32"/>
            </w:rPr>
            <w:t>ЕН</w:t>
          </w:r>
        </w:p>
      </w:tc>
      <w:tc>
        <w:tcPr>
          <w:tcW w:w="0" w:type="dxa"/>
          <w:tcMar>
            <w:top w:w="0" w:type="dxa"/>
            <w:left w:w="60" w:type="dxa"/>
            <w:bottom w:w="80" w:type="dxa"/>
            <w:right w:w="60" w:type="dxa"/>
          </w:tcMar>
        </w:tcPr>
        <w:p w14:paraId="24AE19BD" w14:textId="77777777" w:rsidR="00EE0A2B" w:rsidRDefault="00EE0A2B">
          <w:pPr>
            <w:jc w:val="center"/>
            <w:rPr>
              <w:b/>
              <w:color w:val="000000"/>
              <w:sz w:val="32"/>
            </w:rPr>
          </w:pPr>
          <w:r>
            <w:rPr>
              <w:b/>
              <w:color w:val="000000"/>
            </w:rPr>
            <w:fldChar w:fldCharType="begin"/>
          </w:r>
          <w:r>
            <w:rPr>
              <w:b/>
              <w:color w:val="000000"/>
            </w:rPr>
            <w:instrText>PAGE</w:instrText>
          </w:r>
          <w:r>
            <w:rPr>
              <w:b/>
              <w:color w:val="000000"/>
            </w:rPr>
            <w:fldChar w:fldCharType="separate"/>
          </w:r>
          <w:r w:rsidR="0002372A">
            <w:rPr>
              <w:b/>
              <w:color w:val="000000"/>
            </w:rPr>
            <w:t>31</w:t>
          </w:r>
          <w:r>
            <w:rPr>
              <w:b/>
              <w:color w:val="000000"/>
            </w:rPr>
            <w:fldChar w:fldCharType="end"/>
          </w:r>
        </w:p>
      </w:tc>
      <w:tc>
        <w:tcPr>
          <w:tcW w:w="0" w:type="dxa"/>
          <w:tcMar>
            <w:top w:w="0" w:type="dxa"/>
            <w:left w:w="60" w:type="dxa"/>
            <w:bottom w:w="80" w:type="dxa"/>
            <w:right w:w="60" w:type="dxa"/>
          </w:tcMar>
        </w:tcPr>
        <w:p w14:paraId="461E3297" w14:textId="77777777" w:rsidR="00EE0A2B" w:rsidRDefault="00EE0A2B">
          <w:pPr>
            <w:jc w:val="right"/>
            <w:rPr>
              <w:b/>
              <w:color w:val="000000"/>
              <w:sz w:val="32"/>
            </w:rPr>
          </w:pPr>
          <w:r>
            <w:rPr>
              <w:b/>
              <w:color w:val="000000"/>
              <w:sz w:val="32"/>
            </w:rPr>
            <w:t>ЕН</w:t>
          </w:r>
        </w:p>
      </w:tc>
    </w:tr>
  </w:tbl>
  <w:p w14:paraId="5FB52A21" w14:textId="77777777" w:rsidR="00EE0A2B" w:rsidRDefault="00EE0A2B">
    <w:pPr>
      <w:rPr>
        <w:b/>
        <w:color w:val="00000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E0F01" w14:textId="77777777" w:rsidR="00EE0A2B" w:rsidRDefault="00EE0A2B"/>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FBF1" w14:textId="77777777" w:rsidR="00EE0A2B" w:rsidRDefault="00EE0A2B"/>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250"/>
      <w:gridCol w:w="1750"/>
      <w:gridCol w:w="4250"/>
    </w:tblGrid>
    <w:tr w:rsidR="00EE0A2B" w14:paraId="14E6ED92" w14:textId="77777777">
      <w:tc>
        <w:tcPr>
          <w:tcW w:w="0" w:type="dxa"/>
          <w:tcMar>
            <w:top w:w="0" w:type="dxa"/>
            <w:left w:w="60" w:type="dxa"/>
            <w:bottom w:w="80" w:type="dxa"/>
            <w:right w:w="60" w:type="dxa"/>
          </w:tcMar>
        </w:tcPr>
        <w:p w14:paraId="4BDA7BD0" w14:textId="77777777" w:rsidR="00EE0A2B" w:rsidRDefault="00EE0A2B">
          <w:pPr>
            <w:rPr>
              <w:b/>
              <w:color w:val="000000"/>
            </w:rPr>
          </w:pPr>
          <w:r>
            <w:rPr>
              <w:b/>
              <w:color w:val="000000"/>
              <w:sz w:val="32"/>
            </w:rPr>
            <w:t>ЕН</w:t>
          </w:r>
        </w:p>
      </w:tc>
      <w:tc>
        <w:tcPr>
          <w:tcW w:w="0" w:type="dxa"/>
          <w:tcMar>
            <w:top w:w="0" w:type="dxa"/>
            <w:left w:w="60" w:type="dxa"/>
            <w:bottom w:w="80" w:type="dxa"/>
            <w:right w:w="60" w:type="dxa"/>
          </w:tcMar>
        </w:tcPr>
        <w:p w14:paraId="17CCC44A" w14:textId="77777777" w:rsidR="00EE0A2B" w:rsidRDefault="00EE0A2B">
          <w:pPr>
            <w:jc w:val="center"/>
            <w:rPr>
              <w:b/>
              <w:color w:val="000000"/>
              <w:sz w:val="32"/>
            </w:rPr>
          </w:pPr>
          <w:r>
            <w:rPr>
              <w:b/>
              <w:color w:val="000000"/>
            </w:rPr>
            <w:fldChar w:fldCharType="begin"/>
          </w:r>
          <w:r>
            <w:rPr>
              <w:b/>
              <w:color w:val="000000"/>
            </w:rPr>
            <w:instrText>PAGE</w:instrText>
          </w:r>
          <w:r>
            <w:rPr>
              <w:b/>
              <w:color w:val="000000"/>
            </w:rPr>
            <w:fldChar w:fldCharType="separate"/>
          </w:r>
          <w:r w:rsidR="0002372A">
            <w:rPr>
              <w:b/>
              <w:color w:val="000000"/>
            </w:rPr>
            <w:t>37</w:t>
          </w:r>
          <w:r>
            <w:rPr>
              <w:b/>
              <w:color w:val="000000"/>
            </w:rPr>
            <w:fldChar w:fldCharType="end"/>
          </w:r>
        </w:p>
      </w:tc>
      <w:tc>
        <w:tcPr>
          <w:tcW w:w="0" w:type="dxa"/>
          <w:tcMar>
            <w:top w:w="0" w:type="dxa"/>
            <w:left w:w="60" w:type="dxa"/>
            <w:bottom w:w="80" w:type="dxa"/>
            <w:right w:w="60" w:type="dxa"/>
          </w:tcMar>
        </w:tcPr>
        <w:p w14:paraId="259309AD" w14:textId="77777777" w:rsidR="00EE0A2B" w:rsidRDefault="00EE0A2B">
          <w:pPr>
            <w:jc w:val="right"/>
            <w:rPr>
              <w:b/>
              <w:color w:val="000000"/>
              <w:sz w:val="32"/>
            </w:rPr>
          </w:pPr>
          <w:r>
            <w:rPr>
              <w:b/>
              <w:color w:val="000000"/>
              <w:sz w:val="32"/>
            </w:rPr>
            <w:t>ЕН</w:t>
          </w:r>
        </w:p>
      </w:tc>
    </w:tr>
  </w:tbl>
  <w:p w14:paraId="7A34A498" w14:textId="77777777" w:rsidR="00EE0A2B" w:rsidRDefault="00EE0A2B">
    <w:pPr>
      <w:rPr>
        <w:b/>
        <w:color w:val="00000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86098" w14:textId="77777777" w:rsidR="00EE0A2B" w:rsidRDefault="00EE0A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D735D" w14:textId="77777777" w:rsidR="00EE0A2B" w:rsidRDefault="00EE0A2B"/>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7188E" w14:textId="77777777" w:rsidR="00EE0A2B" w:rsidRDefault="00EE0A2B"/>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6295"/>
      <w:gridCol w:w="2592"/>
      <w:gridCol w:w="6295"/>
    </w:tblGrid>
    <w:tr w:rsidR="00EE0A2B" w14:paraId="05F07F90" w14:textId="77777777">
      <w:tc>
        <w:tcPr>
          <w:tcW w:w="0" w:type="dxa"/>
          <w:tcMar>
            <w:top w:w="0" w:type="dxa"/>
            <w:left w:w="60" w:type="dxa"/>
            <w:bottom w:w="80" w:type="dxa"/>
            <w:right w:w="60" w:type="dxa"/>
          </w:tcMar>
        </w:tcPr>
        <w:p w14:paraId="1D96A964" w14:textId="77777777" w:rsidR="00EE0A2B" w:rsidRDefault="00EE0A2B">
          <w:pPr>
            <w:rPr>
              <w:b/>
              <w:color w:val="000000"/>
            </w:rPr>
          </w:pPr>
          <w:r>
            <w:rPr>
              <w:b/>
              <w:color w:val="000000"/>
              <w:sz w:val="32"/>
            </w:rPr>
            <w:t>ЕН</w:t>
          </w:r>
        </w:p>
      </w:tc>
      <w:tc>
        <w:tcPr>
          <w:tcW w:w="0" w:type="dxa"/>
          <w:tcMar>
            <w:top w:w="0" w:type="dxa"/>
            <w:left w:w="60" w:type="dxa"/>
            <w:bottom w:w="80" w:type="dxa"/>
            <w:right w:w="60" w:type="dxa"/>
          </w:tcMar>
        </w:tcPr>
        <w:p w14:paraId="37ED207E" w14:textId="77777777" w:rsidR="00EE0A2B" w:rsidRDefault="00EE0A2B">
          <w:pPr>
            <w:jc w:val="center"/>
            <w:rPr>
              <w:b/>
              <w:color w:val="000000"/>
              <w:sz w:val="32"/>
            </w:rPr>
          </w:pPr>
          <w:r>
            <w:rPr>
              <w:b/>
              <w:color w:val="000000"/>
            </w:rPr>
            <w:fldChar w:fldCharType="begin"/>
          </w:r>
          <w:r>
            <w:rPr>
              <w:b/>
              <w:color w:val="000000"/>
            </w:rPr>
            <w:instrText>PAGE</w:instrText>
          </w:r>
          <w:r>
            <w:rPr>
              <w:b/>
              <w:color w:val="000000"/>
            </w:rPr>
            <w:fldChar w:fldCharType="separate"/>
          </w:r>
          <w:r w:rsidR="0002372A">
            <w:rPr>
              <w:b/>
              <w:color w:val="000000"/>
            </w:rPr>
            <w:t>40</w:t>
          </w:r>
          <w:r>
            <w:rPr>
              <w:b/>
              <w:color w:val="000000"/>
            </w:rPr>
            <w:fldChar w:fldCharType="end"/>
          </w:r>
        </w:p>
      </w:tc>
      <w:tc>
        <w:tcPr>
          <w:tcW w:w="0" w:type="dxa"/>
          <w:tcMar>
            <w:top w:w="0" w:type="dxa"/>
            <w:left w:w="60" w:type="dxa"/>
            <w:bottom w:w="80" w:type="dxa"/>
            <w:right w:w="60" w:type="dxa"/>
          </w:tcMar>
        </w:tcPr>
        <w:p w14:paraId="1F046056" w14:textId="77777777" w:rsidR="00EE0A2B" w:rsidRDefault="00EE0A2B">
          <w:pPr>
            <w:jc w:val="right"/>
            <w:rPr>
              <w:b/>
              <w:color w:val="000000"/>
              <w:sz w:val="32"/>
            </w:rPr>
          </w:pPr>
          <w:r>
            <w:rPr>
              <w:b/>
              <w:color w:val="000000"/>
              <w:sz w:val="32"/>
            </w:rPr>
            <w:t>ЕН</w:t>
          </w:r>
        </w:p>
      </w:tc>
    </w:tr>
  </w:tbl>
  <w:p w14:paraId="765A7341" w14:textId="77777777" w:rsidR="00EE0A2B" w:rsidRDefault="00EE0A2B">
    <w:pPr>
      <w:rPr>
        <w:b/>
        <w:color w:val="000000"/>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23E33" w14:textId="77777777" w:rsidR="00EE0A2B" w:rsidRDefault="00EE0A2B"/>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AD91C" w14:textId="77777777" w:rsidR="00EE0A2B" w:rsidRDefault="00EE0A2B"/>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250"/>
      <w:gridCol w:w="1750"/>
      <w:gridCol w:w="4250"/>
    </w:tblGrid>
    <w:tr w:rsidR="00EE0A2B" w14:paraId="79EB0746" w14:textId="77777777">
      <w:tc>
        <w:tcPr>
          <w:tcW w:w="0" w:type="dxa"/>
          <w:tcMar>
            <w:top w:w="0" w:type="dxa"/>
            <w:left w:w="60" w:type="dxa"/>
            <w:bottom w:w="80" w:type="dxa"/>
            <w:right w:w="60" w:type="dxa"/>
          </w:tcMar>
        </w:tcPr>
        <w:p w14:paraId="105F6447" w14:textId="77777777" w:rsidR="00EE0A2B" w:rsidRDefault="00EE0A2B">
          <w:pPr>
            <w:rPr>
              <w:b/>
              <w:color w:val="000000"/>
            </w:rPr>
          </w:pPr>
          <w:r>
            <w:rPr>
              <w:b/>
              <w:color w:val="000000"/>
              <w:sz w:val="32"/>
            </w:rPr>
            <w:t>ЕН</w:t>
          </w:r>
        </w:p>
      </w:tc>
      <w:tc>
        <w:tcPr>
          <w:tcW w:w="0" w:type="dxa"/>
          <w:tcMar>
            <w:top w:w="0" w:type="dxa"/>
            <w:left w:w="60" w:type="dxa"/>
            <w:bottom w:w="80" w:type="dxa"/>
            <w:right w:w="60" w:type="dxa"/>
          </w:tcMar>
        </w:tcPr>
        <w:p w14:paraId="3696BE4D" w14:textId="77777777" w:rsidR="00EE0A2B" w:rsidRDefault="00EE0A2B">
          <w:pPr>
            <w:jc w:val="center"/>
            <w:rPr>
              <w:b/>
              <w:color w:val="000000"/>
              <w:sz w:val="32"/>
            </w:rPr>
          </w:pPr>
          <w:r>
            <w:rPr>
              <w:b/>
              <w:color w:val="000000"/>
            </w:rPr>
            <w:fldChar w:fldCharType="begin"/>
          </w:r>
          <w:r>
            <w:rPr>
              <w:b/>
              <w:color w:val="000000"/>
            </w:rPr>
            <w:instrText>PAGE</w:instrText>
          </w:r>
          <w:r>
            <w:rPr>
              <w:b/>
              <w:color w:val="000000"/>
            </w:rPr>
            <w:fldChar w:fldCharType="separate"/>
          </w:r>
          <w:r w:rsidR="0002372A">
            <w:rPr>
              <w:b/>
              <w:color w:val="000000"/>
            </w:rPr>
            <w:t>42</w:t>
          </w:r>
          <w:r>
            <w:rPr>
              <w:b/>
              <w:color w:val="000000"/>
            </w:rPr>
            <w:fldChar w:fldCharType="end"/>
          </w:r>
        </w:p>
      </w:tc>
      <w:tc>
        <w:tcPr>
          <w:tcW w:w="0" w:type="dxa"/>
          <w:tcMar>
            <w:top w:w="0" w:type="dxa"/>
            <w:left w:w="60" w:type="dxa"/>
            <w:bottom w:w="80" w:type="dxa"/>
            <w:right w:w="60" w:type="dxa"/>
          </w:tcMar>
        </w:tcPr>
        <w:p w14:paraId="500F66E4" w14:textId="77777777" w:rsidR="00EE0A2B" w:rsidRDefault="00EE0A2B">
          <w:pPr>
            <w:jc w:val="right"/>
            <w:rPr>
              <w:b/>
              <w:color w:val="000000"/>
              <w:sz w:val="32"/>
            </w:rPr>
          </w:pPr>
          <w:r>
            <w:rPr>
              <w:b/>
              <w:color w:val="000000"/>
              <w:sz w:val="32"/>
            </w:rPr>
            <w:t>ЕН</w:t>
          </w:r>
        </w:p>
      </w:tc>
    </w:tr>
  </w:tbl>
  <w:p w14:paraId="48830F73" w14:textId="77777777" w:rsidR="00EE0A2B" w:rsidRDefault="00EE0A2B">
    <w:pPr>
      <w:rPr>
        <w:b/>
        <w:color w:val="000000"/>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CB7F2" w14:textId="77777777" w:rsidR="00EE0A2B" w:rsidRDefault="00EE0A2B"/>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E0D2D" w14:textId="77777777" w:rsidR="00EE0A2B" w:rsidRDefault="00EE0A2B"/>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6295"/>
      <w:gridCol w:w="2592"/>
      <w:gridCol w:w="6295"/>
    </w:tblGrid>
    <w:tr w:rsidR="00EE0A2B" w14:paraId="695188D2" w14:textId="77777777">
      <w:tc>
        <w:tcPr>
          <w:tcW w:w="0" w:type="dxa"/>
          <w:tcMar>
            <w:top w:w="0" w:type="dxa"/>
            <w:left w:w="60" w:type="dxa"/>
            <w:bottom w:w="80" w:type="dxa"/>
            <w:right w:w="60" w:type="dxa"/>
          </w:tcMar>
        </w:tcPr>
        <w:p w14:paraId="1B1A13CE" w14:textId="77777777" w:rsidR="00EE0A2B" w:rsidRDefault="00EE0A2B">
          <w:pPr>
            <w:rPr>
              <w:b/>
              <w:color w:val="000000"/>
            </w:rPr>
          </w:pPr>
          <w:r>
            <w:rPr>
              <w:b/>
              <w:color w:val="000000"/>
              <w:sz w:val="32"/>
            </w:rPr>
            <w:t>ЕН</w:t>
          </w:r>
        </w:p>
      </w:tc>
      <w:tc>
        <w:tcPr>
          <w:tcW w:w="0" w:type="dxa"/>
          <w:tcMar>
            <w:top w:w="0" w:type="dxa"/>
            <w:left w:w="60" w:type="dxa"/>
            <w:bottom w:w="80" w:type="dxa"/>
            <w:right w:w="60" w:type="dxa"/>
          </w:tcMar>
        </w:tcPr>
        <w:p w14:paraId="527691E3" w14:textId="77777777" w:rsidR="00EE0A2B" w:rsidRDefault="00EE0A2B">
          <w:pPr>
            <w:jc w:val="center"/>
            <w:rPr>
              <w:b/>
              <w:color w:val="000000"/>
              <w:sz w:val="32"/>
            </w:rPr>
          </w:pPr>
          <w:r>
            <w:rPr>
              <w:b/>
              <w:color w:val="000000"/>
            </w:rPr>
            <w:fldChar w:fldCharType="begin"/>
          </w:r>
          <w:r>
            <w:rPr>
              <w:b/>
              <w:color w:val="000000"/>
            </w:rPr>
            <w:instrText>PAGE</w:instrText>
          </w:r>
          <w:r>
            <w:rPr>
              <w:b/>
              <w:color w:val="000000"/>
            </w:rPr>
            <w:fldChar w:fldCharType="separate"/>
          </w:r>
          <w:r w:rsidR="0002372A">
            <w:rPr>
              <w:b/>
              <w:color w:val="000000"/>
            </w:rPr>
            <w:t>45</w:t>
          </w:r>
          <w:r>
            <w:rPr>
              <w:b/>
              <w:color w:val="000000"/>
            </w:rPr>
            <w:fldChar w:fldCharType="end"/>
          </w:r>
        </w:p>
      </w:tc>
      <w:tc>
        <w:tcPr>
          <w:tcW w:w="0" w:type="dxa"/>
          <w:tcMar>
            <w:top w:w="0" w:type="dxa"/>
            <w:left w:w="60" w:type="dxa"/>
            <w:bottom w:w="80" w:type="dxa"/>
            <w:right w:w="60" w:type="dxa"/>
          </w:tcMar>
        </w:tcPr>
        <w:p w14:paraId="29C79951" w14:textId="77777777" w:rsidR="00EE0A2B" w:rsidRDefault="00EE0A2B">
          <w:pPr>
            <w:jc w:val="right"/>
            <w:rPr>
              <w:b/>
              <w:color w:val="000000"/>
              <w:sz w:val="32"/>
            </w:rPr>
          </w:pPr>
          <w:r>
            <w:rPr>
              <w:b/>
              <w:color w:val="000000"/>
              <w:sz w:val="32"/>
            </w:rPr>
            <w:t>ЕН</w:t>
          </w:r>
        </w:p>
      </w:tc>
    </w:tr>
  </w:tbl>
  <w:p w14:paraId="77FADCAB" w14:textId="77777777" w:rsidR="00EE0A2B" w:rsidRDefault="00EE0A2B">
    <w:pPr>
      <w:rPr>
        <w:b/>
        <w:color w:val="000000"/>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6A982" w14:textId="77777777" w:rsidR="00EE0A2B" w:rsidRDefault="00EE0A2B"/>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F55BD" w14:textId="77777777" w:rsidR="00EE0A2B" w:rsidRDefault="00EE0A2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128"/>
      <w:gridCol w:w="1993"/>
      <w:gridCol w:w="4129"/>
    </w:tblGrid>
    <w:tr w:rsidR="00EE0A2B" w14:paraId="38697449" w14:textId="77777777">
      <w:trPr>
        <w:trHeight w:val="240"/>
      </w:trPr>
      <w:tc>
        <w:tcPr>
          <w:tcW w:w="0" w:type="dxa"/>
          <w:tcMar>
            <w:left w:w="100" w:type="dxa"/>
            <w:right w:w="100" w:type="dxa"/>
          </w:tcMar>
        </w:tcPr>
        <w:p w14:paraId="21950808" w14:textId="77777777" w:rsidR="00EE0A2B" w:rsidRDefault="00EE0A2B">
          <w:pPr>
            <w:rPr>
              <w:b/>
              <w:color w:val="000000"/>
            </w:rPr>
          </w:pPr>
          <w:r>
            <w:rPr>
              <w:b/>
              <w:color w:val="000000"/>
              <w:sz w:val="32"/>
            </w:rPr>
            <w:t>ЕН</w:t>
          </w:r>
        </w:p>
      </w:tc>
      <w:tc>
        <w:tcPr>
          <w:tcW w:w="0" w:type="dxa"/>
          <w:tcMar>
            <w:left w:w="100" w:type="dxa"/>
            <w:right w:w="100" w:type="dxa"/>
          </w:tcMar>
        </w:tcPr>
        <w:p w14:paraId="6D61D247" w14:textId="77777777" w:rsidR="00EE0A2B" w:rsidRDefault="00EE0A2B">
          <w:pPr>
            <w:jc w:val="center"/>
            <w:rPr>
              <w:b/>
              <w:color w:val="000000"/>
              <w:sz w:val="32"/>
            </w:rPr>
          </w:pPr>
          <w:r>
            <w:rPr>
              <w:b/>
              <w:color w:val="000000"/>
            </w:rPr>
            <w:fldChar w:fldCharType="begin"/>
          </w:r>
          <w:r>
            <w:rPr>
              <w:b/>
              <w:color w:val="000000"/>
            </w:rPr>
            <w:instrText>PAGE</w:instrText>
          </w:r>
          <w:r>
            <w:rPr>
              <w:b/>
              <w:color w:val="000000"/>
            </w:rPr>
            <w:fldChar w:fldCharType="separate"/>
          </w:r>
          <w:r w:rsidR="0002372A">
            <w:rPr>
              <w:b/>
              <w:color w:val="000000"/>
            </w:rPr>
            <w:t>14</w:t>
          </w:r>
          <w:r>
            <w:rPr>
              <w:b/>
              <w:color w:val="000000"/>
            </w:rPr>
            <w:fldChar w:fldCharType="end"/>
          </w:r>
        </w:p>
      </w:tc>
      <w:tc>
        <w:tcPr>
          <w:tcW w:w="0" w:type="dxa"/>
          <w:tcMar>
            <w:left w:w="100" w:type="dxa"/>
            <w:right w:w="100" w:type="dxa"/>
          </w:tcMar>
        </w:tcPr>
        <w:p w14:paraId="5CCCD08C" w14:textId="77777777" w:rsidR="00EE0A2B" w:rsidRDefault="00EE0A2B">
          <w:pPr>
            <w:jc w:val="right"/>
            <w:rPr>
              <w:b/>
              <w:color w:val="000000"/>
              <w:sz w:val="32"/>
            </w:rPr>
          </w:pPr>
          <w:r>
            <w:rPr>
              <w:b/>
              <w:color w:val="000000"/>
              <w:sz w:val="32"/>
            </w:rPr>
            <w:t>ЕН</w:t>
          </w:r>
        </w:p>
      </w:tc>
    </w:tr>
  </w:tbl>
  <w:p w14:paraId="409EDDCD" w14:textId="77777777" w:rsidR="00EE0A2B" w:rsidRDefault="00EE0A2B">
    <w:pPr>
      <w:rPr>
        <w:b/>
        <w:color w:val="000000"/>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250"/>
      <w:gridCol w:w="1750"/>
      <w:gridCol w:w="4250"/>
    </w:tblGrid>
    <w:tr w:rsidR="00EE0A2B" w14:paraId="0FB54D5B" w14:textId="77777777">
      <w:tc>
        <w:tcPr>
          <w:tcW w:w="0" w:type="dxa"/>
          <w:tcMar>
            <w:top w:w="0" w:type="dxa"/>
            <w:left w:w="60" w:type="dxa"/>
            <w:bottom w:w="80" w:type="dxa"/>
            <w:right w:w="60" w:type="dxa"/>
          </w:tcMar>
        </w:tcPr>
        <w:p w14:paraId="369FD201" w14:textId="77777777" w:rsidR="00EE0A2B" w:rsidRDefault="00EE0A2B">
          <w:pPr>
            <w:rPr>
              <w:b/>
              <w:color w:val="000000"/>
            </w:rPr>
          </w:pPr>
          <w:r>
            <w:rPr>
              <w:b/>
              <w:color w:val="000000"/>
              <w:sz w:val="32"/>
            </w:rPr>
            <w:t>ЕН</w:t>
          </w:r>
        </w:p>
      </w:tc>
      <w:tc>
        <w:tcPr>
          <w:tcW w:w="0" w:type="dxa"/>
          <w:tcMar>
            <w:top w:w="0" w:type="dxa"/>
            <w:left w:w="60" w:type="dxa"/>
            <w:bottom w:w="80" w:type="dxa"/>
            <w:right w:w="60" w:type="dxa"/>
          </w:tcMar>
        </w:tcPr>
        <w:p w14:paraId="2C483B5E" w14:textId="77777777" w:rsidR="00EE0A2B" w:rsidRDefault="00EE0A2B">
          <w:pPr>
            <w:jc w:val="center"/>
            <w:rPr>
              <w:b/>
              <w:color w:val="000000"/>
              <w:sz w:val="32"/>
            </w:rPr>
          </w:pPr>
          <w:r>
            <w:rPr>
              <w:b/>
              <w:color w:val="000000"/>
            </w:rPr>
            <w:fldChar w:fldCharType="begin"/>
          </w:r>
          <w:r>
            <w:rPr>
              <w:b/>
              <w:color w:val="000000"/>
            </w:rPr>
            <w:instrText>PAGE</w:instrText>
          </w:r>
          <w:r>
            <w:rPr>
              <w:b/>
              <w:color w:val="000000"/>
            </w:rPr>
            <w:fldChar w:fldCharType="separate"/>
          </w:r>
          <w:r w:rsidR="0002372A">
            <w:rPr>
              <w:b/>
              <w:color w:val="000000"/>
            </w:rPr>
            <w:t>47</w:t>
          </w:r>
          <w:r>
            <w:rPr>
              <w:b/>
              <w:color w:val="000000"/>
            </w:rPr>
            <w:fldChar w:fldCharType="end"/>
          </w:r>
        </w:p>
      </w:tc>
      <w:tc>
        <w:tcPr>
          <w:tcW w:w="0" w:type="dxa"/>
          <w:tcMar>
            <w:top w:w="0" w:type="dxa"/>
            <w:left w:w="60" w:type="dxa"/>
            <w:bottom w:w="80" w:type="dxa"/>
            <w:right w:w="60" w:type="dxa"/>
          </w:tcMar>
        </w:tcPr>
        <w:p w14:paraId="6A1A582B" w14:textId="77777777" w:rsidR="00EE0A2B" w:rsidRDefault="00EE0A2B">
          <w:pPr>
            <w:jc w:val="right"/>
            <w:rPr>
              <w:b/>
              <w:color w:val="000000"/>
              <w:sz w:val="32"/>
            </w:rPr>
          </w:pPr>
          <w:r>
            <w:rPr>
              <w:b/>
              <w:color w:val="000000"/>
              <w:sz w:val="32"/>
            </w:rPr>
            <w:t>ЕН</w:t>
          </w:r>
        </w:p>
      </w:tc>
    </w:tr>
  </w:tbl>
  <w:p w14:paraId="39654678" w14:textId="77777777" w:rsidR="00EE0A2B" w:rsidRDefault="00EE0A2B">
    <w:pPr>
      <w:rPr>
        <w:b/>
        <w:color w:val="000000"/>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490E6" w14:textId="77777777" w:rsidR="00EE0A2B" w:rsidRDefault="00EE0A2B"/>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2E349" w14:textId="77777777" w:rsidR="00EE0A2B" w:rsidRDefault="00EE0A2B"/>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250"/>
      <w:gridCol w:w="1750"/>
      <w:gridCol w:w="4250"/>
    </w:tblGrid>
    <w:tr w:rsidR="00EE0A2B" w14:paraId="703020E0" w14:textId="77777777">
      <w:tc>
        <w:tcPr>
          <w:tcW w:w="0" w:type="dxa"/>
          <w:tcMar>
            <w:top w:w="0" w:type="dxa"/>
            <w:left w:w="60" w:type="dxa"/>
            <w:bottom w:w="80" w:type="dxa"/>
            <w:right w:w="60" w:type="dxa"/>
          </w:tcMar>
        </w:tcPr>
        <w:p w14:paraId="13CC3E4E" w14:textId="77777777" w:rsidR="00EE0A2B" w:rsidRDefault="00EE0A2B">
          <w:pPr>
            <w:rPr>
              <w:b/>
              <w:color w:val="000000"/>
            </w:rPr>
          </w:pPr>
          <w:r>
            <w:rPr>
              <w:b/>
              <w:color w:val="000000"/>
              <w:sz w:val="32"/>
            </w:rPr>
            <w:t>ЕН</w:t>
          </w:r>
        </w:p>
      </w:tc>
      <w:tc>
        <w:tcPr>
          <w:tcW w:w="0" w:type="dxa"/>
          <w:tcMar>
            <w:top w:w="0" w:type="dxa"/>
            <w:left w:w="60" w:type="dxa"/>
            <w:bottom w:w="80" w:type="dxa"/>
            <w:right w:w="60" w:type="dxa"/>
          </w:tcMar>
        </w:tcPr>
        <w:p w14:paraId="1D7EEF82" w14:textId="77777777" w:rsidR="00EE0A2B" w:rsidRDefault="00EE0A2B">
          <w:pPr>
            <w:jc w:val="center"/>
            <w:rPr>
              <w:b/>
              <w:color w:val="000000"/>
              <w:sz w:val="32"/>
            </w:rPr>
          </w:pPr>
          <w:r>
            <w:rPr>
              <w:b/>
              <w:color w:val="000000"/>
            </w:rPr>
            <w:fldChar w:fldCharType="begin"/>
          </w:r>
          <w:r>
            <w:rPr>
              <w:b/>
              <w:color w:val="000000"/>
            </w:rPr>
            <w:instrText>PAGE</w:instrText>
          </w:r>
          <w:r>
            <w:rPr>
              <w:b/>
              <w:color w:val="000000"/>
            </w:rPr>
            <w:fldChar w:fldCharType="separate"/>
          </w:r>
          <w:r w:rsidR="0002372A">
            <w:rPr>
              <w:b/>
              <w:color w:val="000000"/>
            </w:rPr>
            <w:t>53</w:t>
          </w:r>
          <w:r>
            <w:rPr>
              <w:b/>
              <w:color w:val="000000"/>
            </w:rPr>
            <w:fldChar w:fldCharType="end"/>
          </w:r>
        </w:p>
      </w:tc>
      <w:tc>
        <w:tcPr>
          <w:tcW w:w="0" w:type="dxa"/>
          <w:tcMar>
            <w:top w:w="0" w:type="dxa"/>
            <w:left w:w="60" w:type="dxa"/>
            <w:bottom w:w="80" w:type="dxa"/>
            <w:right w:w="60" w:type="dxa"/>
          </w:tcMar>
        </w:tcPr>
        <w:p w14:paraId="29B71868" w14:textId="77777777" w:rsidR="00EE0A2B" w:rsidRDefault="00EE0A2B">
          <w:pPr>
            <w:jc w:val="right"/>
            <w:rPr>
              <w:b/>
              <w:color w:val="000000"/>
              <w:sz w:val="32"/>
            </w:rPr>
          </w:pPr>
          <w:r>
            <w:rPr>
              <w:b/>
              <w:color w:val="000000"/>
              <w:sz w:val="32"/>
            </w:rPr>
            <w:t>ЕН</w:t>
          </w:r>
        </w:p>
      </w:tc>
    </w:tr>
  </w:tbl>
  <w:p w14:paraId="016A1C14" w14:textId="77777777" w:rsidR="00EE0A2B" w:rsidRDefault="00EE0A2B">
    <w:pPr>
      <w:rPr>
        <w:b/>
        <w:color w:val="000000"/>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FADD6" w14:textId="77777777" w:rsidR="00EE0A2B" w:rsidRDefault="00EE0A2B"/>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8A73C" w14:textId="77777777" w:rsidR="00EE0A2B" w:rsidRDefault="00EE0A2B"/>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250"/>
      <w:gridCol w:w="1750"/>
      <w:gridCol w:w="4250"/>
    </w:tblGrid>
    <w:tr w:rsidR="00EE0A2B" w14:paraId="2D59719B" w14:textId="77777777">
      <w:tc>
        <w:tcPr>
          <w:tcW w:w="0" w:type="dxa"/>
          <w:tcMar>
            <w:top w:w="0" w:type="dxa"/>
            <w:left w:w="60" w:type="dxa"/>
            <w:bottom w:w="80" w:type="dxa"/>
            <w:right w:w="60" w:type="dxa"/>
          </w:tcMar>
          <w:vAlign w:val="center"/>
        </w:tcPr>
        <w:p w14:paraId="5F42B2E1" w14:textId="77777777" w:rsidR="00EE0A2B" w:rsidRDefault="00EE0A2B">
          <w:pPr>
            <w:rPr>
              <w:b/>
              <w:color w:val="000000"/>
            </w:rPr>
          </w:pPr>
          <w:r>
            <w:rPr>
              <w:b/>
              <w:color w:val="000000"/>
              <w:sz w:val="32"/>
            </w:rPr>
            <w:t>ЕН</w:t>
          </w:r>
        </w:p>
      </w:tc>
      <w:tc>
        <w:tcPr>
          <w:tcW w:w="0" w:type="dxa"/>
          <w:tcMar>
            <w:top w:w="0" w:type="dxa"/>
            <w:left w:w="60" w:type="dxa"/>
            <w:bottom w:w="80" w:type="dxa"/>
            <w:right w:w="60" w:type="dxa"/>
          </w:tcMar>
          <w:vAlign w:val="center"/>
        </w:tcPr>
        <w:p w14:paraId="1CD551D5" w14:textId="77777777" w:rsidR="00EE0A2B" w:rsidRDefault="00EE0A2B">
          <w:pPr>
            <w:jc w:val="center"/>
            <w:rPr>
              <w:b/>
              <w:color w:val="000000"/>
              <w:sz w:val="32"/>
            </w:rPr>
          </w:pPr>
          <w:r>
            <w:rPr>
              <w:b/>
              <w:color w:val="000000"/>
            </w:rPr>
            <w:fldChar w:fldCharType="begin"/>
          </w:r>
          <w:r>
            <w:rPr>
              <w:b/>
              <w:color w:val="000000"/>
            </w:rPr>
            <w:instrText>PAGE</w:instrText>
          </w:r>
          <w:r>
            <w:rPr>
              <w:b/>
              <w:color w:val="000000"/>
            </w:rPr>
            <w:fldChar w:fldCharType="separate"/>
          </w:r>
          <w:r w:rsidR="0002372A">
            <w:rPr>
              <w:b/>
              <w:color w:val="000000"/>
            </w:rPr>
            <w:t>61</w:t>
          </w:r>
          <w:r>
            <w:rPr>
              <w:b/>
              <w:color w:val="000000"/>
            </w:rPr>
            <w:fldChar w:fldCharType="end"/>
          </w:r>
        </w:p>
      </w:tc>
      <w:tc>
        <w:tcPr>
          <w:tcW w:w="0" w:type="dxa"/>
          <w:tcMar>
            <w:top w:w="0" w:type="dxa"/>
            <w:left w:w="60" w:type="dxa"/>
            <w:bottom w:w="80" w:type="dxa"/>
            <w:right w:w="60" w:type="dxa"/>
          </w:tcMar>
          <w:vAlign w:val="center"/>
        </w:tcPr>
        <w:p w14:paraId="3EB12807" w14:textId="77777777" w:rsidR="00EE0A2B" w:rsidRDefault="00EE0A2B">
          <w:pPr>
            <w:jc w:val="right"/>
            <w:rPr>
              <w:b/>
              <w:color w:val="000000"/>
              <w:sz w:val="32"/>
            </w:rPr>
          </w:pPr>
          <w:r>
            <w:rPr>
              <w:b/>
              <w:color w:val="000000"/>
              <w:sz w:val="32"/>
            </w:rPr>
            <w:t>ЕН</w:t>
          </w:r>
        </w:p>
      </w:tc>
    </w:tr>
  </w:tbl>
  <w:p w14:paraId="5B6811B6" w14:textId="77777777" w:rsidR="00EE0A2B" w:rsidRDefault="00EE0A2B">
    <w:pPr>
      <w:rPr>
        <w:b/>
        <w:color w:val="000000"/>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05AB6" w14:textId="77777777" w:rsidR="00EE0A2B" w:rsidRDefault="00EE0A2B"/>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49910" w14:textId="77777777" w:rsidR="00EE0A2B" w:rsidRDefault="00EE0A2B"/>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250"/>
      <w:gridCol w:w="1750"/>
      <w:gridCol w:w="4250"/>
    </w:tblGrid>
    <w:tr w:rsidR="00EE0A2B" w14:paraId="3497B714" w14:textId="77777777">
      <w:tc>
        <w:tcPr>
          <w:tcW w:w="0" w:type="dxa"/>
          <w:tcMar>
            <w:top w:w="0" w:type="dxa"/>
            <w:left w:w="60" w:type="dxa"/>
            <w:bottom w:w="80" w:type="dxa"/>
            <w:right w:w="60" w:type="dxa"/>
          </w:tcMar>
        </w:tcPr>
        <w:p w14:paraId="0B56C7A7" w14:textId="77777777" w:rsidR="00EE0A2B" w:rsidRDefault="00EE0A2B">
          <w:pPr>
            <w:rPr>
              <w:b/>
              <w:color w:val="000000"/>
            </w:rPr>
          </w:pPr>
          <w:r>
            <w:rPr>
              <w:b/>
              <w:color w:val="000000"/>
              <w:sz w:val="32"/>
            </w:rPr>
            <w:t>ЕН</w:t>
          </w:r>
        </w:p>
      </w:tc>
      <w:tc>
        <w:tcPr>
          <w:tcW w:w="0" w:type="dxa"/>
          <w:tcMar>
            <w:top w:w="0" w:type="dxa"/>
            <w:left w:w="60" w:type="dxa"/>
            <w:bottom w:w="80" w:type="dxa"/>
            <w:right w:w="60" w:type="dxa"/>
          </w:tcMar>
        </w:tcPr>
        <w:p w14:paraId="1B35FD81" w14:textId="77777777" w:rsidR="00EE0A2B" w:rsidRDefault="00EE0A2B">
          <w:pPr>
            <w:jc w:val="center"/>
            <w:rPr>
              <w:b/>
              <w:color w:val="000000"/>
              <w:sz w:val="32"/>
            </w:rPr>
          </w:pPr>
          <w:r>
            <w:rPr>
              <w:b/>
              <w:color w:val="000000"/>
            </w:rPr>
            <w:fldChar w:fldCharType="begin"/>
          </w:r>
          <w:r>
            <w:rPr>
              <w:b/>
              <w:color w:val="000000"/>
            </w:rPr>
            <w:instrText>PAGE</w:instrText>
          </w:r>
          <w:r>
            <w:rPr>
              <w:b/>
              <w:color w:val="000000"/>
            </w:rPr>
            <w:fldChar w:fldCharType="separate"/>
          </w:r>
          <w:r w:rsidR="0002372A">
            <w:rPr>
              <w:b/>
              <w:color w:val="000000"/>
            </w:rPr>
            <w:t>67</w:t>
          </w:r>
          <w:r>
            <w:rPr>
              <w:b/>
              <w:color w:val="000000"/>
            </w:rPr>
            <w:fldChar w:fldCharType="end"/>
          </w:r>
        </w:p>
      </w:tc>
      <w:tc>
        <w:tcPr>
          <w:tcW w:w="0" w:type="dxa"/>
          <w:tcMar>
            <w:top w:w="0" w:type="dxa"/>
            <w:left w:w="60" w:type="dxa"/>
            <w:bottom w:w="80" w:type="dxa"/>
            <w:right w:w="60" w:type="dxa"/>
          </w:tcMar>
        </w:tcPr>
        <w:p w14:paraId="014AFB4F" w14:textId="77777777" w:rsidR="00EE0A2B" w:rsidRDefault="00EE0A2B">
          <w:pPr>
            <w:jc w:val="right"/>
            <w:rPr>
              <w:b/>
              <w:color w:val="000000"/>
              <w:sz w:val="32"/>
            </w:rPr>
          </w:pPr>
          <w:r>
            <w:rPr>
              <w:b/>
              <w:color w:val="000000"/>
              <w:sz w:val="32"/>
            </w:rPr>
            <w:t>ЕН</w:t>
          </w:r>
        </w:p>
      </w:tc>
    </w:tr>
  </w:tbl>
  <w:p w14:paraId="3B5748A4" w14:textId="77777777" w:rsidR="00EE0A2B" w:rsidRDefault="00EE0A2B">
    <w:pPr>
      <w:rPr>
        <w:b/>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1FF43" w14:textId="77777777" w:rsidR="00EE0A2B" w:rsidRDefault="00EE0A2B"/>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B6A5B" w14:textId="77777777" w:rsidR="00EE0A2B" w:rsidRDefault="00EE0A2B"/>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1966C" w14:textId="77777777" w:rsidR="00EE0A2B" w:rsidRDefault="00EE0A2B"/>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6295"/>
      <w:gridCol w:w="2592"/>
      <w:gridCol w:w="6295"/>
    </w:tblGrid>
    <w:tr w:rsidR="00EE0A2B" w14:paraId="4E332D49" w14:textId="77777777">
      <w:tc>
        <w:tcPr>
          <w:tcW w:w="0" w:type="dxa"/>
          <w:tcMar>
            <w:top w:w="0" w:type="dxa"/>
            <w:left w:w="60" w:type="dxa"/>
            <w:bottom w:w="80" w:type="dxa"/>
            <w:right w:w="60" w:type="dxa"/>
          </w:tcMar>
        </w:tcPr>
        <w:p w14:paraId="786E5A4D" w14:textId="77777777" w:rsidR="00EE0A2B" w:rsidRDefault="00EE0A2B">
          <w:pPr>
            <w:rPr>
              <w:b/>
              <w:color w:val="000000"/>
            </w:rPr>
          </w:pPr>
          <w:r>
            <w:rPr>
              <w:b/>
              <w:color w:val="000000"/>
              <w:sz w:val="32"/>
            </w:rPr>
            <w:t>ЕН</w:t>
          </w:r>
        </w:p>
      </w:tc>
      <w:tc>
        <w:tcPr>
          <w:tcW w:w="0" w:type="dxa"/>
          <w:tcMar>
            <w:top w:w="0" w:type="dxa"/>
            <w:left w:w="60" w:type="dxa"/>
            <w:bottom w:w="80" w:type="dxa"/>
            <w:right w:w="60" w:type="dxa"/>
          </w:tcMar>
        </w:tcPr>
        <w:p w14:paraId="3C8B28D8" w14:textId="77777777" w:rsidR="00EE0A2B" w:rsidRDefault="00EE0A2B">
          <w:pPr>
            <w:jc w:val="center"/>
            <w:rPr>
              <w:b/>
              <w:color w:val="000000"/>
              <w:sz w:val="32"/>
            </w:rPr>
          </w:pPr>
          <w:r>
            <w:rPr>
              <w:b/>
              <w:color w:val="000000"/>
            </w:rPr>
            <w:fldChar w:fldCharType="begin"/>
          </w:r>
          <w:r>
            <w:rPr>
              <w:b/>
              <w:color w:val="000000"/>
            </w:rPr>
            <w:instrText>PAGE</w:instrText>
          </w:r>
          <w:r>
            <w:rPr>
              <w:b/>
              <w:color w:val="000000"/>
            </w:rPr>
            <w:fldChar w:fldCharType="separate"/>
          </w:r>
          <w:r w:rsidR="0002372A">
            <w:rPr>
              <w:b/>
              <w:color w:val="000000"/>
            </w:rPr>
            <w:t>69</w:t>
          </w:r>
          <w:r>
            <w:rPr>
              <w:b/>
              <w:color w:val="000000"/>
            </w:rPr>
            <w:fldChar w:fldCharType="end"/>
          </w:r>
        </w:p>
      </w:tc>
      <w:tc>
        <w:tcPr>
          <w:tcW w:w="0" w:type="dxa"/>
          <w:tcMar>
            <w:top w:w="0" w:type="dxa"/>
            <w:left w:w="60" w:type="dxa"/>
            <w:bottom w:w="80" w:type="dxa"/>
            <w:right w:w="60" w:type="dxa"/>
          </w:tcMar>
        </w:tcPr>
        <w:p w14:paraId="41AABD76" w14:textId="77777777" w:rsidR="00EE0A2B" w:rsidRDefault="00EE0A2B">
          <w:pPr>
            <w:jc w:val="right"/>
            <w:rPr>
              <w:b/>
              <w:color w:val="000000"/>
              <w:sz w:val="32"/>
            </w:rPr>
          </w:pPr>
          <w:r>
            <w:rPr>
              <w:b/>
              <w:color w:val="000000"/>
              <w:sz w:val="32"/>
            </w:rPr>
            <w:t>ЕН</w:t>
          </w:r>
        </w:p>
      </w:tc>
    </w:tr>
  </w:tbl>
  <w:p w14:paraId="1C5D260F" w14:textId="77777777" w:rsidR="00EE0A2B" w:rsidRDefault="00EE0A2B">
    <w:pPr>
      <w:rPr>
        <w:b/>
        <w:color w:val="000000"/>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67A17" w14:textId="77777777" w:rsidR="00EE0A2B" w:rsidRDefault="00EE0A2B"/>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A3CB" w14:textId="77777777" w:rsidR="00EE0A2B" w:rsidRDefault="00EE0A2B"/>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250"/>
      <w:gridCol w:w="1750"/>
      <w:gridCol w:w="4250"/>
    </w:tblGrid>
    <w:tr w:rsidR="00EE0A2B" w14:paraId="5380F130" w14:textId="77777777">
      <w:tc>
        <w:tcPr>
          <w:tcW w:w="0" w:type="dxa"/>
          <w:tcMar>
            <w:top w:w="0" w:type="dxa"/>
            <w:left w:w="60" w:type="dxa"/>
            <w:bottom w:w="80" w:type="dxa"/>
            <w:right w:w="60" w:type="dxa"/>
          </w:tcMar>
          <w:vAlign w:val="center"/>
        </w:tcPr>
        <w:p w14:paraId="03FA4898" w14:textId="77777777" w:rsidR="00EE0A2B" w:rsidRDefault="00EE0A2B">
          <w:pPr>
            <w:rPr>
              <w:b/>
              <w:color w:val="000000"/>
            </w:rPr>
          </w:pPr>
          <w:r>
            <w:rPr>
              <w:b/>
              <w:color w:val="000000"/>
              <w:sz w:val="32"/>
            </w:rPr>
            <w:t>ЕН</w:t>
          </w:r>
        </w:p>
      </w:tc>
      <w:tc>
        <w:tcPr>
          <w:tcW w:w="0" w:type="dxa"/>
          <w:tcMar>
            <w:top w:w="0" w:type="dxa"/>
            <w:left w:w="60" w:type="dxa"/>
            <w:bottom w:w="80" w:type="dxa"/>
            <w:right w:w="60" w:type="dxa"/>
          </w:tcMar>
          <w:vAlign w:val="center"/>
        </w:tcPr>
        <w:p w14:paraId="33BF949C" w14:textId="77777777" w:rsidR="00EE0A2B" w:rsidRDefault="00EE0A2B">
          <w:pPr>
            <w:jc w:val="center"/>
            <w:rPr>
              <w:b/>
              <w:color w:val="000000"/>
              <w:sz w:val="32"/>
            </w:rPr>
          </w:pPr>
          <w:r>
            <w:rPr>
              <w:b/>
              <w:color w:val="000000"/>
            </w:rPr>
            <w:fldChar w:fldCharType="begin"/>
          </w:r>
          <w:r>
            <w:rPr>
              <w:b/>
              <w:color w:val="000000"/>
            </w:rPr>
            <w:instrText>PAGE</w:instrText>
          </w:r>
          <w:r>
            <w:rPr>
              <w:b/>
              <w:color w:val="000000"/>
            </w:rPr>
            <w:fldChar w:fldCharType="separate"/>
          </w:r>
          <w:r w:rsidR="0002372A">
            <w:rPr>
              <w:b/>
              <w:color w:val="000000"/>
            </w:rPr>
            <w:t>74</w:t>
          </w:r>
          <w:r>
            <w:rPr>
              <w:b/>
              <w:color w:val="000000"/>
            </w:rPr>
            <w:fldChar w:fldCharType="end"/>
          </w:r>
        </w:p>
      </w:tc>
      <w:tc>
        <w:tcPr>
          <w:tcW w:w="0" w:type="dxa"/>
          <w:tcMar>
            <w:top w:w="0" w:type="dxa"/>
            <w:left w:w="60" w:type="dxa"/>
            <w:bottom w:w="80" w:type="dxa"/>
            <w:right w:w="60" w:type="dxa"/>
          </w:tcMar>
          <w:vAlign w:val="center"/>
        </w:tcPr>
        <w:p w14:paraId="57B4F0A6" w14:textId="77777777" w:rsidR="00EE0A2B" w:rsidRDefault="00EE0A2B">
          <w:pPr>
            <w:jc w:val="right"/>
            <w:rPr>
              <w:b/>
              <w:color w:val="000000"/>
              <w:sz w:val="32"/>
            </w:rPr>
          </w:pPr>
          <w:r>
            <w:rPr>
              <w:b/>
              <w:color w:val="000000"/>
              <w:sz w:val="32"/>
            </w:rPr>
            <w:t>ЕН</w:t>
          </w:r>
        </w:p>
      </w:tc>
    </w:tr>
  </w:tbl>
  <w:p w14:paraId="14B192F6" w14:textId="77777777" w:rsidR="00EE0A2B" w:rsidRDefault="00EE0A2B">
    <w:pPr>
      <w:rPr>
        <w:b/>
        <w:color w:val="000000"/>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03634" w14:textId="77777777" w:rsidR="00EE0A2B" w:rsidRDefault="00EE0A2B"/>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A6BC" w14:textId="77777777" w:rsidR="00EE0A2B" w:rsidRDefault="00EE0A2B"/>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081"/>
      <w:gridCol w:w="2089"/>
      <w:gridCol w:w="4080"/>
    </w:tblGrid>
    <w:tr w:rsidR="00EE0A2B" w14:paraId="5789D0A8" w14:textId="77777777">
      <w:tc>
        <w:tcPr>
          <w:tcW w:w="0" w:type="dxa"/>
          <w:tcMar>
            <w:top w:w="20" w:type="dxa"/>
            <w:left w:w="120" w:type="dxa"/>
            <w:bottom w:w="120" w:type="dxa"/>
            <w:right w:w="120" w:type="dxa"/>
          </w:tcMar>
          <w:vAlign w:val="bottom"/>
        </w:tcPr>
        <w:p w14:paraId="1FA14BE9" w14:textId="77777777" w:rsidR="00EE0A2B" w:rsidRDefault="00EE0A2B">
          <w:pPr>
            <w:rPr>
              <w:b/>
              <w:color w:val="000000"/>
            </w:rPr>
          </w:pPr>
          <w:r>
            <w:rPr>
              <w:b/>
              <w:color w:val="000000"/>
              <w:sz w:val="32"/>
            </w:rPr>
            <w:t>ЕН</w:t>
          </w:r>
        </w:p>
      </w:tc>
      <w:tc>
        <w:tcPr>
          <w:tcW w:w="0" w:type="dxa"/>
          <w:tcMar>
            <w:top w:w="20" w:type="dxa"/>
            <w:left w:w="120" w:type="dxa"/>
            <w:bottom w:w="120" w:type="dxa"/>
            <w:right w:w="120" w:type="dxa"/>
          </w:tcMar>
          <w:vAlign w:val="bottom"/>
        </w:tcPr>
        <w:p w14:paraId="09E9EB36" w14:textId="77777777" w:rsidR="00EE0A2B" w:rsidRDefault="00EE0A2B">
          <w:pPr>
            <w:jc w:val="center"/>
            <w:rPr>
              <w:b/>
              <w:color w:val="000000"/>
              <w:sz w:val="32"/>
            </w:rPr>
          </w:pPr>
          <w:r>
            <w:rPr>
              <w:b/>
              <w:color w:val="000000"/>
            </w:rPr>
            <w:fldChar w:fldCharType="begin"/>
          </w:r>
          <w:r>
            <w:rPr>
              <w:b/>
              <w:color w:val="000000"/>
            </w:rPr>
            <w:instrText>PAGE</w:instrText>
          </w:r>
          <w:r>
            <w:rPr>
              <w:b/>
              <w:color w:val="000000"/>
            </w:rPr>
            <w:fldChar w:fldCharType="separate"/>
          </w:r>
          <w:r w:rsidR="0002372A">
            <w:rPr>
              <w:b/>
              <w:color w:val="000000"/>
            </w:rPr>
            <w:t>75</w:t>
          </w:r>
          <w:r>
            <w:rPr>
              <w:b/>
              <w:color w:val="000000"/>
            </w:rPr>
            <w:fldChar w:fldCharType="end"/>
          </w:r>
        </w:p>
      </w:tc>
      <w:tc>
        <w:tcPr>
          <w:tcW w:w="0" w:type="dxa"/>
          <w:tcMar>
            <w:top w:w="20" w:type="dxa"/>
            <w:left w:w="120" w:type="dxa"/>
            <w:bottom w:w="120" w:type="dxa"/>
            <w:right w:w="120" w:type="dxa"/>
          </w:tcMar>
          <w:vAlign w:val="bottom"/>
        </w:tcPr>
        <w:p w14:paraId="6DF1279E" w14:textId="77777777" w:rsidR="00EE0A2B" w:rsidRDefault="00EE0A2B">
          <w:pPr>
            <w:jc w:val="right"/>
            <w:rPr>
              <w:b/>
              <w:color w:val="000000"/>
              <w:sz w:val="32"/>
            </w:rPr>
          </w:pPr>
          <w:r>
            <w:rPr>
              <w:b/>
              <w:color w:val="000000"/>
              <w:sz w:val="32"/>
            </w:rPr>
            <w:t>ЕН</w:t>
          </w:r>
        </w:p>
      </w:tc>
    </w:tr>
  </w:tbl>
  <w:p w14:paraId="5D16AB66" w14:textId="77777777" w:rsidR="00EE0A2B" w:rsidRDefault="00EE0A2B">
    <w:pPr>
      <w:rPr>
        <w:b/>
        <w:color w:val="000000"/>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FB6DE" w14:textId="77777777" w:rsidR="00EE0A2B" w:rsidRDefault="00EE0A2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30483" w14:textId="77777777" w:rsidR="00EE0A2B" w:rsidRDefault="00EE0A2B"/>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94FE" w14:textId="77777777" w:rsidR="00EE0A2B" w:rsidRDefault="00EE0A2B"/>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250"/>
      <w:gridCol w:w="1750"/>
      <w:gridCol w:w="4250"/>
    </w:tblGrid>
    <w:tr w:rsidR="00EE0A2B" w14:paraId="2B4C864F" w14:textId="77777777">
      <w:tc>
        <w:tcPr>
          <w:tcW w:w="0" w:type="dxa"/>
          <w:tcMar>
            <w:top w:w="0" w:type="dxa"/>
            <w:left w:w="60" w:type="dxa"/>
            <w:bottom w:w="80" w:type="dxa"/>
            <w:right w:w="60" w:type="dxa"/>
          </w:tcMar>
          <w:vAlign w:val="center"/>
        </w:tcPr>
        <w:p w14:paraId="24A033B9" w14:textId="77777777" w:rsidR="00EE0A2B" w:rsidRDefault="00EE0A2B">
          <w:pPr>
            <w:rPr>
              <w:b/>
              <w:color w:val="000000"/>
            </w:rPr>
          </w:pPr>
          <w:r>
            <w:rPr>
              <w:b/>
              <w:color w:val="000000"/>
              <w:sz w:val="32"/>
            </w:rPr>
            <w:t>ЕН</w:t>
          </w:r>
        </w:p>
      </w:tc>
      <w:tc>
        <w:tcPr>
          <w:tcW w:w="0" w:type="dxa"/>
          <w:tcMar>
            <w:top w:w="0" w:type="dxa"/>
            <w:left w:w="60" w:type="dxa"/>
            <w:bottom w:w="80" w:type="dxa"/>
            <w:right w:w="60" w:type="dxa"/>
          </w:tcMar>
          <w:vAlign w:val="center"/>
        </w:tcPr>
        <w:p w14:paraId="30ECF508" w14:textId="77777777" w:rsidR="00EE0A2B" w:rsidRDefault="00EE0A2B">
          <w:pPr>
            <w:jc w:val="center"/>
            <w:rPr>
              <w:b/>
              <w:color w:val="000000"/>
              <w:sz w:val="32"/>
            </w:rPr>
          </w:pPr>
          <w:r>
            <w:rPr>
              <w:b/>
              <w:color w:val="000000"/>
            </w:rPr>
            <w:fldChar w:fldCharType="begin"/>
          </w:r>
          <w:r>
            <w:rPr>
              <w:b/>
              <w:color w:val="000000"/>
            </w:rPr>
            <w:instrText>PAGE</w:instrText>
          </w:r>
          <w:r>
            <w:rPr>
              <w:b/>
              <w:color w:val="000000"/>
            </w:rPr>
            <w:fldChar w:fldCharType="separate"/>
          </w:r>
          <w:r w:rsidR="0002372A">
            <w:rPr>
              <w:b/>
              <w:color w:val="000000"/>
            </w:rPr>
            <w:t>76</w:t>
          </w:r>
          <w:r>
            <w:rPr>
              <w:b/>
              <w:color w:val="000000"/>
            </w:rPr>
            <w:fldChar w:fldCharType="end"/>
          </w:r>
        </w:p>
      </w:tc>
      <w:tc>
        <w:tcPr>
          <w:tcW w:w="0" w:type="dxa"/>
          <w:tcMar>
            <w:top w:w="0" w:type="dxa"/>
            <w:left w:w="60" w:type="dxa"/>
            <w:bottom w:w="80" w:type="dxa"/>
            <w:right w:w="60" w:type="dxa"/>
          </w:tcMar>
          <w:vAlign w:val="center"/>
        </w:tcPr>
        <w:p w14:paraId="0D810FEC" w14:textId="77777777" w:rsidR="00EE0A2B" w:rsidRDefault="00EE0A2B">
          <w:pPr>
            <w:jc w:val="right"/>
            <w:rPr>
              <w:b/>
              <w:color w:val="000000"/>
              <w:sz w:val="32"/>
            </w:rPr>
          </w:pPr>
          <w:r>
            <w:rPr>
              <w:b/>
              <w:color w:val="000000"/>
              <w:sz w:val="32"/>
            </w:rPr>
            <w:t>ЕН</w:t>
          </w:r>
        </w:p>
      </w:tc>
    </w:tr>
  </w:tbl>
  <w:p w14:paraId="31C959AB" w14:textId="77777777" w:rsidR="00EE0A2B" w:rsidRDefault="00EE0A2B">
    <w:pPr>
      <w:rPr>
        <w:b/>
        <w:color w:val="000000"/>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D5461" w14:textId="77777777" w:rsidR="00EE0A2B" w:rsidRDefault="00EE0A2B"/>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4DFEE" w14:textId="77777777" w:rsidR="00EE0A2B" w:rsidRDefault="00EE0A2B"/>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250"/>
      <w:gridCol w:w="1750"/>
      <w:gridCol w:w="4250"/>
    </w:tblGrid>
    <w:tr w:rsidR="00EE0A2B" w14:paraId="0D41C38E" w14:textId="77777777">
      <w:tc>
        <w:tcPr>
          <w:tcW w:w="0" w:type="dxa"/>
          <w:tcMar>
            <w:top w:w="0" w:type="dxa"/>
            <w:left w:w="60" w:type="dxa"/>
            <w:bottom w:w="80" w:type="dxa"/>
            <w:right w:w="60" w:type="dxa"/>
          </w:tcMar>
          <w:vAlign w:val="center"/>
        </w:tcPr>
        <w:p w14:paraId="4CAFC91A" w14:textId="77777777" w:rsidR="00EE0A2B" w:rsidRDefault="00EE0A2B">
          <w:pPr>
            <w:rPr>
              <w:b/>
              <w:color w:val="000000"/>
            </w:rPr>
          </w:pPr>
          <w:r>
            <w:rPr>
              <w:b/>
              <w:color w:val="000000"/>
              <w:sz w:val="32"/>
            </w:rPr>
            <w:t>ЕН</w:t>
          </w:r>
        </w:p>
      </w:tc>
      <w:tc>
        <w:tcPr>
          <w:tcW w:w="0" w:type="dxa"/>
          <w:tcMar>
            <w:top w:w="0" w:type="dxa"/>
            <w:left w:w="60" w:type="dxa"/>
            <w:bottom w:w="80" w:type="dxa"/>
            <w:right w:w="60" w:type="dxa"/>
          </w:tcMar>
          <w:vAlign w:val="center"/>
        </w:tcPr>
        <w:p w14:paraId="0EC2C569" w14:textId="77777777" w:rsidR="00EE0A2B" w:rsidRDefault="00EE0A2B">
          <w:pPr>
            <w:jc w:val="center"/>
            <w:rPr>
              <w:b/>
              <w:color w:val="000000"/>
              <w:sz w:val="32"/>
            </w:rPr>
          </w:pPr>
          <w:r>
            <w:rPr>
              <w:b/>
              <w:color w:val="000000"/>
            </w:rPr>
            <w:fldChar w:fldCharType="begin"/>
          </w:r>
          <w:r>
            <w:rPr>
              <w:b/>
              <w:color w:val="000000"/>
            </w:rPr>
            <w:instrText>PAGE</w:instrText>
          </w:r>
          <w:r>
            <w:rPr>
              <w:b/>
              <w:color w:val="000000"/>
            </w:rPr>
            <w:fldChar w:fldCharType="separate"/>
          </w:r>
          <w:r w:rsidR="0002372A">
            <w:rPr>
              <w:b/>
              <w:color w:val="000000"/>
            </w:rPr>
            <w:t>79</w:t>
          </w:r>
          <w:r>
            <w:rPr>
              <w:b/>
              <w:color w:val="000000"/>
            </w:rPr>
            <w:fldChar w:fldCharType="end"/>
          </w:r>
        </w:p>
      </w:tc>
      <w:tc>
        <w:tcPr>
          <w:tcW w:w="0" w:type="dxa"/>
          <w:tcMar>
            <w:top w:w="0" w:type="dxa"/>
            <w:left w:w="60" w:type="dxa"/>
            <w:bottom w:w="80" w:type="dxa"/>
            <w:right w:w="60" w:type="dxa"/>
          </w:tcMar>
          <w:vAlign w:val="center"/>
        </w:tcPr>
        <w:p w14:paraId="611C1440" w14:textId="77777777" w:rsidR="00EE0A2B" w:rsidRDefault="00EE0A2B">
          <w:pPr>
            <w:jc w:val="right"/>
            <w:rPr>
              <w:b/>
              <w:color w:val="000000"/>
              <w:sz w:val="32"/>
            </w:rPr>
          </w:pPr>
          <w:r>
            <w:rPr>
              <w:b/>
              <w:color w:val="000000"/>
              <w:sz w:val="32"/>
            </w:rPr>
            <w:t>ЕН</w:t>
          </w:r>
        </w:p>
      </w:tc>
    </w:tr>
  </w:tbl>
  <w:p w14:paraId="2EF7CC12" w14:textId="77777777" w:rsidR="00EE0A2B" w:rsidRDefault="00EE0A2B">
    <w:pPr>
      <w:rPr>
        <w:b/>
        <w:color w:val="000000"/>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AD01C" w14:textId="77777777" w:rsidR="00EE0A2B" w:rsidRDefault="00EE0A2B"/>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A203D" w14:textId="77777777" w:rsidR="00EE0A2B" w:rsidRDefault="00EE0A2B"/>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250"/>
      <w:gridCol w:w="1750"/>
      <w:gridCol w:w="4250"/>
    </w:tblGrid>
    <w:tr w:rsidR="00EE0A2B" w14:paraId="6B45CE1A" w14:textId="77777777">
      <w:tc>
        <w:tcPr>
          <w:tcW w:w="0" w:type="dxa"/>
          <w:tcMar>
            <w:top w:w="0" w:type="dxa"/>
            <w:left w:w="60" w:type="dxa"/>
            <w:bottom w:w="80" w:type="dxa"/>
            <w:right w:w="60" w:type="dxa"/>
          </w:tcMar>
        </w:tcPr>
        <w:p w14:paraId="7A3158C7" w14:textId="77777777" w:rsidR="00EE0A2B" w:rsidRDefault="00EE0A2B">
          <w:pPr>
            <w:rPr>
              <w:b/>
              <w:color w:val="000000"/>
            </w:rPr>
          </w:pPr>
          <w:r>
            <w:rPr>
              <w:b/>
              <w:color w:val="000000"/>
              <w:sz w:val="32"/>
            </w:rPr>
            <w:t>ЕН</w:t>
          </w:r>
        </w:p>
      </w:tc>
      <w:tc>
        <w:tcPr>
          <w:tcW w:w="0" w:type="dxa"/>
          <w:tcMar>
            <w:top w:w="0" w:type="dxa"/>
            <w:left w:w="60" w:type="dxa"/>
            <w:bottom w:w="80" w:type="dxa"/>
            <w:right w:w="60" w:type="dxa"/>
          </w:tcMar>
        </w:tcPr>
        <w:p w14:paraId="5227B6DD" w14:textId="77777777" w:rsidR="00EE0A2B" w:rsidRDefault="00EE0A2B">
          <w:pPr>
            <w:jc w:val="center"/>
            <w:rPr>
              <w:b/>
              <w:color w:val="000000"/>
              <w:sz w:val="32"/>
            </w:rPr>
          </w:pPr>
          <w:r>
            <w:rPr>
              <w:b/>
              <w:color w:val="000000"/>
            </w:rPr>
            <w:fldChar w:fldCharType="begin"/>
          </w:r>
          <w:r>
            <w:rPr>
              <w:b/>
              <w:color w:val="000000"/>
            </w:rPr>
            <w:instrText>PAGE</w:instrText>
          </w:r>
          <w:r>
            <w:rPr>
              <w:b/>
              <w:color w:val="000000"/>
            </w:rPr>
            <w:fldChar w:fldCharType="separate"/>
          </w:r>
          <w:r w:rsidR="0002372A">
            <w:rPr>
              <w:b/>
              <w:color w:val="000000"/>
            </w:rPr>
            <w:t>80</w:t>
          </w:r>
          <w:r>
            <w:rPr>
              <w:b/>
              <w:color w:val="000000"/>
            </w:rPr>
            <w:fldChar w:fldCharType="end"/>
          </w:r>
        </w:p>
      </w:tc>
      <w:tc>
        <w:tcPr>
          <w:tcW w:w="0" w:type="dxa"/>
          <w:tcMar>
            <w:top w:w="0" w:type="dxa"/>
            <w:left w:w="60" w:type="dxa"/>
            <w:bottom w:w="80" w:type="dxa"/>
            <w:right w:w="60" w:type="dxa"/>
          </w:tcMar>
        </w:tcPr>
        <w:p w14:paraId="589F1DC4" w14:textId="77777777" w:rsidR="00EE0A2B" w:rsidRDefault="00EE0A2B">
          <w:pPr>
            <w:jc w:val="right"/>
            <w:rPr>
              <w:b/>
              <w:color w:val="000000"/>
              <w:sz w:val="32"/>
            </w:rPr>
          </w:pPr>
          <w:r>
            <w:rPr>
              <w:b/>
              <w:color w:val="000000"/>
              <w:sz w:val="32"/>
            </w:rPr>
            <w:t>ЕН</w:t>
          </w:r>
        </w:p>
      </w:tc>
    </w:tr>
  </w:tbl>
  <w:p w14:paraId="7000BCD8" w14:textId="77777777" w:rsidR="00EE0A2B" w:rsidRDefault="00EE0A2B">
    <w:pPr>
      <w:rPr>
        <w:b/>
        <w:color w:val="000000"/>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D7B5F" w14:textId="77777777" w:rsidR="00EE0A2B" w:rsidRDefault="00EE0A2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250"/>
      <w:gridCol w:w="1750"/>
      <w:gridCol w:w="4250"/>
    </w:tblGrid>
    <w:tr w:rsidR="00EE0A2B" w14:paraId="386C520C" w14:textId="77777777">
      <w:trPr>
        <w:trHeight w:val="160"/>
      </w:trPr>
      <w:tc>
        <w:tcPr>
          <w:tcW w:w="0" w:type="dxa"/>
          <w:tcMar>
            <w:top w:w="0" w:type="dxa"/>
            <w:left w:w="60" w:type="dxa"/>
            <w:bottom w:w="80" w:type="dxa"/>
            <w:right w:w="60" w:type="dxa"/>
          </w:tcMar>
        </w:tcPr>
        <w:p w14:paraId="6216546B" w14:textId="77777777" w:rsidR="00EE0A2B" w:rsidRDefault="00EE0A2B">
          <w:pPr>
            <w:rPr>
              <w:b/>
              <w:color w:val="000000"/>
            </w:rPr>
          </w:pPr>
          <w:r>
            <w:rPr>
              <w:b/>
              <w:color w:val="000000"/>
              <w:sz w:val="32"/>
            </w:rPr>
            <w:t>ЕН</w:t>
          </w:r>
        </w:p>
      </w:tc>
      <w:tc>
        <w:tcPr>
          <w:tcW w:w="0" w:type="dxa"/>
          <w:tcMar>
            <w:top w:w="0" w:type="dxa"/>
            <w:left w:w="60" w:type="dxa"/>
            <w:bottom w:w="80" w:type="dxa"/>
            <w:right w:w="60" w:type="dxa"/>
          </w:tcMar>
        </w:tcPr>
        <w:p w14:paraId="0DB176F9" w14:textId="77777777" w:rsidR="00EE0A2B" w:rsidRDefault="00EE0A2B">
          <w:pPr>
            <w:jc w:val="center"/>
            <w:rPr>
              <w:b/>
              <w:color w:val="000000"/>
              <w:sz w:val="32"/>
            </w:rPr>
          </w:pPr>
          <w:r>
            <w:rPr>
              <w:b/>
              <w:color w:val="000000"/>
            </w:rPr>
            <w:fldChar w:fldCharType="begin"/>
          </w:r>
          <w:r>
            <w:rPr>
              <w:b/>
              <w:color w:val="000000"/>
            </w:rPr>
            <w:instrText>PAGE</w:instrText>
          </w:r>
          <w:r>
            <w:rPr>
              <w:b/>
              <w:color w:val="000000"/>
            </w:rPr>
            <w:fldChar w:fldCharType="separate"/>
          </w:r>
          <w:r w:rsidR="0002372A">
            <w:rPr>
              <w:b/>
              <w:color w:val="000000"/>
            </w:rPr>
            <w:t>19</w:t>
          </w:r>
          <w:r>
            <w:rPr>
              <w:b/>
              <w:color w:val="000000"/>
            </w:rPr>
            <w:fldChar w:fldCharType="end"/>
          </w:r>
        </w:p>
      </w:tc>
      <w:tc>
        <w:tcPr>
          <w:tcW w:w="0" w:type="dxa"/>
          <w:tcMar>
            <w:top w:w="0" w:type="dxa"/>
            <w:left w:w="60" w:type="dxa"/>
            <w:bottom w:w="80" w:type="dxa"/>
            <w:right w:w="60" w:type="dxa"/>
          </w:tcMar>
        </w:tcPr>
        <w:p w14:paraId="6C2DE9B9" w14:textId="77777777" w:rsidR="00EE0A2B" w:rsidRDefault="00EE0A2B">
          <w:pPr>
            <w:jc w:val="right"/>
            <w:rPr>
              <w:b/>
              <w:color w:val="000000"/>
              <w:sz w:val="32"/>
            </w:rPr>
          </w:pPr>
          <w:r>
            <w:rPr>
              <w:b/>
              <w:color w:val="000000"/>
              <w:sz w:val="32"/>
            </w:rPr>
            <w:t>ЕН</w:t>
          </w:r>
        </w:p>
      </w:tc>
    </w:tr>
  </w:tbl>
  <w:p w14:paraId="2E94694E" w14:textId="77777777" w:rsidR="00EE0A2B" w:rsidRDefault="00EE0A2B">
    <w:pPr>
      <w:rPr>
        <w:b/>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B0763" w14:textId="77777777" w:rsidR="00EE0A2B" w:rsidRDefault="00EE0A2B"/>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9BC30" w14:textId="77777777" w:rsidR="00EE0A2B" w:rsidRDefault="00EE0A2B"/>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6295"/>
      <w:gridCol w:w="2592"/>
      <w:gridCol w:w="6295"/>
    </w:tblGrid>
    <w:tr w:rsidR="00EE0A2B" w14:paraId="78572DDC" w14:textId="77777777">
      <w:trPr>
        <w:trHeight w:val="160"/>
      </w:trPr>
      <w:tc>
        <w:tcPr>
          <w:tcW w:w="0" w:type="dxa"/>
          <w:tcMar>
            <w:top w:w="0" w:type="dxa"/>
            <w:left w:w="60" w:type="dxa"/>
            <w:bottom w:w="80" w:type="dxa"/>
            <w:right w:w="60" w:type="dxa"/>
          </w:tcMar>
        </w:tcPr>
        <w:p w14:paraId="46A7AF19" w14:textId="77777777" w:rsidR="00EE0A2B" w:rsidRDefault="00EE0A2B">
          <w:pPr>
            <w:rPr>
              <w:b/>
              <w:color w:val="000000"/>
            </w:rPr>
          </w:pPr>
          <w:r>
            <w:rPr>
              <w:b/>
              <w:color w:val="000000"/>
              <w:sz w:val="32"/>
            </w:rPr>
            <w:t>ЕН</w:t>
          </w:r>
        </w:p>
      </w:tc>
      <w:tc>
        <w:tcPr>
          <w:tcW w:w="0" w:type="dxa"/>
          <w:tcMar>
            <w:top w:w="0" w:type="dxa"/>
            <w:left w:w="60" w:type="dxa"/>
            <w:bottom w:w="80" w:type="dxa"/>
            <w:right w:w="60" w:type="dxa"/>
          </w:tcMar>
        </w:tcPr>
        <w:p w14:paraId="29F5366A" w14:textId="77777777" w:rsidR="00EE0A2B" w:rsidRDefault="00EE0A2B">
          <w:pPr>
            <w:jc w:val="center"/>
            <w:rPr>
              <w:b/>
              <w:color w:val="000000"/>
              <w:sz w:val="32"/>
            </w:rPr>
          </w:pPr>
          <w:r>
            <w:rPr>
              <w:b/>
              <w:color w:val="000000"/>
            </w:rPr>
            <w:fldChar w:fldCharType="begin"/>
          </w:r>
          <w:r>
            <w:rPr>
              <w:b/>
              <w:color w:val="000000"/>
            </w:rPr>
            <w:instrText>PAGE</w:instrText>
          </w:r>
          <w:r>
            <w:rPr>
              <w:b/>
              <w:color w:val="000000"/>
            </w:rPr>
            <w:fldChar w:fldCharType="separate"/>
          </w:r>
          <w:r w:rsidR="0002372A">
            <w:rPr>
              <w:b/>
              <w:color w:val="000000"/>
            </w:rPr>
            <w:t>22</w:t>
          </w:r>
          <w:r>
            <w:rPr>
              <w:b/>
              <w:color w:val="000000"/>
            </w:rPr>
            <w:fldChar w:fldCharType="end"/>
          </w:r>
        </w:p>
      </w:tc>
      <w:tc>
        <w:tcPr>
          <w:tcW w:w="0" w:type="dxa"/>
          <w:tcMar>
            <w:top w:w="0" w:type="dxa"/>
            <w:left w:w="60" w:type="dxa"/>
            <w:bottom w:w="80" w:type="dxa"/>
            <w:right w:w="60" w:type="dxa"/>
          </w:tcMar>
        </w:tcPr>
        <w:p w14:paraId="3F353C4D" w14:textId="77777777" w:rsidR="00EE0A2B" w:rsidRDefault="00EE0A2B">
          <w:pPr>
            <w:jc w:val="right"/>
            <w:rPr>
              <w:b/>
              <w:color w:val="000000"/>
              <w:sz w:val="32"/>
            </w:rPr>
          </w:pPr>
          <w:r>
            <w:rPr>
              <w:b/>
              <w:color w:val="000000"/>
              <w:sz w:val="32"/>
            </w:rPr>
            <w:t>ЕН</w:t>
          </w:r>
        </w:p>
      </w:tc>
    </w:tr>
  </w:tbl>
  <w:p w14:paraId="43875399" w14:textId="77777777" w:rsidR="00EE0A2B" w:rsidRDefault="00EE0A2B">
    <w:pPr>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2B91A" w14:textId="77777777" w:rsidR="00AF0A15" w:rsidRDefault="00AF0A15">
      <w:r>
        <w:separator/>
      </w:r>
    </w:p>
  </w:footnote>
  <w:footnote w:type="continuationSeparator" w:id="0">
    <w:p w14:paraId="6FD700BE" w14:textId="77777777" w:rsidR="00AF0A15" w:rsidRDefault="00AF0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84A24" w14:textId="77777777" w:rsidR="00EE0A2B" w:rsidRDefault="00EE0A2B"/>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0B978" w14:textId="77777777" w:rsidR="00EE0A2B" w:rsidRDefault="00EE0A2B"/>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168E1" w14:textId="77777777" w:rsidR="00EE0A2B" w:rsidRDefault="00EE0A2B"/>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298EA" w14:textId="77777777" w:rsidR="00EE0A2B" w:rsidRDefault="00EE0A2B"/>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76334" w14:textId="77777777" w:rsidR="00EE0A2B" w:rsidRDefault="00EE0A2B"/>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3729" w14:textId="77777777" w:rsidR="00EE0A2B" w:rsidRDefault="00EE0A2B"/>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ADDC4" w14:textId="77777777" w:rsidR="00EE0A2B" w:rsidRDefault="00EE0A2B"/>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F543B" w14:textId="77777777" w:rsidR="00EE0A2B" w:rsidRDefault="00EE0A2B"/>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4E202" w14:textId="77777777" w:rsidR="00EE0A2B" w:rsidRDefault="00EE0A2B"/>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C0499" w14:textId="77777777" w:rsidR="00EE0A2B" w:rsidRDefault="00EE0A2B"/>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92E7" w14:textId="77777777" w:rsidR="00EE0A2B" w:rsidRDefault="00EE0A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9D7B7" w14:textId="77777777" w:rsidR="00EE0A2B" w:rsidRDefault="00EE0A2B"/>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1C143" w14:textId="77777777" w:rsidR="00EE0A2B" w:rsidRDefault="00EE0A2B"/>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44532" w14:textId="77777777" w:rsidR="00EE0A2B" w:rsidRDefault="00EE0A2B"/>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73ECB" w14:textId="77777777" w:rsidR="00EE0A2B" w:rsidRDefault="00EE0A2B"/>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28CEB" w14:textId="77777777" w:rsidR="00EE0A2B" w:rsidRDefault="00EE0A2B"/>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151DC" w14:textId="77777777" w:rsidR="00EE0A2B" w:rsidRDefault="00EE0A2B"/>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953F0" w14:textId="77777777" w:rsidR="00EE0A2B" w:rsidRDefault="00EE0A2B"/>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5360B" w14:textId="77777777" w:rsidR="00EE0A2B" w:rsidRDefault="00EE0A2B"/>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6BD75" w14:textId="77777777" w:rsidR="00EE0A2B" w:rsidRDefault="00EE0A2B"/>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F3FC" w14:textId="77777777" w:rsidR="00EE0A2B" w:rsidRDefault="00EE0A2B"/>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C1F71" w14:textId="77777777" w:rsidR="00EE0A2B" w:rsidRDefault="00EE0A2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23545" w14:textId="77777777" w:rsidR="00EE0A2B" w:rsidRDefault="00EE0A2B"/>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717AC" w14:textId="77777777" w:rsidR="00EE0A2B" w:rsidRDefault="00EE0A2B"/>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549EF" w14:textId="77777777" w:rsidR="00EE0A2B" w:rsidRDefault="00EE0A2B"/>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5C40C" w14:textId="77777777" w:rsidR="00EE0A2B" w:rsidRDefault="00EE0A2B"/>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B0776" w14:textId="77777777" w:rsidR="00EE0A2B" w:rsidRDefault="00EE0A2B"/>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98257" w14:textId="77777777" w:rsidR="00EE0A2B" w:rsidRDefault="00EE0A2B"/>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E94D" w14:textId="77777777" w:rsidR="00EE0A2B" w:rsidRDefault="00EE0A2B"/>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6C3C" w14:textId="77777777" w:rsidR="00EE0A2B" w:rsidRDefault="00EE0A2B"/>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B6503" w14:textId="77777777" w:rsidR="00EE0A2B" w:rsidRDefault="00EE0A2B"/>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1132C" w14:textId="77777777" w:rsidR="00EE0A2B" w:rsidRDefault="00EE0A2B"/>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677FD" w14:textId="77777777" w:rsidR="00EE0A2B" w:rsidRDefault="00EE0A2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52D19" w14:textId="77777777" w:rsidR="00EE0A2B" w:rsidRDefault="00EE0A2B"/>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A0D0" w14:textId="77777777" w:rsidR="00EE0A2B" w:rsidRDefault="00EE0A2B"/>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44A97" w14:textId="77777777" w:rsidR="00EE0A2B" w:rsidRDefault="00EE0A2B"/>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B202D" w14:textId="77777777" w:rsidR="00EE0A2B" w:rsidRDefault="00EE0A2B"/>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D41CB" w14:textId="77777777" w:rsidR="00EE0A2B" w:rsidRDefault="00EE0A2B"/>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FF202" w14:textId="77777777" w:rsidR="00EE0A2B" w:rsidRDefault="00EE0A2B"/>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32963" w14:textId="77777777" w:rsidR="00EE0A2B" w:rsidRDefault="00EE0A2B"/>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EECB2" w14:textId="77777777" w:rsidR="00EE0A2B" w:rsidRDefault="00EE0A2B"/>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5A523" w14:textId="77777777" w:rsidR="00EE0A2B" w:rsidRDefault="00EE0A2B"/>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1FB02" w14:textId="77777777" w:rsidR="00EE0A2B" w:rsidRDefault="00EE0A2B"/>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D9E58" w14:textId="77777777" w:rsidR="00EE0A2B" w:rsidRDefault="00EE0A2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5EAF8" w14:textId="77777777" w:rsidR="00EE0A2B" w:rsidRDefault="00EE0A2B"/>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33BA6" w14:textId="77777777" w:rsidR="00EE0A2B" w:rsidRDefault="00EE0A2B"/>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0C655" w14:textId="77777777" w:rsidR="00EE0A2B" w:rsidRDefault="00EE0A2B"/>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A99AE" w14:textId="77777777" w:rsidR="00EE0A2B" w:rsidRDefault="00EE0A2B"/>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7506F" w14:textId="77777777" w:rsidR="00EE0A2B" w:rsidRDefault="00EE0A2B"/>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D342F" w14:textId="77777777" w:rsidR="00EE0A2B" w:rsidRDefault="00EE0A2B"/>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3CFA8" w14:textId="77777777" w:rsidR="00EE0A2B" w:rsidRDefault="00EE0A2B"/>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7934F" w14:textId="77777777" w:rsidR="00EE0A2B" w:rsidRDefault="00EE0A2B"/>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4EE67" w14:textId="77777777" w:rsidR="00EE0A2B" w:rsidRDefault="00EE0A2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53DFB" w14:textId="77777777" w:rsidR="00EE0A2B" w:rsidRDefault="00EE0A2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55F05" w14:textId="77777777" w:rsidR="00EE0A2B" w:rsidRDefault="00EE0A2B"/>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8C719" w14:textId="77777777" w:rsidR="00EE0A2B" w:rsidRDefault="00EE0A2B"/>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B8565" w14:textId="77777777" w:rsidR="00EE0A2B" w:rsidRDefault="00EE0A2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2372A"/>
    <w:rsid w:val="004B45BC"/>
    <w:rsid w:val="00723994"/>
    <w:rsid w:val="008565E8"/>
    <w:rsid w:val="00A632D1"/>
    <w:rsid w:val="00A77B3E"/>
    <w:rsid w:val="00A94E36"/>
    <w:rsid w:val="00AF0A15"/>
    <w:rsid w:val="00C339AF"/>
    <w:rsid w:val="00C67C99"/>
    <w:rsid w:val="00CA2A55"/>
    <w:rsid w:val="00D73605"/>
    <w:rsid w:val="00D94FDE"/>
    <w:rsid w:val="00E149A1"/>
    <w:rsid w:val="00EE0A2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BF5068"/>
  <w15:docId w15:val="{E89CE2EC-CF26-463F-AAF8-938AC4132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noProof/>
        <w:lang w:val="bg"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paragraph" w:styleId="Heading4">
    <w:name w:val="heading 4"/>
    <w:basedOn w:val="Normal"/>
    <w:next w:val="Normal"/>
    <w:qFormat/>
    <w:rsid w:val="00EF7B9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rsid w:val="00805BCE"/>
  </w:style>
  <w:style w:type="character" w:styleId="Hyperlink">
    <w:name w:val="Hyperlink"/>
    <w:basedOn w:val="DefaultParagraphFont"/>
    <w:rsid w:val="00EF7B96"/>
    <w:rPr>
      <w:color w:val="0000FF"/>
      <w:u w:val="single"/>
    </w:rPr>
  </w:style>
  <w:style w:type="paragraph" w:styleId="TOC2">
    <w:name w:val="toc 2"/>
    <w:basedOn w:val="Normal"/>
    <w:next w:val="Normal"/>
    <w:autoRedefine/>
    <w:rsid w:val="00805BCE"/>
    <w:pPr>
      <w:ind w:left="240"/>
    </w:pPr>
  </w:style>
  <w:style w:type="paragraph" w:styleId="TOC3">
    <w:name w:val="toc 3"/>
    <w:basedOn w:val="Normal"/>
    <w:next w:val="Normal"/>
    <w:autoRedefine/>
    <w:rsid w:val="00805BCE"/>
    <w:pPr>
      <w:ind w:left="480"/>
    </w:pPr>
  </w:style>
  <w:style w:type="paragraph" w:styleId="TOC4">
    <w:name w:val="toc 4"/>
    <w:basedOn w:val="Normal"/>
    <w:next w:val="Normal"/>
    <w:autoRedefine/>
    <w:rsid w:val="00805BC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eader" Target="header11.xml"/><Relationship Id="rId117" Type="http://schemas.openxmlformats.org/officeDocument/2006/relationships/footer" Target="footer56.xml"/><Relationship Id="rId21" Type="http://schemas.openxmlformats.org/officeDocument/2006/relationships/footer" Target="footer8.xml"/><Relationship Id="rId42" Type="http://schemas.openxmlformats.org/officeDocument/2006/relationships/footer" Target="footer19.xml"/><Relationship Id="rId47" Type="http://schemas.openxmlformats.org/officeDocument/2006/relationships/header" Target="header21.xml"/><Relationship Id="rId63" Type="http://schemas.openxmlformats.org/officeDocument/2006/relationships/footer" Target="footer29.xml"/><Relationship Id="rId68" Type="http://schemas.openxmlformats.org/officeDocument/2006/relationships/header" Target="header32.xml"/><Relationship Id="rId84" Type="http://schemas.openxmlformats.org/officeDocument/2006/relationships/footer" Target="footer40.xml"/><Relationship Id="rId89" Type="http://schemas.openxmlformats.org/officeDocument/2006/relationships/header" Target="header42.xml"/><Relationship Id="rId112" Type="http://schemas.openxmlformats.org/officeDocument/2006/relationships/footer" Target="footer54.xml"/><Relationship Id="rId16" Type="http://schemas.openxmlformats.org/officeDocument/2006/relationships/footer" Target="footer6.xml"/><Relationship Id="rId107" Type="http://schemas.openxmlformats.org/officeDocument/2006/relationships/header" Target="header51.xml"/><Relationship Id="rId11" Type="http://schemas.openxmlformats.org/officeDocument/2006/relationships/header" Target="header3.xml"/><Relationship Id="rId32" Type="http://schemas.openxmlformats.org/officeDocument/2006/relationships/header" Target="header14.xml"/><Relationship Id="rId37" Type="http://schemas.openxmlformats.org/officeDocument/2006/relationships/header" Target="header16.xml"/><Relationship Id="rId53" Type="http://schemas.openxmlformats.org/officeDocument/2006/relationships/header" Target="header24.xml"/><Relationship Id="rId58" Type="http://schemas.openxmlformats.org/officeDocument/2006/relationships/footer" Target="footer27.xml"/><Relationship Id="rId74" Type="http://schemas.openxmlformats.org/officeDocument/2006/relationships/header" Target="header35.xml"/><Relationship Id="rId79" Type="http://schemas.openxmlformats.org/officeDocument/2006/relationships/header" Target="header37.xml"/><Relationship Id="rId102" Type="http://schemas.openxmlformats.org/officeDocument/2006/relationships/footer" Target="footer49.xml"/><Relationship Id="rId5" Type="http://schemas.openxmlformats.org/officeDocument/2006/relationships/endnotes" Target="endnotes.xml"/><Relationship Id="rId90" Type="http://schemas.openxmlformats.org/officeDocument/2006/relationships/footer" Target="footer43.xml"/><Relationship Id="rId95" Type="http://schemas.openxmlformats.org/officeDocument/2006/relationships/header" Target="header45.xml"/><Relationship Id="rId22" Type="http://schemas.openxmlformats.org/officeDocument/2006/relationships/footer" Target="footer9.xml"/><Relationship Id="rId27" Type="http://schemas.openxmlformats.org/officeDocument/2006/relationships/footer" Target="footer11.xml"/><Relationship Id="rId43" Type="http://schemas.openxmlformats.org/officeDocument/2006/relationships/header" Target="header19.xml"/><Relationship Id="rId48" Type="http://schemas.openxmlformats.org/officeDocument/2006/relationships/footer" Target="footer22.xml"/><Relationship Id="rId64" Type="http://schemas.openxmlformats.org/officeDocument/2006/relationships/footer" Target="footer30.xml"/><Relationship Id="rId69" Type="http://schemas.openxmlformats.org/officeDocument/2006/relationships/footer" Target="footer32.xml"/><Relationship Id="rId113" Type="http://schemas.openxmlformats.org/officeDocument/2006/relationships/header" Target="header54.xml"/><Relationship Id="rId118" Type="http://schemas.openxmlformats.org/officeDocument/2006/relationships/footer" Target="footer57.xml"/><Relationship Id="rId80" Type="http://schemas.openxmlformats.org/officeDocument/2006/relationships/header" Target="header38.xml"/><Relationship Id="rId85" Type="http://schemas.openxmlformats.org/officeDocument/2006/relationships/header" Target="header40.xml"/><Relationship Id="rId12" Type="http://schemas.openxmlformats.org/officeDocument/2006/relationships/footer" Target="footer4.xml"/><Relationship Id="rId17" Type="http://schemas.openxmlformats.org/officeDocument/2006/relationships/header" Target="header6.xml"/><Relationship Id="rId33" Type="http://schemas.openxmlformats.org/officeDocument/2006/relationships/footer" Target="footer14.xml"/><Relationship Id="rId38" Type="http://schemas.openxmlformats.org/officeDocument/2006/relationships/header" Target="header17.xml"/><Relationship Id="rId59" Type="http://schemas.openxmlformats.org/officeDocument/2006/relationships/header" Target="header27.xml"/><Relationship Id="rId103" Type="http://schemas.openxmlformats.org/officeDocument/2006/relationships/header" Target="header49.xml"/><Relationship Id="rId108" Type="http://schemas.openxmlformats.org/officeDocument/2006/relationships/footer" Target="footer52.xml"/><Relationship Id="rId54" Type="http://schemas.openxmlformats.org/officeDocument/2006/relationships/footer" Target="footer25.xml"/><Relationship Id="rId70" Type="http://schemas.openxmlformats.org/officeDocument/2006/relationships/footer" Target="footer33.xml"/><Relationship Id="rId75" Type="http://schemas.openxmlformats.org/officeDocument/2006/relationships/footer" Target="footer35.xml"/><Relationship Id="rId91" Type="http://schemas.openxmlformats.org/officeDocument/2006/relationships/header" Target="header43.xml"/><Relationship Id="rId96" Type="http://schemas.openxmlformats.org/officeDocument/2006/relationships/footer" Target="footer46.xml"/><Relationship Id="rId1" Type="http://schemas.openxmlformats.org/officeDocument/2006/relationships/styles" Target="styles.xml"/><Relationship Id="rId6" Type="http://schemas.openxmlformats.org/officeDocument/2006/relationships/footer" Target="footer1.xml"/><Relationship Id="rId23" Type="http://schemas.openxmlformats.org/officeDocument/2006/relationships/header" Target="header9.xml"/><Relationship Id="rId28" Type="http://schemas.openxmlformats.org/officeDocument/2006/relationships/footer" Target="footer12.xml"/><Relationship Id="rId49" Type="http://schemas.openxmlformats.org/officeDocument/2006/relationships/header" Target="header22.xml"/><Relationship Id="rId114" Type="http://schemas.openxmlformats.org/officeDocument/2006/relationships/footer" Target="footer55.xml"/><Relationship Id="rId119" Type="http://schemas.openxmlformats.org/officeDocument/2006/relationships/header" Target="header57.xml"/><Relationship Id="rId44" Type="http://schemas.openxmlformats.org/officeDocument/2006/relationships/header" Target="header20.xml"/><Relationship Id="rId60" Type="http://schemas.openxmlformats.org/officeDocument/2006/relationships/footer" Target="footer28.xml"/><Relationship Id="rId65" Type="http://schemas.openxmlformats.org/officeDocument/2006/relationships/header" Target="header30.xml"/><Relationship Id="rId81" Type="http://schemas.openxmlformats.org/officeDocument/2006/relationships/footer" Target="footer38.xml"/><Relationship Id="rId86" Type="http://schemas.openxmlformats.org/officeDocument/2006/relationships/header" Target="header41.xml"/><Relationship Id="rId4" Type="http://schemas.openxmlformats.org/officeDocument/2006/relationships/footnotes" Target="footnotes.xml"/><Relationship Id="rId9" Type="http://schemas.openxmlformats.org/officeDocument/2006/relationships/footer" Target="footer2.xml"/><Relationship Id="rId13" Type="http://schemas.openxmlformats.org/officeDocument/2006/relationships/header" Target="header4.xml"/><Relationship Id="rId18" Type="http://schemas.openxmlformats.org/officeDocument/2006/relationships/footer" Target="footer7.xml"/><Relationship Id="rId39" Type="http://schemas.openxmlformats.org/officeDocument/2006/relationships/footer" Target="footer17.xml"/><Relationship Id="rId109" Type="http://schemas.openxmlformats.org/officeDocument/2006/relationships/header" Target="header52.xml"/><Relationship Id="rId34" Type="http://schemas.openxmlformats.org/officeDocument/2006/relationships/footer" Target="footer15.xml"/><Relationship Id="rId50" Type="http://schemas.openxmlformats.org/officeDocument/2006/relationships/header" Target="header23.xml"/><Relationship Id="rId55" Type="http://schemas.openxmlformats.org/officeDocument/2006/relationships/header" Target="header25.xml"/><Relationship Id="rId76" Type="http://schemas.openxmlformats.org/officeDocument/2006/relationships/footer" Target="footer36.xml"/><Relationship Id="rId97" Type="http://schemas.openxmlformats.org/officeDocument/2006/relationships/header" Target="header46.xml"/><Relationship Id="rId104" Type="http://schemas.openxmlformats.org/officeDocument/2006/relationships/header" Target="header50.xml"/><Relationship Id="rId120" Type="http://schemas.openxmlformats.org/officeDocument/2006/relationships/footer" Target="footer58.xml"/><Relationship Id="rId7" Type="http://schemas.openxmlformats.org/officeDocument/2006/relationships/header" Target="header1.xml"/><Relationship Id="rId71" Type="http://schemas.openxmlformats.org/officeDocument/2006/relationships/header" Target="header33.xml"/><Relationship Id="rId92" Type="http://schemas.openxmlformats.org/officeDocument/2006/relationships/header" Target="header44.xml"/><Relationship Id="rId2" Type="http://schemas.openxmlformats.org/officeDocument/2006/relationships/settings" Target="settings.xml"/><Relationship Id="rId29" Type="http://schemas.openxmlformats.org/officeDocument/2006/relationships/header" Target="header12.xml"/><Relationship Id="rId24" Type="http://schemas.openxmlformats.org/officeDocument/2006/relationships/footer" Target="footer10.xml"/><Relationship Id="rId40" Type="http://schemas.openxmlformats.org/officeDocument/2006/relationships/footer" Target="footer18.xml"/><Relationship Id="rId45" Type="http://schemas.openxmlformats.org/officeDocument/2006/relationships/footer" Target="footer20.xml"/><Relationship Id="rId66" Type="http://schemas.openxmlformats.org/officeDocument/2006/relationships/footer" Target="footer31.xml"/><Relationship Id="rId87" Type="http://schemas.openxmlformats.org/officeDocument/2006/relationships/footer" Target="footer41.xml"/><Relationship Id="rId110" Type="http://schemas.openxmlformats.org/officeDocument/2006/relationships/header" Target="header53.xml"/><Relationship Id="rId115" Type="http://schemas.openxmlformats.org/officeDocument/2006/relationships/header" Target="header55.xml"/><Relationship Id="rId61" Type="http://schemas.openxmlformats.org/officeDocument/2006/relationships/header" Target="header28.xml"/><Relationship Id="rId82" Type="http://schemas.openxmlformats.org/officeDocument/2006/relationships/footer" Target="footer39.xml"/><Relationship Id="rId19" Type="http://schemas.openxmlformats.org/officeDocument/2006/relationships/header" Target="header7.xml"/><Relationship Id="rId14" Type="http://schemas.openxmlformats.org/officeDocument/2006/relationships/header" Target="header5.xml"/><Relationship Id="rId30" Type="http://schemas.openxmlformats.org/officeDocument/2006/relationships/footer" Target="footer13.xml"/><Relationship Id="rId35" Type="http://schemas.openxmlformats.org/officeDocument/2006/relationships/header" Target="header15.xml"/><Relationship Id="rId56" Type="http://schemas.openxmlformats.org/officeDocument/2006/relationships/header" Target="header26.xml"/><Relationship Id="rId77" Type="http://schemas.openxmlformats.org/officeDocument/2006/relationships/header" Target="header36.xml"/><Relationship Id="rId100" Type="http://schemas.openxmlformats.org/officeDocument/2006/relationships/footer" Target="footer48.xml"/><Relationship Id="rId105" Type="http://schemas.openxmlformats.org/officeDocument/2006/relationships/footer" Target="footer50.xml"/><Relationship Id="rId8" Type="http://schemas.openxmlformats.org/officeDocument/2006/relationships/header" Target="header2.xml"/><Relationship Id="rId51" Type="http://schemas.openxmlformats.org/officeDocument/2006/relationships/footer" Target="footer23.xml"/><Relationship Id="rId72" Type="http://schemas.openxmlformats.org/officeDocument/2006/relationships/footer" Target="footer34.xml"/><Relationship Id="rId93" Type="http://schemas.openxmlformats.org/officeDocument/2006/relationships/footer" Target="footer44.xml"/><Relationship Id="rId98" Type="http://schemas.openxmlformats.org/officeDocument/2006/relationships/header" Target="header47.xml"/><Relationship Id="rId121"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eader" Target="header10.xml"/><Relationship Id="rId46" Type="http://schemas.openxmlformats.org/officeDocument/2006/relationships/footer" Target="footer21.xml"/><Relationship Id="rId67" Type="http://schemas.openxmlformats.org/officeDocument/2006/relationships/header" Target="header31.xml"/><Relationship Id="rId116" Type="http://schemas.openxmlformats.org/officeDocument/2006/relationships/header" Target="header56.xml"/><Relationship Id="rId20" Type="http://schemas.openxmlformats.org/officeDocument/2006/relationships/header" Target="header8.xml"/><Relationship Id="rId41" Type="http://schemas.openxmlformats.org/officeDocument/2006/relationships/header" Target="header18.xml"/><Relationship Id="rId62" Type="http://schemas.openxmlformats.org/officeDocument/2006/relationships/header" Target="header29.xml"/><Relationship Id="rId83" Type="http://schemas.openxmlformats.org/officeDocument/2006/relationships/header" Target="header39.xml"/><Relationship Id="rId88" Type="http://schemas.openxmlformats.org/officeDocument/2006/relationships/footer" Target="footer42.xml"/><Relationship Id="rId111" Type="http://schemas.openxmlformats.org/officeDocument/2006/relationships/footer" Target="footer53.xml"/><Relationship Id="rId15" Type="http://schemas.openxmlformats.org/officeDocument/2006/relationships/footer" Target="footer5.xml"/><Relationship Id="rId36" Type="http://schemas.openxmlformats.org/officeDocument/2006/relationships/footer" Target="footer16.xml"/><Relationship Id="rId57" Type="http://schemas.openxmlformats.org/officeDocument/2006/relationships/footer" Target="footer26.xml"/><Relationship Id="rId106" Type="http://schemas.openxmlformats.org/officeDocument/2006/relationships/footer" Target="footer51.xml"/><Relationship Id="rId10" Type="http://schemas.openxmlformats.org/officeDocument/2006/relationships/footer" Target="footer3.xml"/><Relationship Id="rId31" Type="http://schemas.openxmlformats.org/officeDocument/2006/relationships/header" Target="header13.xml"/><Relationship Id="rId52" Type="http://schemas.openxmlformats.org/officeDocument/2006/relationships/footer" Target="footer24.xml"/><Relationship Id="rId73" Type="http://schemas.openxmlformats.org/officeDocument/2006/relationships/header" Target="header34.xml"/><Relationship Id="rId78" Type="http://schemas.openxmlformats.org/officeDocument/2006/relationships/footer" Target="footer37.xml"/><Relationship Id="rId94" Type="http://schemas.openxmlformats.org/officeDocument/2006/relationships/footer" Target="footer45.xml"/><Relationship Id="rId99" Type="http://schemas.openxmlformats.org/officeDocument/2006/relationships/footer" Target="footer47.xml"/><Relationship Id="rId101" Type="http://schemas.openxmlformats.org/officeDocument/2006/relationships/header" Target="header48.xml"/><Relationship Id="rId1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Tibt" typeface="Microsoft Himalaya"/>
        <a:font script="Khmr" typeface="MoolBoran"/>
        <a:font script="Beng" typeface="Vrinda"/>
        <a:font script="Taml" typeface="Latha"/>
        <a:font script="Hebr" typeface="Times New Roman"/>
        <a:font script="Syrc" typeface="Estrangelo Edessa"/>
        <a:font script="Laoo" typeface="DokChampa"/>
        <a:font script="Cher" typeface="Plantagenet Cherokee"/>
        <a:font script="Thaa" typeface="MV Boli"/>
        <a:font script="Sinh" typeface="Iskoola Pota"/>
        <a:font script="Thai" typeface="Angsana New"/>
        <a:font script="Cans" typeface="Euphemia"/>
        <a:font script="Mong" typeface="Mongolian Baiti"/>
        <a:font script="Knda" typeface="Tunga"/>
        <a:font script="Viet" typeface="Times New Roman"/>
        <a:font script="Deva" typeface="Mangal"/>
        <a:font script="Arab" typeface="Times New Roman"/>
        <a:font script="Orya" typeface="Kalinga"/>
        <a:font script="Jpan" typeface="ＭＳ ゴシック"/>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ajorFont>
      <a:minorFont>
        <a:latin typeface="Calibri"/>
        <a:ea typeface=""/>
        <a:cs typeface=""/>
        <a:font script="Tibt" typeface="Microsoft Himalaya"/>
        <a:font script="Khmr" typeface="DaunPenh"/>
        <a:font script="Beng" typeface="Vrinda"/>
        <a:font script="Taml" typeface="Latha"/>
        <a:font script="Hebr" typeface="Arial"/>
        <a:font script="Syrc" typeface="Estrangelo Edessa"/>
        <a:font script="Laoo" typeface="DokChampa"/>
        <a:font script="Cher" typeface="Plantagenet Cherokee"/>
        <a:font script="Thaa" typeface="MV Boli"/>
        <a:font script="Sinh" typeface="Iskoola Pota"/>
        <a:font script="Thai" typeface="Cordia New"/>
        <a:font script="Cans" typeface="Euphemia"/>
        <a:font script="Mong" typeface="Mongolian Baiti"/>
        <a:font script="Knda" typeface="Tunga"/>
        <a:font script="Viet" typeface="Arial"/>
        <a:font script="Deva" typeface="Mangal"/>
        <a:font script="Arab" typeface="Arial"/>
        <a:font script="Orya" typeface="Kalinga"/>
        <a:font script="Jpan" typeface="ＭＳ 明朝"/>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81</Pages>
  <Words>23768</Words>
  <Characters>145466</Characters>
  <Application>Microsoft Office Word</Application>
  <DocSecurity>0</DocSecurity>
  <Lines>1212</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Любомирова Карагьозова</dc:creator>
  <cp:lastModifiedBy>Галина Смелова</cp:lastModifiedBy>
  <cp:revision>2</cp:revision>
  <dcterms:created xsi:type="dcterms:W3CDTF">2025-10-22T12:59:00Z</dcterms:created>
  <dcterms:modified xsi:type="dcterms:W3CDTF">2025-10-22T12:59:00Z</dcterms:modified>
</cp:coreProperties>
</file>